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848A" w14:textId="4C6B850D" w:rsidR="005D4946" w:rsidRDefault="005D4946" w:rsidP="005D4946">
      <w:r>
        <w:t>Supplementary table 1</w:t>
      </w:r>
      <w:r w:rsidR="00BA67C4">
        <w:t xml:space="preserve">: </w:t>
      </w:r>
      <w:r>
        <w:t>Estimate of ‘Electric</w:t>
      </w:r>
      <w:r w:rsidR="000A7DEC">
        <w:t>ity-powered Unregulated</w:t>
      </w:r>
      <w:r>
        <w:t>’</w:t>
      </w:r>
      <w:r w:rsidR="000A7DEC">
        <w:t xml:space="preserve"> (category C)</w:t>
      </w:r>
      <w:r>
        <w:t xml:space="preserve"> groundwater pumping </w:t>
      </w:r>
      <w:proofErr w:type="gramStart"/>
      <w:r>
        <w:t>capacity</w:t>
      </w:r>
      <w:proofErr w:type="gramEnd"/>
    </w:p>
    <w:tbl>
      <w:tblPr>
        <w:tblStyle w:val="TableGrid"/>
        <w:tblW w:w="9779" w:type="dxa"/>
        <w:tblInd w:w="-714" w:type="dxa"/>
        <w:tblLook w:val="04A0" w:firstRow="1" w:lastRow="0" w:firstColumn="1" w:lastColumn="0" w:noHBand="0" w:noVBand="1"/>
      </w:tblPr>
      <w:tblGrid>
        <w:gridCol w:w="3891"/>
        <w:gridCol w:w="1790"/>
        <w:gridCol w:w="1247"/>
        <w:gridCol w:w="1215"/>
        <w:gridCol w:w="1636"/>
      </w:tblGrid>
      <w:tr w:rsidR="00D846D4" w14:paraId="38848385" w14:textId="77777777" w:rsidTr="00BA67C4">
        <w:trPr>
          <w:trHeight w:val="764"/>
        </w:trPr>
        <w:tc>
          <w:tcPr>
            <w:tcW w:w="4052" w:type="dxa"/>
          </w:tcPr>
          <w:p w14:paraId="479D5589" w14:textId="77777777" w:rsidR="005D4946" w:rsidRDefault="005D4946" w:rsidP="00945F36">
            <w:r>
              <w:t>Country</w:t>
            </w:r>
          </w:p>
        </w:tc>
        <w:tc>
          <w:tcPr>
            <w:tcW w:w="1816" w:type="dxa"/>
          </w:tcPr>
          <w:p w14:paraId="79E73378" w14:textId="77777777" w:rsidR="005D4946" w:rsidRDefault="005D4946" w:rsidP="00945F36">
            <w:r>
              <w:t>Area equipped for groundwater irrigation (m ha)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1257" w:type="dxa"/>
          </w:tcPr>
          <w:p w14:paraId="35AE8678" w14:textId="77777777" w:rsidR="005D4946" w:rsidRDefault="005D4946" w:rsidP="00945F36">
            <w:r>
              <w:t xml:space="preserve"># of electric </w:t>
            </w:r>
            <w:proofErr w:type="spellStart"/>
            <w:r>
              <w:t>tubewells</w:t>
            </w:r>
            <w:proofErr w:type="spellEnd"/>
            <w:r>
              <w:t xml:space="preserve"> (million)</w:t>
            </w:r>
          </w:p>
        </w:tc>
        <w:tc>
          <w:tcPr>
            <w:tcW w:w="978" w:type="dxa"/>
          </w:tcPr>
          <w:p w14:paraId="03697773" w14:textId="554CEB51" w:rsidR="005D4946" w:rsidRDefault="005D4946" w:rsidP="00945F36">
            <w:r>
              <w:t>Average HP</w:t>
            </w:r>
            <w:r w:rsidR="00BA67C4">
              <w:t>/ connection</w:t>
            </w:r>
          </w:p>
        </w:tc>
        <w:tc>
          <w:tcPr>
            <w:tcW w:w="1676" w:type="dxa"/>
          </w:tcPr>
          <w:p w14:paraId="3FB678B9" w14:textId="77777777" w:rsidR="005D4946" w:rsidRDefault="005D4946" w:rsidP="00945F36">
            <w:r>
              <w:t>Total pumping capacity in HP</w:t>
            </w:r>
          </w:p>
          <w:p w14:paraId="00181FB1" w14:textId="171D7070" w:rsidR="00BA67C4" w:rsidRDefault="00BA67C4" w:rsidP="00945F36">
            <w:r>
              <w:t>(</w:t>
            </w:r>
            <w:proofErr w:type="gramStart"/>
            <w:r>
              <w:t>million</w:t>
            </w:r>
            <w:proofErr w:type="gramEnd"/>
            <w:r>
              <w:t xml:space="preserve"> HP)</w:t>
            </w:r>
          </w:p>
        </w:tc>
      </w:tr>
      <w:tr w:rsidR="00D846D4" w14:paraId="392C92E3" w14:textId="77777777" w:rsidTr="00BA67C4">
        <w:trPr>
          <w:trHeight w:val="245"/>
        </w:trPr>
        <w:tc>
          <w:tcPr>
            <w:tcW w:w="4052" w:type="dxa"/>
          </w:tcPr>
          <w:p w14:paraId="4EB66454" w14:textId="11F3706D" w:rsidR="005D4946" w:rsidRDefault="005D4946" w:rsidP="00945F36">
            <w:r>
              <w:t>India</w:t>
            </w:r>
            <w:r w:rsidR="00BA67C4">
              <w:t xml:space="preserve"> (excluding West Bengal and Gujarat)</w:t>
            </w:r>
            <w:r w:rsidR="00BA67C4">
              <w:rPr>
                <w:rStyle w:val="FootnoteReference"/>
              </w:rPr>
              <w:footnoteReference w:id="2"/>
            </w:r>
          </w:p>
        </w:tc>
        <w:tc>
          <w:tcPr>
            <w:tcW w:w="1816" w:type="dxa"/>
          </w:tcPr>
          <w:p w14:paraId="4633B7EB" w14:textId="77777777" w:rsidR="005D4946" w:rsidRDefault="005D4946" w:rsidP="00945F36">
            <w:r>
              <w:t>39.4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1257" w:type="dxa"/>
          </w:tcPr>
          <w:p w14:paraId="49237E33" w14:textId="0E008B53" w:rsidR="005D4946" w:rsidRDefault="005D4946" w:rsidP="00945F36">
            <w:r>
              <w:t>2</w:t>
            </w:r>
            <w:r w:rsidR="00BA67C4">
              <w:t>4.1</w:t>
            </w:r>
            <w:r w:rsidR="00070B0E">
              <w:rPr>
                <w:rStyle w:val="FootnoteReference"/>
              </w:rPr>
              <w:footnoteReference w:id="4"/>
            </w:r>
          </w:p>
        </w:tc>
        <w:tc>
          <w:tcPr>
            <w:tcW w:w="978" w:type="dxa"/>
          </w:tcPr>
          <w:p w14:paraId="71AD3D78" w14:textId="4967E1F1" w:rsidR="005D4946" w:rsidRDefault="00D22ED6" w:rsidP="00945F36">
            <w:r>
              <w:t>7.</w:t>
            </w:r>
            <w:r w:rsidR="00BA67C4">
              <w:t>2</w:t>
            </w:r>
            <w:r w:rsidR="005D4946">
              <w:rPr>
                <w:rStyle w:val="FootnoteReference"/>
              </w:rPr>
              <w:footnoteReference w:id="5"/>
            </w:r>
          </w:p>
        </w:tc>
        <w:tc>
          <w:tcPr>
            <w:tcW w:w="1676" w:type="dxa"/>
          </w:tcPr>
          <w:p w14:paraId="1E1C27B8" w14:textId="3C396FDD" w:rsidR="005D4946" w:rsidRDefault="00EC1B8B" w:rsidP="00945F36">
            <w:r>
              <w:t>1</w:t>
            </w:r>
            <w:r w:rsidR="00BA67C4">
              <w:t>74.4</w:t>
            </w:r>
            <w:r w:rsidR="00080E48">
              <w:rPr>
                <w:rStyle w:val="FootnoteReference"/>
              </w:rPr>
              <w:footnoteReference w:id="6"/>
            </w:r>
          </w:p>
        </w:tc>
      </w:tr>
      <w:tr w:rsidR="00D846D4" w14:paraId="7C734EA6" w14:textId="77777777" w:rsidTr="00BA67C4">
        <w:trPr>
          <w:trHeight w:val="509"/>
        </w:trPr>
        <w:tc>
          <w:tcPr>
            <w:tcW w:w="4052" w:type="dxa"/>
          </w:tcPr>
          <w:p w14:paraId="7E0BEE85" w14:textId="77777777" w:rsidR="005D4946" w:rsidRDefault="005D4946" w:rsidP="00945F36">
            <w:r>
              <w:t xml:space="preserve">Pakistan (Baluchistan and Khyber </w:t>
            </w:r>
            <w:proofErr w:type="spellStart"/>
            <w:r>
              <w:t>Pakhtunwa</w:t>
            </w:r>
            <w:proofErr w:type="spellEnd"/>
            <w:r>
              <w:t>)</w:t>
            </w:r>
            <w:r>
              <w:rPr>
                <w:rStyle w:val="FootnoteReference"/>
              </w:rPr>
              <w:footnoteReference w:id="7"/>
            </w:r>
          </w:p>
        </w:tc>
        <w:tc>
          <w:tcPr>
            <w:tcW w:w="1816" w:type="dxa"/>
          </w:tcPr>
          <w:p w14:paraId="2ACA5F46" w14:textId="77777777" w:rsidR="005D4946" w:rsidRDefault="005D4946" w:rsidP="00945F36">
            <w:r>
              <w:t>0.72</w:t>
            </w:r>
            <w:r>
              <w:rPr>
                <w:rStyle w:val="FootnoteReference"/>
              </w:rPr>
              <w:footnoteReference w:id="8"/>
            </w:r>
          </w:p>
        </w:tc>
        <w:tc>
          <w:tcPr>
            <w:tcW w:w="1257" w:type="dxa"/>
          </w:tcPr>
          <w:p w14:paraId="30B5DD1E" w14:textId="77777777" w:rsidR="005D4946" w:rsidRDefault="005D4946" w:rsidP="00945F36">
            <w:r>
              <w:t>0.18</w:t>
            </w:r>
          </w:p>
        </w:tc>
        <w:tc>
          <w:tcPr>
            <w:tcW w:w="978" w:type="dxa"/>
          </w:tcPr>
          <w:p w14:paraId="4BF095D3" w14:textId="77777777" w:rsidR="005D4946" w:rsidRDefault="005D4946" w:rsidP="00945F36">
            <w:r>
              <w:t>45</w:t>
            </w:r>
            <w:r>
              <w:rPr>
                <w:rStyle w:val="FootnoteReference"/>
              </w:rPr>
              <w:footnoteReference w:id="9"/>
            </w:r>
          </w:p>
        </w:tc>
        <w:tc>
          <w:tcPr>
            <w:tcW w:w="1676" w:type="dxa"/>
          </w:tcPr>
          <w:p w14:paraId="67B095E5" w14:textId="77777777" w:rsidR="005D4946" w:rsidRDefault="005D4946" w:rsidP="00945F36">
            <w:r>
              <w:t>8.1</w:t>
            </w:r>
          </w:p>
        </w:tc>
      </w:tr>
      <w:tr w:rsidR="00D846D4" w14:paraId="3EC76201" w14:textId="77777777" w:rsidTr="00BA67C4">
        <w:trPr>
          <w:trHeight w:val="254"/>
        </w:trPr>
        <w:tc>
          <w:tcPr>
            <w:tcW w:w="4052" w:type="dxa"/>
          </w:tcPr>
          <w:p w14:paraId="6E9D3C0D" w14:textId="77777777" w:rsidR="005D4946" w:rsidRDefault="005D4946" w:rsidP="00945F36">
            <w:r>
              <w:t>Iran</w:t>
            </w:r>
            <w:r>
              <w:rPr>
                <w:rStyle w:val="FootnoteReference"/>
              </w:rPr>
              <w:footnoteReference w:id="10"/>
            </w:r>
          </w:p>
        </w:tc>
        <w:tc>
          <w:tcPr>
            <w:tcW w:w="1816" w:type="dxa"/>
          </w:tcPr>
          <w:p w14:paraId="2115A168" w14:textId="77777777" w:rsidR="005D4946" w:rsidRDefault="005D4946" w:rsidP="00945F36">
            <w:r>
              <w:t>5.2</w:t>
            </w:r>
          </w:p>
        </w:tc>
        <w:tc>
          <w:tcPr>
            <w:tcW w:w="1257" w:type="dxa"/>
          </w:tcPr>
          <w:p w14:paraId="55DDCECC" w14:textId="77777777" w:rsidR="005D4946" w:rsidRDefault="005D4946" w:rsidP="00945F36">
            <w:r>
              <w:t>1.1</w:t>
            </w:r>
          </w:p>
        </w:tc>
        <w:tc>
          <w:tcPr>
            <w:tcW w:w="978" w:type="dxa"/>
          </w:tcPr>
          <w:p w14:paraId="395354E8" w14:textId="77777777" w:rsidR="005D4946" w:rsidRDefault="005D4946" w:rsidP="00945F36">
            <w:r>
              <w:t>40</w:t>
            </w:r>
          </w:p>
        </w:tc>
        <w:tc>
          <w:tcPr>
            <w:tcW w:w="1676" w:type="dxa"/>
          </w:tcPr>
          <w:p w14:paraId="4CED183B" w14:textId="77777777" w:rsidR="005D4946" w:rsidRDefault="005D4946" w:rsidP="00945F36">
            <w:r>
              <w:t>44</w:t>
            </w:r>
          </w:p>
        </w:tc>
      </w:tr>
      <w:tr w:rsidR="00D846D4" w14:paraId="67C75D88" w14:textId="77777777" w:rsidTr="00BA67C4">
        <w:trPr>
          <w:trHeight w:val="254"/>
        </w:trPr>
        <w:tc>
          <w:tcPr>
            <w:tcW w:w="4052" w:type="dxa"/>
          </w:tcPr>
          <w:p w14:paraId="0207A0A6" w14:textId="77777777" w:rsidR="005D4946" w:rsidRDefault="005D4946" w:rsidP="00945F36">
            <w:r>
              <w:t>Saudi Arabia</w:t>
            </w:r>
            <w:r>
              <w:rPr>
                <w:rStyle w:val="FootnoteReference"/>
              </w:rPr>
              <w:footnoteReference w:id="11"/>
            </w:r>
          </w:p>
        </w:tc>
        <w:tc>
          <w:tcPr>
            <w:tcW w:w="1816" w:type="dxa"/>
          </w:tcPr>
          <w:p w14:paraId="79AAC370" w14:textId="77777777" w:rsidR="005D4946" w:rsidRDefault="005D4946" w:rsidP="00945F36">
            <w:r>
              <w:t>1.7</w:t>
            </w:r>
          </w:p>
        </w:tc>
        <w:tc>
          <w:tcPr>
            <w:tcW w:w="1257" w:type="dxa"/>
          </w:tcPr>
          <w:p w14:paraId="2718964E" w14:textId="77777777" w:rsidR="005D4946" w:rsidRDefault="005D4946" w:rsidP="00945F36">
            <w:r>
              <w:t>0.1</w:t>
            </w:r>
          </w:p>
        </w:tc>
        <w:tc>
          <w:tcPr>
            <w:tcW w:w="978" w:type="dxa"/>
          </w:tcPr>
          <w:p w14:paraId="754AE70E" w14:textId="77777777" w:rsidR="005D4946" w:rsidRDefault="005D4946" w:rsidP="00945F36">
            <w:r>
              <w:t>150</w:t>
            </w:r>
          </w:p>
        </w:tc>
        <w:tc>
          <w:tcPr>
            <w:tcW w:w="1676" w:type="dxa"/>
          </w:tcPr>
          <w:p w14:paraId="558EF12E" w14:textId="77777777" w:rsidR="005D4946" w:rsidRDefault="005D4946" w:rsidP="00945F36">
            <w:r>
              <w:t>15</w:t>
            </w:r>
          </w:p>
        </w:tc>
      </w:tr>
      <w:tr w:rsidR="00D846D4" w14:paraId="3B611E16" w14:textId="77777777" w:rsidTr="00BA67C4">
        <w:trPr>
          <w:trHeight w:val="254"/>
        </w:trPr>
        <w:tc>
          <w:tcPr>
            <w:tcW w:w="4052" w:type="dxa"/>
          </w:tcPr>
          <w:p w14:paraId="665C12DB" w14:textId="77777777" w:rsidR="005D4946" w:rsidRDefault="005D4946" w:rsidP="00945F36">
            <w:r>
              <w:t>Mexico</w:t>
            </w:r>
          </w:p>
        </w:tc>
        <w:tc>
          <w:tcPr>
            <w:tcW w:w="1816" w:type="dxa"/>
          </w:tcPr>
          <w:p w14:paraId="754C3D56" w14:textId="77777777" w:rsidR="005D4946" w:rsidRDefault="005D4946" w:rsidP="00945F36">
            <w:r>
              <w:t>2.5</w:t>
            </w:r>
          </w:p>
        </w:tc>
        <w:tc>
          <w:tcPr>
            <w:tcW w:w="1257" w:type="dxa"/>
          </w:tcPr>
          <w:p w14:paraId="08DA0E06" w14:textId="77777777" w:rsidR="005D4946" w:rsidRDefault="005D4946" w:rsidP="00945F36">
            <w:r>
              <w:t>0.3</w:t>
            </w:r>
            <w:r>
              <w:rPr>
                <w:rStyle w:val="FootnoteReference"/>
              </w:rPr>
              <w:footnoteReference w:id="12"/>
            </w:r>
          </w:p>
        </w:tc>
        <w:tc>
          <w:tcPr>
            <w:tcW w:w="978" w:type="dxa"/>
          </w:tcPr>
          <w:p w14:paraId="3058A05F" w14:textId="77777777" w:rsidR="005D4946" w:rsidRDefault="005D4946" w:rsidP="00945F36">
            <w:r>
              <w:t>120</w:t>
            </w:r>
          </w:p>
        </w:tc>
        <w:tc>
          <w:tcPr>
            <w:tcW w:w="1676" w:type="dxa"/>
          </w:tcPr>
          <w:p w14:paraId="530D2C16" w14:textId="77777777" w:rsidR="005D4946" w:rsidRDefault="005D4946" w:rsidP="00945F36">
            <w:r>
              <w:t>36</w:t>
            </w:r>
          </w:p>
        </w:tc>
      </w:tr>
      <w:tr w:rsidR="00D846D4" w14:paraId="2967DE54" w14:textId="77777777" w:rsidTr="00BA67C4">
        <w:trPr>
          <w:trHeight w:val="448"/>
        </w:trPr>
        <w:tc>
          <w:tcPr>
            <w:tcW w:w="4052" w:type="dxa"/>
          </w:tcPr>
          <w:p w14:paraId="17CC0085" w14:textId="77777777" w:rsidR="005D4946" w:rsidRDefault="005D4946" w:rsidP="00945F36">
            <w:r>
              <w:t>Morocco, Tunisia, Algeria</w:t>
            </w:r>
            <w:r>
              <w:rPr>
                <w:rStyle w:val="FootnoteReference"/>
              </w:rPr>
              <w:footnoteReference w:id="13"/>
            </w:r>
          </w:p>
        </w:tc>
        <w:tc>
          <w:tcPr>
            <w:tcW w:w="1816" w:type="dxa"/>
          </w:tcPr>
          <w:p w14:paraId="083CAF95" w14:textId="77777777" w:rsidR="005D4946" w:rsidRDefault="005D4946" w:rsidP="00945F36">
            <w:r>
              <w:t>1.4</w:t>
            </w:r>
          </w:p>
        </w:tc>
        <w:tc>
          <w:tcPr>
            <w:tcW w:w="1257" w:type="dxa"/>
          </w:tcPr>
          <w:p w14:paraId="1B28A2A0" w14:textId="77777777" w:rsidR="005D4946" w:rsidRDefault="005D4946" w:rsidP="00945F36">
            <w:r>
              <w:t>0.45</w:t>
            </w:r>
          </w:p>
        </w:tc>
        <w:tc>
          <w:tcPr>
            <w:tcW w:w="978" w:type="dxa"/>
          </w:tcPr>
          <w:p w14:paraId="00F39026" w14:textId="77777777" w:rsidR="005D4946" w:rsidRDefault="005D4946" w:rsidP="00945F36">
            <w:r>
              <w:t>100</w:t>
            </w:r>
          </w:p>
        </w:tc>
        <w:tc>
          <w:tcPr>
            <w:tcW w:w="1676" w:type="dxa"/>
          </w:tcPr>
          <w:p w14:paraId="1AEDA1E0" w14:textId="77777777" w:rsidR="005D4946" w:rsidRDefault="005D4946" w:rsidP="00945F36">
            <w:r>
              <w:t>45</w:t>
            </w:r>
          </w:p>
        </w:tc>
      </w:tr>
      <w:tr w:rsidR="00D846D4" w14:paraId="0ED7DF4E" w14:textId="77777777" w:rsidTr="00BA67C4">
        <w:trPr>
          <w:trHeight w:val="254"/>
        </w:trPr>
        <w:tc>
          <w:tcPr>
            <w:tcW w:w="4052" w:type="dxa"/>
          </w:tcPr>
          <w:p w14:paraId="10C8F43A" w14:textId="5CFDEFBD" w:rsidR="005D4946" w:rsidRDefault="00713032" w:rsidP="00945F36">
            <w:r>
              <w:t>Total for</w:t>
            </w:r>
            <w:r w:rsidR="00D846D4">
              <w:t xml:space="preserve"> ‘Electricity-powered Unregulated’ groundwater economy</w:t>
            </w:r>
          </w:p>
        </w:tc>
        <w:tc>
          <w:tcPr>
            <w:tcW w:w="1816" w:type="dxa"/>
          </w:tcPr>
          <w:p w14:paraId="084E1DA4" w14:textId="77777777" w:rsidR="005D4946" w:rsidRDefault="005D4946" w:rsidP="00945F36"/>
        </w:tc>
        <w:tc>
          <w:tcPr>
            <w:tcW w:w="1257" w:type="dxa"/>
          </w:tcPr>
          <w:p w14:paraId="37D3E020" w14:textId="77777777" w:rsidR="005D4946" w:rsidRDefault="005D4946" w:rsidP="00945F36"/>
        </w:tc>
        <w:tc>
          <w:tcPr>
            <w:tcW w:w="978" w:type="dxa"/>
          </w:tcPr>
          <w:p w14:paraId="564A0F04" w14:textId="77777777" w:rsidR="005D4946" w:rsidRDefault="005D4946" w:rsidP="00945F36"/>
        </w:tc>
        <w:tc>
          <w:tcPr>
            <w:tcW w:w="1676" w:type="dxa"/>
          </w:tcPr>
          <w:p w14:paraId="722EF773" w14:textId="2D76DDB2" w:rsidR="005D4946" w:rsidRDefault="005D4946" w:rsidP="00945F36">
            <w:r>
              <w:t>3</w:t>
            </w:r>
            <w:r w:rsidR="00BA67C4">
              <w:t>22</w:t>
            </w:r>
            <w:r>
              <w:t>.5</w:t>
            </w:r>
          </w:p>
        </w:tc>
      </w:tr>
    </w:tbl>
    <w:p w14:paraId="4D7F4660" w14:textId="77777777" w:rsidR="00E41861" w:rsidRDefault="00E41861" w:rsidP="00BA67C4"/>
    <w:sectPr w:rsidR="008A1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E353" w14:textId="77777777" w:rsidR="00A93C7C" w:rsidRDefault="00A93C7C" w:rsidP="005D4946">
      <w:pPr>
        <w:spacing w:after="0" w:line="240" w:lineRule="auto"/>
      </w:pPr>
      <w:r>
        <w:separator/>
      </w:r>
    </w:p>
  </w:endnote>
  <w:endnote w:type="continuationSeparator" w:id="0">
    <w:p w14:paraId="124CFF4A" w14:textId="77777777" w:rsidR="00A93C7C" w:rsidRDefault="00A93C7C" w:rsidP="005D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7EA5" w14:textId="77777777" w:rsidR="00A93C7C" w:rsidRDefault="00A93C7C" w:rsidP="005D4946">
      <w:pPr>
        <w:spacing w:after="0" w:line="240" w:lineRule="auto"/>
      </w:pPr>
      <w:r>
        <w:separator/>
      </w:r>
    </w:p>
  </w:footnote>
  <w:footnote w:type="continuationSeparator" w:id="0">
    <w:p w14:paraId="1B8583CD" w14:textId="77777777" w:rsidR="00A93C7C" w:rsidRDefault="00A93C7C" w:rsidP="005D4946">
      <w:pPr>
        <w:spacing w:after="0" w:line="240" w:lineRule="auto"/>
      </w:pPr>
      <w:r>
        <w:continuationSeparator/>
      </w:r>
    </w:p>
  </w:footnote>
  <w:footnote w:id="1">
    <w:p w14:paraId="7C19F15E" w14:textId="77777777" w:rsidR="005D4946" w:rsidRPr="00C957B8" w:rsidRDefault="005D4946" w:rsidP="005D4946">
      <w:pPr>
        <w:pStyle w:val="FootnoteText"/>
        <w:rPr>
          <w:rFonts w:cs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957B8">
        <w:rPr>
          <w:rFonts w:cstheme="minorHAnsi"/>
          <w:sz w:val="18"/>
          <w:szCs w:val="18"/>
        </w:rPr>
        <w:t xml:space="preserve">Siebert et al (2010), Supplement S1 and S2. For Baluchistan and </w:t>
      </w:r>
      <w:proofErr w:type="spellStart"/>
      <w:r w:rsidRPr="00C957B8">
        <w:rPr>
          <w:rFonts w:cstheme="minorHAnsi"/>
          <w:sz w:val="18"/>
          <w:szCs w:val="18"/>
        </w:rPr>
        <w:t>Khayber</w:t>
      </w:r>
      <w:proofErr w:type="spellEnd"/>
      <w:r w:rsidRPr="00C957B8">
        <w:rPr>
          <w:rFonts w:cstheme="minorHAnsi"/>
          <w:sz w:val="18"/>
          <w:szCs w:val="18"/>
        </w:rPr>
        <w:t xml:space="preserve"> </w:t>
      </w:r>
      <w:proofErr w:type="spellStart"/>
      <w:r w:rsidRPr="00C957B8">
        <w:rPr>
          <w:rFonts w:cstheme="minorHAnsi"/>
          <w:sz w:val="18"/>
          <w:szCs w:val="18"/>
        </w:rPr>
        <w:t>Pakhtunwa</w:t>
      </w:r>
      <w:proofErr w:type="spellEnd"/>
      <w:r w:rsidRPr="00C957B8">
        <w:rPr>
          <w:rFonts w:cstheme="minorHAnsi"/>
          <w:sz w:val="18"/>
          <w:szCs w:val="18"/>
        </w:rPr>
        <w:t xml:space="preserve"> in Pakistan, estimates of groundwater irrigated area by Siebert et al. (2010), Supplement S2 are for 1995 and too high (44.77 million hectare); therefore, we have used Pakistan Agriculture Census data. </w:t>
      </w:r>
    </w:p>
  </w:footnote>
  <w:footnote w:id="2">
    <w:p w14:paraId="0D56D19E" w14:textId="0321437B" w:rsidR="00BA67C4" w:rsidRPr="00C957B8" w:rsidRDefault="00BA67C4">
      <w:pPr>
        <w:pStyle w:val="FootnoteText"/>
        <w:rPr>
          <w:rFonts w:cstheme="minorHAnsi"/>
          <w:sz w:val="18"/>
          <w:szCs w:val="18"/>
          <w:lang w:val="en-US"/>
        </w:rPr>
      </w:pPr>
      <w:r w:rsidRPr="00C957B8">
        <w:rPr>
          <w:rStyle w:val="FootnoteReference"/>
          <w:rFonts w:cstheme="minorHAnsi"/>
          <w:sz w:val="18"/>
          <w:szCs w:val="18"/>
        </w:rPr>
        <w:footnoteRef/>
      </w:r>
      <w:r w:rsidRPr="00C957B8">
        <w:rPr>
          <w:rFonts w:cstheme="minorHAnsi"/>
          <w:sz w:val="18"/>
          <w:szCs w:val="18"/>
        </w:rPr>
        <w:t xml:space="preserve"> West Bengal has metered all </w:t>
      </w:r>
      <w:r w:rsidR="00C957B8" w:rsidRPr="00C957B8">
        <w:rPr>
          <w:rFonts w:cstheme="minorHAnsi"/>
          <w:sz w:val="18"/>
          <w:szCs w:val="18"/>
        </w:rPr>
        <w:t xml:space="preserve">electrified </w:t>
      </w:r>
      <w:proofErr w:type="spellStart"/>
      <w:r w:rsidRPr="00C957B8">
        <w:rPr>
          <w:rFonts w:cstheme="minorHAnsi"/>
          <w:sz w:val="18"/>
          <w:szCs w:val="18"/>
        </w:rPr>
        <w:t>tubewells</w:t>
      </w:r>
      <w:proofErr w:type="spellEnd"/>
      <w:r w:rsidRPr="00C957B8">
        <w:rPr>
          <w:rFonts w:cstheme="minorHAnsi"/>
          <w:sz w:val="18"/>
          <w:szCs w:val="18"/>
        </w:rPr>
        <w:t xml:space="preserve">; Gujarat has 1.4 million metered and 0.48 million unmetered connections </w:t>
      </w:r>
      <w:r w:rsidR="00C957B8" w:rsidRPr="00C957B8">
        <w:rPr>
          <w:rFonts w:cstheme="minorHAnsi"/>
          <w:sz w:val="18"/>
          <w:szCs w:val="18"/>
        </w:rPr>
        <w:t>under a stringent power rationing regime. Therefore, we have excluded these two states</w:t>
      </w:r>
      <w:r w:rsidRPr="00C957B8">
        <w:rPr>
          <w:rFonts w:cstheme="minorHAnsi"/>
          <w:sz w:val="18"/>
          <w:szCs w:val="18"/>
        </w:rPr>
        <w:t xml:space="preserve">. </w:t>
      </w:r>
    </w:p>
  </w:footnote>
  <w:footnote w:id="3">
    <w:p w14:paraId="48C4E81B" w14:textId="1CFF032F" w:rsidR="00F97979" w:rsidRPr="00C957B8" w:rsidRDefault="005D4946" w:rsidP="005D4946">
      <w:pPr>
        <w:pStyle w:val="FootnoteText"/>
        <w:rPr>
          <w:rFonts w:cstheme="minorHAnsi"/>
          <w:sz w:val="18"/>
          <w:szCs w:val="18"/>
        </w:rPr>
      </w:pPr>
      <w:r w:rsidRPr="00C957B8">
        <w:rPr>
          <w:rStyle w:val="FootnoteReference"/>
          <w:rFonts w:cstheme="minorHAnsi"/>
          <w:sz w:val="18"/>
          <w:szCs w:val="18"/>
        </w:rPr>
        <w:footnoteRef/>
      </w:r>
      <w:r w:rsidRPr="00C957B8">
        <w:rPr>
          <w:rFonts w:cstheme="minorHAnsi"/>
          <w:sz w:val="18"/>
          <w:szCs w:val="18"/>
        </w:rPr>
        <w:t xml:space="preserve"> This may be a</w:t>
      </w:r>
      <w:r w:rsidR="00C957B8" w:rsidRPr="00C957B8">
        <w:rPr>
          <w:rFonts w:cstheme="minorHAnsi"/>
          <w:sz w:val="18"/>
          <w:szCs w:val="18"/>
        </w:rPr>
        <w:t xml:space="preserve"> serious</w:t>
      </w:r>
      <w:r w:rsidRPr="00C957B8">
        <w:rPr>
          <w:rFonts w:cstheme="minorHAnsi"/>
          <w:sz w:val="18"/>
          <w:szCs w:val="18"/>
        </w:rPr>
        <w:t xml:space="preserve"> underestimate since India’s </w:t>
      </w:r>
      <w:r w:rsidR="00F97979" w:rsidRPr="00C957B8">
        <w:rPr>
          <w:rFonts w:cstheme="minorHAnsi"/>
          <w:sz w:val="18"/>
          <w:szCs w:val="18"/>
        </w:rPr>
        <w:t>6</w:t>
      </w:r>
      <w:r w:rsidRPr="00C957B8">
        <w:rPr>
          <w:rFonts w:cstheme="minorHAnsi"/>
          <w:sz w:val="18"/>
          <w:szCs w:val="18"/>
          <w:vertAlign w:val="superscript"/>
        </w:rPr>
        <w:t>th</w:t>
      </w:r>
      <w:r w:rsidRPr="00C957B8">
        <w:rPr>
          <w:rFonts w:cstheme="minorHAnsi"/>
          <w:sz w:val="18"/>
          <w:szCs w:val="18"/>
        </w:rPr>
        <w:t xml:space="preserve"> Minor Irrigation Census</w:t>
      </w:r>
      <w:r w:rsidR="00F97979" w:rsidRPr="00C957B8">
        <w:rPr>
          <w:rFonts w:cstheme="minorHAnsi"/>
          <w:sz w:val="18"/>
          <w:szCs w:val="18"/>
        </w:rPr>
        <w:t xml:space="preserve"> for 2017-18</w:t>
      </w:r>
      <w:r w:rsidRPr="00C957B8">
        <w:rPr>
          <w:rFonts w:cstheme="minorHAnsi"/>
          <w:sz w:val="18"/>
          <w:szCs w:val="18"/>
        </w:rPr>
        <w:t xml:space="preserve"> (p:29) counted the gross area irrigated by groundwater wells at 6</w:t>
      </w:r>
      <w:r w:rsidR="00F97979" w:rsidRPr="00C957B8">
        <w:rPr>
          <w:rFonts w:cstheme="minorHAnsi"/>
          <w:sz w:val="18"/>
          <w:szCs w:val="18"/>
        </w:rPr>
        <w:t>9.6</w:t>
      </w:r>
      <w:r w:rsidRPr="00C957B8">
        <w:rPr>
          <w:rFonts w:cstheme="minorHAnsi"/>
          <w:sz w:val="18"/>
          <w:szCs w:val="18"/>
        </w:rPr>
        <w:t xml:space="preserve"> million hectares</w:t>
      </w:r>
      <w:r w:rsidR="00F97979" w:rsidRPr="00C957B8">
        <w:rPr>
          <w:rFonts w:cstheme="minorHAnsi"/>
          <w:sz w:val="18"/>
          <w:szCs w:val="18"/>
        </w:rPr>
        <w:t xml:space="preserve"> and irrigation potential created at 80.45 ha</w:t>
      </w:r>
      <w:r w:rsidRPr="00C957B8">
        <w:rPr>
          <w:rFonts w:cstheme="minorHAnsi"/>
          <w:sz w:val="18"/>
          <w:szCs w:val="18"/>
        </w:rPr>
        <w:t>.</w:t>
      </w:r>
      <w:r w:rsidR="00F97979" w:rsidRPr="00C957B8">
        <w:rPr>
          <w:rFonts w:cstheme="minorHAnsi"/>
          <w:sz w:val="18"/>
          <w:szCs w:val="18"/>
        </w:rPr>
        <w:t xml:space="preserve"> </w:t>
      </w:r>
      <w:hyperlink r:id="rId1" w:history="1">
        <w:r w:rsidR="00F97979" w:rsidRPr="00C957B8">
          <w:rPr>
            <w:rStyle w:val="Hyperlink"/>
            <w:rFonts w:cstheme="minorHAnsi"/>
            <w:sz w:val="18"/>
            <w:szCs w:val="18"/>
          </w:rPr>
          <w:t>https://micensus.gov.in/sites/default/files/reports/integratedReportII%28A%29.pdf</w:t>
        </w:r>
      </w:hyperlink>
    </w:p>
    <w:p w14:paraId="0A4D9053" w14:textId="2A4AC1D9" w:rsidR="005D4946" w:rsidRPr="00C957B8" w:rsidRDefault="0065488B" w:rsidP="005D4946">
      <w:pPr>
        <w:pStyle w:val="FootnoteText"/>
        <w:rPr>
          <w:rFonts w:cstheme="minorHAnsi"/>
          <w:sz w:val="18"/>
          <w:szCs w:val="18"/>
        </w:rPr>
      </w:pPr>
      <w:r w:rsidRPr="00C957B8">
        <w:rPr>
          <w:rFonts w:cstheme="minorHAnsi"/>
          <w:sz w:val="18"/>
          <w:szCs w:val="18"/>
        </w:rPr>
        <w:t xml:space="preserve"> visited on February 12, 2023</w:t>
      </w:r>
      <w:r w:rsidR="00C957B8" w:rsidRPr="00C957B8">
        <w:rPr>
          <w:rFonts w:cstheme="minorHAnsi"/>
          <w:sz w:val="18"/>
          <w:szCs w:val="18"/>
        </w:rPr>
        <w:t xml:space="preserve">. </w:t>
      </w:r>
    </w:p>
  </w:footnote>
  <w:footnote w:id="4">
    <w:p w14:paraId="57555CE0" w14:textId="2FC12F58" w:rsidR="00070B0E" w:rsidRPr="00C957B8" w:rsidRDefault="00070B0E">
      <w:pPr>
        <w:pStyle w:val="FootnoteText"/>
        <w:rPr>
          <w:rFonts w:cstheme="minorHAnsi"/>
          <w:sz w:val="18"/>
          <w:szCs w:val="18"/>
          <w:lang w:val="en-US"/>
        </w:rPr>
      </w:pPr>
      <w:r w:rsidRPr="00C957B8">
        <w:rPr>
          <w:rStyle w:val="FootnoteReference"/>
          <w:rFonts w:cstheme="minorHAnsi"/>
          <w:sz w:val="18"/>
          <w:szCs w:val="18"/>
        </w:rPr>
        <w:footnoteRef/>
      </w:r>
      <w:r w:rsidRPr="00C957B8">
        <w:rPr>
          <w:rFonts w:cstheme="minorHAnsi"/>
          <w:sz w:val="18"/>
          <w:szCs w:val="18"/>
        </w:rPr>
        <w:t xml:space="preserve"> </w:t>
      </w:r>
      <w:r w:rsidRPr="00C957B8">
        <w:rPr>
          <w:rFonts w:cstheme="minorHAnsi"/>
          <w:sz w:val="18"/>
          <w:szCs w:val="18"/>
        </w:rPr>
        <w:t>a</w:t>
      </w:r>
      <w:proofErr w:type="spellStart"/>
      <w:r w:rsidRPr="00C957B8">
        <w:rPr>
          <w:rFonts w:cstheme="minorHAnsi"/>
          <w:sz w:val="18"/>
          <w:szCs w:val="18"/>
          <w:lang w:val="en-US"/>
        </w:rPr>
        <w:t>ccording</w:t>
      </w:r>
      <w:proofErr w:type="spellEnd"/>
      <w:r w:rsidRPr="00C957B8">
        <w:rPr>
          <w:rFonts w:cstheme="minorHAnsi"/>
          <w:sz w:val="18"/>
          <w:szCs w:val="18"/>
          <w:lang w:val="en-US"/>
        </w:rPr>
        <w:t xml:space="preserve"> to Central Electricity Authority of India, total agricultural grid power connections in 2022 were 26.6 million and their connected load was 196.9 m HP.</w:t>
      </w:r>
      <w:r w:rsidRPr="00C957B8">
        <w:rPr>
          <w:rFonts w:cstheme="minorHAnsi"/>
          <w:sz w:val="18"/>
          <w:szCs w:val="18"/>
        </w:rPr>
        <w:t xml:space="preserve"> </w:t>
      </w:r>
      <w:hyperlink r:id="rId2" w:history="1">
        <w:r w:rsidRPr="00C957B8">
          <w:rPr>
            <w:rStyle w:val="Hyperlink"/>
            <w:rFonts w:cstheme="minorHAnsi"/>
            <w:sz w:val="18"/>
            <w:szCs w:val="18"/>
            <w:lang w:val="en-US"/>
          </w:rPr>
          <w:t>https://cea.nic.in/wp-content/uploads/general/2022/GR_2022_FINAL.pdf</w:t>
        </w:r>
      </w:hyperlink>
      <w:r w:rsidR="00C957B8" w:rsidRPr="00C957B8">
        <w:rPr>
          <w:rFonts w:cstheme="minorHAnsi"/>
          <w:sz w:val="18"/>
          <w:szCs w:val="18"/>
          <w:lang w:val="en-US"/>
        </w:rPr>
        <w:t xml:space="preserve"> From these, we have deducted the numbers for Gujarat and West Bengal.</w:t>
      </w:r>
    </w:p>
  </w:footnote>
  <w:footnote w:id="5">
    <w:p w14:paraId="3F815065" w14:textId="53ECED5A" w:rsidR="00F97979" w:rsidRPr="00C957B8" w:rsidRDefault="005D4946" w:rsidP="005D4946">
      <w:pPr>
        <w:pStyle w:val="FootnoteText"/>
        <w:rPr>
          <w:rFonts w:cstheme="minorHAnsi"/>
          <w:sz w:val="18"/>
          <w:szCs w:val="18"/>
        </w:rPr>
      </w:pPr>
      <w:r w:rsidRPr="00C957B8">
        <w:rPr>
          <w:rStyle w:val="FootnoteReference"/>
          <w:rFonts w:cstheme="minorHAnsi"/>
          <w:sz w:val="18"/>
          <w:szCs w:val="18"/>
        </w:rPr>
        <w:footnoteRef/>
      </w:r>
      <w:r w:rsidRPr="00C957B8">
        <w:rPr>
          <w:rFonts w:cstheme="minorHAnsi"/>
          <w:sz w:val="18"/>
          <w:szCs w:val="18"/>
        </w:rPr>
        <w:t xml:space="preserve"> </w:t>
      </w:r>
      <w:r w:rsidR="00070B0E" w:rsidRPr="00C957B8">
        <w:rPr>
          <w:rFonts w:cstheme="minorHAnsi"/>
          <w:sz w:val="18"/>
          <w:szCs w:val="18"/>
        </w:rPr>
        <w:t>The average capacity of electric irrigation pumps is 7.15 HP</w:t>
      </w:r>
      <w:r w:rsidR="00C957B8" w:rsidRPr="00C957B8">
        <w:rPr>
          <w:rFonts w:cstheme="minorHAnsi"/>
          <w:sz w:val="18"/>
          <w:szCs w:val="18"/>
        </w:rPr>
        <w:t xml:space="preserve"> in the</w:t>
      </w:r>
      <w:r w:rsidR="00070B0E" w:rsidRPr="00C957B8">
        <w:rPr>
          <w:rFonts w:cstheme="minorHAnsi"/>
          <w:sz w:val="18"/>
          <w:szCs w:val="18"/>
        </w:rPr>
        <w:t xml:space="preserve"> </w:t>
      </w:r>
      <w:r w:rsidR="00436731" w:rsidRPr="00C957B8">
        <w:rPr>
          <w:rFonts w:cstheme="minorHAnsi"/>
          <w:sz w:val="18"/>
          <w:szCs w:val="18"/>
        </w:rPr>
        <w:t xml:space="preserve">Report of the </w:t>
      </w:r>
      <w:r w:rsidR="00F97979" w:rsidRPr="00C957B8">
        <w:rPr>
          <w:rFonts w:cstheme="minorHAnsi"/>
          <w:sz w:val="18"/>
          <w:szCs w:val="18"/>
        </w:rPr>
        <w:t>6</w:t>
      </w:r>
      <w:r w:rsidR="00436731" w:rsidRPr="00C957B8">
        <w:rPr>
          <w:rFonts w:cstheme="minorHAnsi"/>
          <w:sz w:val="18"/>
          <w:szCs w:val="18"/>
        </w:rPr>
        <w:t>th Minor Irrigation Census 201</w:t>
      </w:r>
      <w:r w:rsidR="00F97979" w:rsidRPr="00C957B8">
        <w:rPr>
          <w:rFonts w:cstheme="minorHAnsi"/>
          <w:sz w:val="18"/>
          <w:szCs w:val="18"/>
        </w:rPr>
        <w:t>7</w:t>
      </w:r>
      <w:r w:rsidR="00436731" w:rsidRPr="00C957B8">
        <w:rPr>
          <w:rFonts w:cstheme="minorHAnsi"/>
          <w:sz w:val="18"/>
          <w:szCs w:val="18"/>
        </w:rPr>
        <w:t>-1</w:t>
      </w:r>
      <w:r w:rsidR="00F97979" w:rsidRPr="00C957B8">
        <w:rPr>
          <w:rFonts w:cstheme="minorHAnsi"/>
          <w:sz w:val="18"/>
          <w:szCs w:val="18"/>
        </w:rPr>
        <w:t>8</w:t>
      </w:r>
      <w:r w:rsidR="00436731" w:rsidRPr="00C957B8">
        <w:rPr>
          <w:rFonts w:cstheme="minorHAnsi"/>
          <w:sz w:val="18"/>
          <w:szCs w:val="18"/>
        </w:rPr>
        <w:t xml:space="preserve">. New Delhi: </w:t>
      </w:r>
      <w:r w:rsidR="00C957B8" w:rsidRPr="00C957B8">
        <w:rPr>
          <w:rFonts w:cstheme="minorHAnsi"/>
          <w:sz w:val="18"/>
          <w:szCs w:val="18"/>
        </w:rPr>
        <w:t xml:space="preserve">in Government of India (GOI) (2023) </w:t>
      </w:r>
      <w:r w:rsidR="00436731" w:rsidRPr="00C957B8">
        <w:rPr>
          <w:rFonts w:cstheme="minorHAnsi"/>
          <w:sz w:val="18"/>
          <w:szCs w:val="18"/>
        </w:rPr>
        <w:t>Ministry of Water Resources.</w:t>
      </w:r>
      <w:r w:rsidR="00F97979" w:rsidRPr="00C957B8">
        <w:rPr>
          <w:rFonts w:cstheme="minorHAnsi"/>
          <w:sz w:val="18"/>
          <w:szCs w:val="18"/>
        </w:rPr>
        <w:t xml:space="preserve"> </w:t>
      </w:r>
      <w:hyperlink r:id="rId3" w:history="1">
        <w:r w:rsidR="00F97979" w:rsidRPr="00C957B8">
          <w:rPr>
            <w:rStyle w:val="Hyperlink"/>
            <w:rFonts w:cstheme="minorHAnsi"/>
            <w:sz w:val="18"/>
            <w:szCs w:val="18"/>
          </w:rPr>
          <w:t>https://micensus.gov.in/sites/default/files/reports/integratedReportII%28A%29.pdf</w:t>
        </w:r>
      </w:hyperlink>
    </w:p>
    <w:p w14:paraId="46169197" w14:textId="187AEBD7" w:rsidR="0065488B" w:rsidRPr="00C957B8" w:rsidRDefault="00436731" w:rsidP="005D4946">
      <w:pPr>
        <w:pStyle w:val="FootnoteText"/>
        <w:rPr>
          <w:rFonts w:cstheme="minorHAnsi"/>
          <w:sz w:val="18"/>
          <w:szCs w:val="18"/>
        </w:rPr>
      </w:pPr>
      <w:r w:rsidRPr="00C957B8">
        <w:rPr>
          <w:rFonts w:cstheme="minorHAnsi"/>
          <w:sz w:val="18"/>
          <w:szCs w:val="18"/>
        </w:rPr>
        <w:t xml:space="preserve"> </w:t>
      </w:r>
      <w:r w:rsidR="0065488B" w:rsidRPr="00C957B8">
        <w:rPr>
          <w:rFonts w:cstheme="minorHAnsi"/>
          <w:sz w:val="18"/>
          <w:szCs w:val="18"/>
        </w:rPr>
        <w:t>visited on February 12, 2023</w:t>
      </w:r>
    </w:p>
  </w:footnote>
  <w:footnote w:id="6">
    <w:p w14:paraId="1461BEC0" w14:textId="2D96B990" w:rsidR="00117FEF" w:rsidRPr="00C957B8" w:rsidRDefault="00080E48">
      <w:pPr>
        <w:pStyle w:val="FootnoteText"/>
        <w:rPr>
          <w:rFonts w:cstheme="minorHAnsi"/>
          <w:sz w:val="18"/>
          <w:szCs w:val="18"/>
          <w:lang w:val="en-US"/>
        </w:rPr>
      </w:pPr>
      <w:r w:rsidRPr="00C957B8">
        <w:rPr>
          <w:rStyle w:val="FootnoteReference"/>
          <w:rFonts w:cstheme="minorHAnsi"/>
          <w:sz w:val="18"/>
          <w:szCs w:val="18"/>
        </w:rPr>
        <w:footnoteRef/>
      </w:r>
      <w:r w:rsidRPr="00C957B8">
        <w:rPr>
          <w:rFonts w:cstheme="minorHAnsi"/>
          <w:sz w:val="18"/>
          <w:szCs w:val="18"/>
        </w:rPr>
        <w:t xml:space="preserve"> </w:t>
      </w:r>
      <w:r w:rsidR="00E305DE" w:rsidRPr="00C957B8">
        <w:rPr>
          <w:rFonts w:cstheme="minorHAnsi"/>
          <w:sz w:val="18"/>
          <w:szCs w:val="18"/>
        </w:rPr>
        <w:t xml:space="preserve"> India’s 6</w:t>
      </w:r>
      <w:r w:rsidR="00E305DE" w:rsidRPr="00C957B8">
        <w:rPr>
          <w:rFonts w:cstheme="minorHAnsi"/>
          <w:sz w:val="18"/>
          <w:szCs w:val="18"/>
          <w:vertAlign w:val="superscript"/>
        </w:rPr>
        <w:t>th</w:t>
      </w:r>
      <w:r w:rsidR="00E305DE" w:rsidRPr="00C957B8">
        <w:rPr>
          <w:rFonts w:cstheme="minorHAnsi"/>
          <w:sz w:val="18"/>
          <w:szCs w:val="18"/>
        </w:rPr>
        <w:t xml:space="preserve"> Minor Irrigation Census </w:t>
      </w:r>
      <w:r w:rsidR="00C957B8" w:rsidRPr="00C957B8">
        <w:rPr>
          <w:rFonts w:cstheme="minorHAnsi"/>
          <w:sz w:val="18"/>
          <w:szCs w:val="18"/>
        </w:rPr>
        <w:t xml:space="preserve">yields a significantly lower estimate </w:t>
      </w:r>
      <w:proofErr w:type="gramStart"/>
      <w:r w:rsidR="00C957B8" w:rsidRPr="00C957B8">
        <w:rPr>
          <w:rFonts w:cstheme="minorHAnsi"/>
          <w:sz w:val="18"/>
          <w:szCs w:val="18"/>
        </w:rPr>
        <w:t xml:space="preserve">at </w:t>
      </w:r>
      <w:r w:rsidR="00E305DE" w:rsidRPr="00C957B8">
        <w:rPr>
          <w:rFonts w:cstheme="minorHAnsi"/>
          <w:sz w:val="18"/>
          <w:szCs w:val="18"/>
        </w:rPr>
        <w:t xml:space="preserve"> 151.6</w:t>
      </w:r>
      <w:proofErr w:type="gramEnd"/>
      <w:r w:rsidR="00E305DE" w:rsidRPr="00C957B8">
        <w:rPr>
          <w:rFonts w:cstheme="minorHAnsi"/>
          <w:sz w:val="18"/>
          <w:szCs w:val="18"/>
        </w:rPr>
        <w:t xml:space="preserve"> m HP (16.6 m electrified wells with average capacity of 9.1 HP</w:t>
      </w:r>
      <w:r w:rsidR="00F97979" w:rsidRPr="00C957B8">
        <w:rPr>
          <w:rFonts w:cstheme="minorHAnsi"/>
          <w:sz w:val="18"/>
          <w:szCs w:val="18"/>
        </w:rPr>
        <w:t>)</w:t>
      </w:r>
      <w:r w:rsidR="00E305DE" w:rsidRPr="00C957B8">
        <w:rPr>
          <w:rFonts w:cstheme="minorHAnsi"/>
          <w:sz w:val="18"/>
          <w:szCs w:val="18"/>
        </w:rPr>
        <w:t xml:space="preserve">. </w:t>
      </w:r>
      <w:r w:rsidR="00F97979" w:rsidRPr="00C957B8">
        <w:rPr>
          <w:rFonts w:cstheme="minorHAnsi"/>
          <w:sz w:val="18"/>
          <w:szCs w:val="18"/>
        </w:rPr>
        <w:t xml:space="preserve"> However, </w:t>
      </w:r>
      <w:r w:rsidR="00C957B8" w:rsidRPr="00C957B8">
        <w:rPr>
          <w:rFonts w:cstheme="minorHAnsi"/>
          <w:sz w:val="18"/>
          <w:szCs w:val="18"/>
        </w:rPr>
        <w:t xml:space="preserve">we believe the </w:t>
      </w:r>
      <w:r w:rsidR="003953FE" w:rsidRPr="00C957B8">
        <w:rPr>
          <w:rFonts w:cstheme="minorHAnsi"/>
          <w:sz w:val="18"/>
          <w:szCs w:val="18"/>
          <w:lang w:val="en-US"/>
        </w:rPr>
        <w:t>Central Electricity Authority of India</w:t>
      </w:r>
      <w:r w:rsidR="00C957B8" w:rsidRPr="00C957B8">
        <w:rPr>
          <w:rFonts w:cstheme="minorHAnsi"/>
          <w:sz w:val="18"/>
          <w:szCs w:val="18"/>
          <w:lang w:val="en-US"/>
        </w:rPr>
        <w:t xml:space="preserve"> is more accurate in</w:t>
      </w:r>
      <w:r w:rsidR="003953FE" w:rsidRPr="00C957B8">
        <w:rPr>
          <w:rFonts w:cstheme="minorHAnsi"/>
          <w:sz w:val="18"/>
          <w:szCs w:val="18"/>
          <w:lang w:val="en-US"/>
        </w:rPr>
        <w:t xml:space="preserve"> </w:t>
      </w:r>
      <w:r w:rsidR="00FD0216" w:rsidRPr="00C957B8">
        <w:rPr>
          <w:rFonts w:cstheme="minorHAnsi"/>
          <w:sz w:val="18"/>
          <w:szCs w:val="18"/>
          <w:lang w:val="en-US"/>
        </w:rPr>
        <w:t>total agricultural grid power connections</w:t>
      </w:r>
      <w:r w:rsidR="00117FEF" w:rsidRPr="00C957B8">
        <w:rPr>
          <w:rFonts w:cstheme="minorHAnsi"/>
          <w:sz w:val="18"/>
          <w:szCs w:val="18"/>
        </w:rPr>
        <w:t xml:space="preserve"> </w:t>
      </w:r>
      <w:hyperlink r:id="rId4" w:history="1">
        <w:r w:rsidR="001148B4" w:rsidRPr="00C957B8">
          <w:rPr>
            <w:rStyle w:val="Hyperlink"/>
            <w:rFonts w:cstheme="minorHAnsi"/>
            <w:sz w:val="18"/>
            <w:szCs w:val="18"/>
            <w:lang w:val="en-US"/>
          </w:rPr>
          <w:t>https://cea.nic.in/wp-content/uploads/general/2022/GR_2022_FINAL.pdf</w:t>
        </w:r>
      </w:hyperlink>
    </w:p>
  </w:footnote>
  <w:footnote w:id="7">
    <w:p w14:paraId="350C92BF" w14:textId="1573CFD4" w:rsidR="005D4946" w:rsidRPr="00C957B8" w:rsidRDefault="005D4946" w:rsidP="005D4946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</w:pPr>
      <w:r w:rsidRPr="00C957B8">
        <w:rPr>
          <w:rStyle w:val="FootnoteReference"/>
          <w:rFonts w:asciiTheme="minorHAnsi" w:hAnsiTheme="minorHAnsi" w:cstheme="minorHAnsi"/>
          <w:b w:val="0"/>
          <w:bCs w:val="0"/>
          <w:sz w:val="18"/>
          <w:szCs w:val="18"/>
        </w:rPr>
        <w:footnoteRef/>
      </w:r>
      <w:r w:rsidRPr="00C957B8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="00436731" w:rsidRPr="00C957B8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Lytton L, Ali A, Garthwaite B, </w:t>
      </w:r>
      <w:proofErr w:type="spellStart"/>
      <w:r w:rsidR="00436731" w:rsidRPr="00C957B8">
        <w:rPr>
          <w:rFonts w:asciiTheme="minorHAnsi" w:hAnsiTheme="minorHAnsi" w:cstheme="minorHAnsi"/>
          <w:b w:val="0"/>
          <w:bCs w:val="0"/>
          <w:sz w:val="18"/>
          <w:szCs w:val="18"/>
        </w:rPr>
        <w:t>Punthakey</w:t>
      </w:r>
      <w:proofErr w:type="spellEnd"/>
      <w:r w:rsidR="00436731" w:rsidRPr="00C957B8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JF and Saeed B (2021) Groundwater in Pakistan’s Indus Basin Present and Future Prospects, Washington: The World Bank</w:t>
      </w:r>
    </w:p>
  </w:footnote>
  <w:footnote w:id="8">
    <w:p w14:paraId="2D4595A9" w14:textId="77777777" w:rsidR="00436731" w:rsidRPr="00C957B8" w:rsidRDefault="005D4946" w:rsidP="005D4946">
      <w:pPr>
        <w:pStyle w:val="FootnoteText"/>
        <w:rPr>
          <w:rFonts w:cstheme="minorHAnsi"/>
          <w:sz w:val="18"/>
          <w:szCs w:val="18"/>
        </w:rPr>
      </w:pPr>
      <w:r w:rsidRPr="00C957B8">
        <w:rPr>
          <w:rStyle w:val="FootnoteReference"/>
          <w:rFonts w:cstheme="minorHAnsi"/>
          <w:sz w:val="18"/>
          <w:szCs w:val="18"/>
        </w:rPr>
        <w:footnoteRef/>
      </w:r>
      <w:r w:rsidRPr="00C957B8">
        <w:rPr>
          <w:rFonts w:cstheme="minorHAnsi"/>
          <w:sz w:val="18"/>
          <w:szCs w:val="18"/>
        </w:rPr>
        <w:t xml:space="preserve"> 0.52 m ha in Baluchistan and 0.2 m ha in Khyber </w:t>
      </w:r>
      <w:proofErr w:type="spellStart"/>
      <w:r w:rsidRPr="00C957B8">
        <w:rPr>
          <w:rFonts w:cstheme="minorHAnsi"/>
          <w:sz w:val="18"/>
          <w:szCs w:val="18"/>
        </w:rPr>
        <w:t>Pakhtunwa</w:t>
      </w:r>
      <w:proofErr w:type="spellEnd"/>
      <w:r w:rsidRPr="00C957B8">
        <w:rPr>
          <w:rFonts w:cstheme="minorHAnsi"/>
          <w:sz w:val="18"/>
          <w:szCs w:val="18"/>
        </w:rPr>
        <w:t xml:space="preserve"> </w:t>
      </w:r>
    </w:p>
    <w:p w14:paraId="3E6681BA" w14:textId="79658387" w:rsidR="005D4946" w:rsidRPr="00C957B8" w:rsidRDefault="00436731" w:rsidP="005D4946">
      <w:pPr>
        <w:pStyle w:val="FootnoteText"/>
        <w:rPr>
          <w:rFonts w:cstheme="minorHAnsi"/>
          <w:sz w:val="18"/>
          <w:szCs w:val="18"/>
        </w:rPr>
      </w:pPr>
      <w:r w:rsidRPr="00C957B8">
        <w:rPr>
          <w:rFonts w:cstheme="minorHAnsi"/>
          <w:sz w:val="18"/>
          <w:szCs w:val="18"/>
        </w:rPr>
        <w:t>Government of Pakistan (2022) Agricultural Statistics of Pakistan 2019-20. Pakistan Bureau of Statistics, Statistics Division, Islamabad. Government of Pakistan (</w:t>
      </w:r>
      <w:proofErr w:type="spellStart"/>
      <w:r w:rsidRPr="00C957B8">
        <w:rPr>
          <w:rFonts w:cstheme="minorHAnsi"/>
          <w:sz w:val="18"/>
          <w:szCs w:val="18"/>
        </w:rPr>
        <w:t>GoP</w:t>
      </w:r>
      <w:proofErr w:type="spellEnd"/>
      <w:r w:rsidRPr="00C957B8">
        <w:rPr>
          <w:rFonts w:cstheme="minorHAnsi"/>
          <w:sz w:val="18"/>
          <w:szCs w:val="18"/>
        </w:rPr>
        <w:t xml:space="preserve">) </w:t>
      </w:r>
      <w:hyperlink r:id="rId5" w:history="1">
        <w:r w:rsidRPr="00C957B8">
          <w:rPr>
            <w:rStyle w:val="Hyperlink"/>
            <w:rFonts w:cstheme="minorHAnsi"/>
            <w:sz w:val="18"/>
            <w:szCs w:val="18"/>
          </w:rPr>
          <w:t>https://www.pbs.gov.pk/content/agriculture-statistics</w:t>
        </w:r>
      </w:hyperlink>
      <w:r w:rsidRPr="00C957B8">
        <w:rPr>
          <w:rFonts w:cstheme="minorHAnsi"/>
          <w:sz w:val="18"/>
          <w:szCs w:val="18"/>
        </w:rPr>
        <w:t xml:space="preserve"> </w:t>
      </w:r>
      <w:r w:rsidR="0065488B" w:rsidRPr="00C957B8">
        <w:rPr>
          <w:rFonts w:cstheme="minorHAnsi"/>
          <w:sz w:val="18"/>
          <w:szCs w:val="18"/>
        </w:rPr>
        <w:t>, visited on February 12, 2023</w:t>
      </w:r>
    </w:p>
  </w:footnote>
  <w:footnote w:id="9">
    <w:p w14:paraId="7D8B9C53" w14:textId="0F6E949B" w:rsidR="005D4946" w:rsidRPr="00C957B8" w:rsidRDefault="005D4946" w:rsidP="005D4946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C957B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C957B8">
        <w:rPr>
          <w:rFonts w:asciiTheme="minorHAnsi" w:hAnsiTheme="minorHAnsi" w:cstheme="minorHAnsi"/>
          <w:sz w:val="18"/>
          <w:szCs w:val="18"/>
        </w:rPr>
        <w:t xml:space="preserve"> </w:t>
      </w:r>
      <w:r w:rsidR="00436731" w:rsidRPr="00C957B8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Rana AW, Davies S, Moeen MS and </w:t>
      </w:r>
      <w:proofErr w:type="spellStart"/>
      <w:r w:rsidR="00436731" w:rsidRPr="00C957B8">
        <w:rPr>
          <w:rFonts w:asciiTheme="minorHAnsi" w:hAnsiTheme="minorHAnsi" w:cstheme="minorHAnsi"/>
          <w:b w:val="0"/>
          <w:bCs w:val="0"/>
          <w:sz w:val="18"/>
          <w:szCs w:val="18"/>
        </w:rPr>
        <w:t>Shikoh</w:t>
      </w:r>
      <w:proofErr w:type="spellEnd"/>
      <w:r w:rsidR="00436731" w:rsidRPr="00C957B8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SH (2020) Solarization of electric tube-wells for agriculture in </w:t>
      </w:r>
      <w:proofErr w:type="spellStart"/>
      <w:proofErr w:type="gramStart"/>
      <w:r w:rsidR="00436731" w:rsidRPr="00C957B8">
        <w:rPr>
          <w:rFonts w:asciiTheme="minorHAnsi" w:hAnsiTheme="minorHAnsi" w:cstheme="minorHAnsi"/>
          <w:b w:val="0"/>
          <w:bCs w:val="0"/>
          <w:sz w:val="18"/>
          <w:szCs w:val="18"/>
        </w:rPr>
        <w:t>Balochistan</w:t>
      </w:r>
      <w:proofErr w:type="spellEnd"/>
      <w:r w:rsidR="00436731" w:rsidRPr="00C957B8">
        <w:rPr>
          <w:rFonts w:asciiTheme="minorHAnsi" w:hAnsiTheme="minorHAnsi" w:cstheme="minorHAnsi"/>
          <w:b w:val="0"/>
          <w:bCs w:val="0"/>
          <w:sz w:val="18"/>
          <w:szCs w:val="18"/>
        </w:rPr>
        <w:t>,  Economic</w:t>
      </w:r>
      <w:proofErr w:type="gramEnd"/>
      <w:r w:rsidR="00436731" w:rsidRPr="00C957B8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and environmental viability,  DOI:10.2499/p15738coll2.134030</w:t>
      </w:r>
    </w:p>
  </w:footnote>
  <w:footnote w:id="10">
    <w:p w14:paraId="6FF92199" w14:textId="77777777" w:rsidR="005D4946" w:rsidRPr="00C957B8" w:rsidRDefault="005D4946" w:rsidP="005D4946">
      <w:pPr>
        <w:pStyle w:val="FootnoteText"/>
        <w:rPr>
          <w:rFonts w:cstheme="minorHAnsi"/>
          <w:sz w:val="18"/>
          <w:szCs w:val="18"/>
        </w:rPr>
      </w:pPr>
      <w:r w:rsidRPr="00C957B8">
        <w:rPr>
          <w:rStyle w:val="FootnoteReference"/>
          <w:rFonts w:cstheme="minorHAnsi"/>
          <w:sz w:val="18"/>
          <w:szCs w:val="18"/>
        </w:rPr>
        <w:footnoteRef/>
      </w:r>
      <w:r w:rsidRPr="00C957B8">
        <w:rPr>
          <w:rFonts w:cstheme="minorHAnsi"/>
          <w:sz w:val="18"/>
          <w:szCs w:val="18"/>
        </w:rPr>
        <w:t xml:space="preserve"> </w:t>
      </w:r>
      <w:r w:rsidRPr="00C957B8">
        <w:rPr>
          <w:rStyle w:val="authors"/>
          <w:rFonts w:cstheme="minorHAnsi"/>
          <w:sz w:val="18"/>
          <w:szCs w:val="18"/>
        </w:rPr>
        <w:t>Nabavi E (2018</w:t>
      </w:r>
      <w:proofErr w:type="gramStart"/>
      <w:r w:rsidRPr="00C957B8">
        <w:rPr>
          <w:rStyle w:val="authors"/>
          <w:rFonts w:cstheme="minorHAnsi"/>
          <w:sz w:val="18"/>
          <w:szCs w:val="18"/>
        </w:rPr>
        <w:t>)  Failed</w:t>
      </w:r>
      <w:proofErr w:type="gramEnd"/>
      <w:r w:rsidRPr="00C957B8">
        <w:rPr>
          <w:rStyle w:val="authors"/>
          <w:rFonts w:cstheme="minorHAnsi"/>
          <w:sz w:val="18"/>
          <w:szCs w:val="18"/>
        </w:rPr>
        <w:t xml:space="preserve"> Policies, Falling Aquifers: Unpacking Groundwater Over-abstraction in Iran.  </w:t>
      </w:r>
      <w:r w:rsidRPr="00C957B8">
        <w:rPr>
          <w:rStyle w:val="authors"/>
          <w:rFonts w:cstheme="minorHAnsi"/>
          <w:i/>
          <w:sz w:val="18"/>
          <w:szCs w:val="18"/>
          <w:lang w:val="de-DE"/>
        </w:rPr>
        <w:t>Water Alternatives</w:t>
      </w:r>
      <w:r w:rsidRPr="00C957B8">
        <w:rPr>
          <w:rStyle w:val="authors"/>
          <w:rFonts w:cstheme="minorHAnsi"/>
          <w:sz w:val="18"/>
          <w:szCs w:val="18"/>
        </w:rPr>
        <w:t xml:space="preserve"> 11(3), 699-724.</w:t>
      </w:r>
    </w:p>
  </w:footnote>
  <w:footnote w:id="11">
    <w:p w14:paraId="438AD7C1" w14:textId="77777777" w:rsidR="005D4946" w:rsidRPr="00C957B8" w:rsidRDefault="005D4946" w:rsidP="005D4946">
      <w:pPr>
        <w:pStyle w:val="BodyText"/>
        <w:ind w:left="720" w:hanging="720"/>
        <w:rPr>
          <w:rFonts w:asciiTheme="minorHAnsi" w:hAnsiTheme="minorHAnsi" w:cstheme="minorHAnsi"/>
          <w:spacing w:val="0"/>
          <w:sz w:val="18"/>
          <w:szCs w:val="18"/>
          <w:u w:val="single"/>
        </w:rPr>
      </w:pPr>
      <w:r w:rsidRPr="00C957B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C957B8">
        <w:rPr>
          <w:rFonts w:asciiTheme="minorHAnsi" w:hAnsiTheme="minorHAnsi" w:cstheme="minorHAnsi"/>
          <w:sz w:val="18"/>
          <w:szCs w:val="18"/>
        </w:rPr>
        <w:t xml:space="preserve"> </w:t>
      </w:r>
      <w:r w:rsidRPr="00C957B8">
        <w:rPr>
          <w:rStyle w:val="authors"/>
          <w:rFonts w:asciiTheme="minorHAnsi" w:hAnsiTheme="minorHAnsi" w:cstheme="minorHAnsi"/>
          <w:spacing w:val="0"/>
          <w:sz w:val="18"/>
          <w:szCs w:val="18"/>
        </w:rPr>
        <w:t xml:space="preserve">FAO (2009) Groundwater Management in Saudi Arabia: Draft Synthesis Report. Rome: FAO </w:t>
      </w:r>
    </w:p>
  </w:footnote>
  <w:footnote w:id="12">
    <w:p w14:paraId="4083D39E" w14:textId="77777777" w:rsidR="005D4946" w:rsidRPr="00C957B8" w:rsidRDefault="005D4946" w:rsidP="005D4946">
      <w:pPr>
        <w:pStyle w:val="FootnoteText"/>
        <w:rPr>
          <w:rFonts w:cstheme="minorHAnsi"/>
          <w:sz w:val="18"/>
          <w:szCs w:val="18"/>
        </w:rPr>
      </w:pPr>
      <w:r w:rsidRPr="00C957B8">
        <w:rPr>
          <w:rStyle w:val="FootnoteReference"/>
          <w:rFonts w:cstheme="minorHAnsi"/>
          <w:sz w:val="18"/>
          <w:szCs w:val="18"/>
        </w:rPr>
        <w:footnoteRef/>
      </w:r>
      <w:r w:rsidRPr="00C957B8">
        <w:rPr>
          <w:rFonts w:cstheme="minorHAnsi"/>
          <w:sz w:val="18"/>
          <w:szCs w:val="18"/>
        </w:rPr>
        <w:t xml:space="preserve"> Number of pumps and average size from pers. Comm. Christopher Scott, email dated February 6, 2023.</w:t>
      </w:r>
    </w:p>
  </w:footnote>
  <w:footnote w:id="13">
    <w:p w14:paraId="1C5A1956" w14:textId="77777777" w:rsidR="005D4946" w:rsidRPr="00C957B8" w:rsidRDefault="005D4946" w:rsidP="005D4946">
      <w:pPr>
        <w:pStyle w:val="FootnoteText"/>
        <w:rPr>
          <w:rFonts w:cstheme="minorHAnsi"/>
          <w:sz w:val="18"/>
          <w:szCs w:val="18"/>
        </w:rPr>
      </w:pPr>
      <w:r w:rsidRPr="00C957B8">
        <w:rPr>
          <w:rStyle w:val="FootnoteReference"/>
          <w:rFonts w:cstheme="minorHAnsi"/>
          <w:sz w:val="18"/>
          <w:szCs w:val="18"/>
        </w:rPr>
        <w:footnoteRef/>
      </w:r>
      <w:r w:rsidRPr="00C957B8">
        <w:rPr>
          <w:rFonts w:cstheme="minorHAnsi"/>
          <w:sz w:val="18"/>
          <w:szCs w:val="18"/>
        </w:rPr>
        <w:t xml:space="preserve">  Data on number and size of irrigation pumps in Morocco, </w:t>
      </w:r>
      <w:proofErr w:type="gramStart"/>
      <w:r w:rsidRPr="00C957B8">
        <w:rPr>
          <w:rFonts w:cstheme="minorHAnsi"/>
          <w:sz w:val="18"/>
          <w:szCs w:val="18"/>
        </w:rPr>
        <w:t>Algeria</w:t>
      </w:r>
      <w:proofErr w:type="gramEnd"/>
      <w:r w:rsidRPr="00C957B8">
        <w:rPr>
          <w:rFonts w:cstheme="minorHAnsi"/>
          <w:sz w:val="18"/>
          <w:szCs w:val="18"/>
        </w:rPr>
        <w:t xml:space="preserve"> and Tunisia from Kuper et al., 2016.</w:t>
      </w:r>
    </w:p>
    <w:p w14:paraId="3CEE98FE" w14:textId="28701706" w:rsidR="0065488B" w:rsidRPr="00C957B8" w:rsidRDefault="0065488B" w:rsidP="005D4946">
      <w:pPr>
        <w:pStyle w:val="FootnoteText"/>
        <w:rPr>
          <w:rFonts w:cstheme="minorHAnsi"/>
          <w:sz w:val="18"/>
          <w:szCs w:val="18"/>
        </w:rPr>
      </w:pPr>
      <w:r w:rsidRPr="00C957B8">
        <w:rPr>
          <w:rFonts w:cstheme="minorHAnsi"/>
          <w:sz w:val="18"/>
          <w:szCs w:val="18"/>
        </w:rPr>
        <w:t xml:space="preserve">Kuper M, </w:t>
      </w:r>
      <w:proofErr w:type="spellStart"/>
      <w:r w:rsidRPr="00C957B8">
        <w:rPr>
          <w:rFonts w:cstheme="minorHAnsi"/>
          <w:sz w:val="18"/>
          <w:szCs w:val="18"/>
        </w:rPr>
        <w:t>Faysse</w:t>
      </w:r>
      <w:proofErr w:type="spellEnd"/>
      <w:r w:rsidRPr="00C957B8">
        <w:rPr>
          <w:rFonts w:cstheme="minorHAnsi"/>
          <w:sz w:val="18"/>
          <w:szCs w:val="18"/>
        </w:rPr>
        <w:t xml:space="preserve"> N, </w:t>
      </w:r>
      <w:proofErr w:type="spellStart"/>
      <w:r w:rsidRPr="00C957B8">
        <w:rPr>
          <w:rFonts w:cstheme="minorHAnsi"/>
          <w:sz w:val="18"/>
          <w:szCs w:val="18"/>
        </w:rPr>
        <w:t>Hammani</w:t>
      </w:r>
      <w:proofErr w:type="spellEnd"/>
      <w:r w:rsidRPr="00C957B8">
        <w:rPr>
          <w:rFonts w:cstheme="minorHAnsi"/>
          <w:sz w:val="18"/>
          <w:szCs w:val="18"/>
        </w:rPr>
        <w:t xml:space="preserve"> A, </w:t>
      </w:r>
      <w:proofErr w:type="spellStart"/>
      <w:r w:rsidRPr="00C957B8">
        <w:rPr>
          <w:rFonts w:cstheme="minorHAnsi"/>
          <w:sz w:val="18"/>
          <w:szCs w:val="18"/>
        </w:rPr>
        <w:t>Hartani</w:t>
      </w:r>
      <w:proofErr w:type="spellEnd"/>
      <w:r w:rsidRPr="00C957B8">
        <w:rPr>
          <w:rFonts w:cstheme="minorHAnsi"/>
          <w:sz w:val="18"/>
          <w:szCs w:val="18"/>
        </w:rPr>
        <w:t xml:space="preserve"> </w:t>
      </w:r>
      <w:proofErr w:type="gramStart"/>
      <w:r w:rsidRPr="00C957B8">
        <w:rPr>
          <w:rFonts w:cstheme="minorHAnsi"/>
          <w:sz w:val="18"/>
          <w:szCs w:val="18"/>
        </w:rPr>
        <w:t>T,  Marlet</w:t>
      </w:r>
      <w:proofErr w:type="gramEnd"/>
      <w:r w:rsidRPr="00C957B8">
        <w:rPr>
          <w:rFonts w:cstheme="minorHAnsi"/>
          <w:sz w:val="18"/>
          <w:szCs w:val="18"/>
        </w:rPr>
        <w:t xml:space="preserve"> S, </w:t>
      </w:r>
      <w:proofErr w:type="spellStart"/>
      <w:r w:rsidRPr="00C957B8">
        <w:rPr>
          <w:rFonts w:cstheme="minorHAnsi"/>
          <w:sz w:val="18"/>
          <w:szCs w:val="18"/>
        </w:rPr>
        <w:t>Hamamouche</w:t>
      </w:r>
      <w:proofErr w:type="spellEnd"/>
      <w:r w:rsidRPr="00C957B8">
        <w:rPr>
          <w:rFonts w:cstheme="minorHAnsi"/>
          <w:sz w:val="18"/>
          <w:szCs w:val="18"/>
        </w:rPr>
        <w:t xml:space="preserve"> MF and Ameur F (2016) Liberation or Anarchy? The Janus Nature of Groundwater Use on North Africa’s New Irrigation Frontiers. In Integrated Groundwater </w:t>
      </w:r>
      <w:proofErr w:type="gramStart"/>
      <w:r w:rsidRPr="00C957B8">
        <w:rPr>
          <w:rFonts w:cstheme="minorHAnsi"/>
          <w:sz w:val="18"/>
          <w:szCs w:val="18"/>
        </w:rPr>
        <w:t>Management,  (</w:t>
      </w:r>
      <w:proofErr w:type="gramEnd"/>
      <w:r w:rsidRPr="00C957B8">
        <w:rPr>
          <w:rFonts w:cstheme="minorHAnsi"/>
          <w:sz w:val="18"/>
          <w:szCs w:val="18"/>
        </w:rPr>
        <w:t xml:space="preserve">ed. Jakeman AJ), pp 583-615. Springer, Cham. </w:t>
      </w:r>
      <w:hyperlink r:id="rId6" w:history="1">
        <w:r w:rsidRPr="00C957B8">
          <w:rPr>
            <w:rStyle w:val="Hyperlink"/>
            <w:rFonts w:cstheme="minorHAnsi"/>
            <w:sz w:val="18"/>
            <w:szCs w:val="18"/>
          </w:rPr>
          <w:t>https://doi.org/10.1007/978-3-319-23576-9_23</w:t>
        </w:r>
      </w:hyperlink>
    </w:p>
    <w:p w14:paraId="478AAFEA" w14:textId="77777777" w:rsidR="005D4946" w:rsidRPr="00C957B8" w:rsidRDefault="005D4946" w:rsidP="005D4946">
      <w:pPr>
        <w:pStyle w:val="FootnoteText"/>
        <w:rPr>
          <w:rFonts w:cstheme="minorHAnsi"/>
          <w:sz w:val="18"/>
          <w:szCs w:val="18"/>
        </w:rPr>
      </w:pPr>
    </w:p>
    <w:p w14:paraId="2E8B7C46" w14:textId="77777777" w:rsidR="005D4946" w:rsidRPr="00C957B8" w:rsidRDefault="005D4946" w:rsidP="005D4946">
      <w:pPr>
        <w:pStyle w:val="FootnoteText"/>
        <w:rPr>
          <w:rFonts w:cstheme="minorHAnsi"/>
          <w:sz w:val="18"/>
          <w:szCs w:val="18"/>
        </w:rPr>
      </w:pPr>
    </w:p>
    <w:p w14:paraId="382B6238" w14:textId="77777777" w:rsidR="005D4946" w:rsidRPr="00C957B8" w:rsidRDefault="005D4946" w:rsidP="005D4946">
      <w:pPr>
        <w:pStyle w:val="FootnoteText"/>
        <w:rPr>
          <w:rFonts w:cstheme="minorHAnsi"/>
          <w:sz w:val="18"/>
          <w:szCs w:val="18"/>
        </w:rPr>
      </w:pPr>
    </w:p>
    <w:p w14:paraId="7363E18C" w14:textId="77777777" w:rsidR="005D4946" w:rsidRPr="00C957B8" w:rsidRDefault="005D4946" w:rsidP="005D4946">
      <w:pPr>
        <w:pStyle w:val="FootnoteText"/>
        <w:ind w:left="720" w:hanging="720"/>
        <w:rPr>
          <w:rFonts w:cstheme="minorHAns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46"/>
    <w:rsid w:val="0005027F"/>
    <w:rsid w:val="00070B0E"/>
    <w:rsid w:val="00080E48"/>
    <w:rsid w:val="000A7DEC"/>
    <w:rsid w:val="00110FC6"/>
    <w:rsid w:val="001148B4"/>
    <w:rsid w:val="00117FEF"/>
    <w:rsid w:val="00150FB5"/>
    <w:rsid w:val="001931EB"/>
    <w:rsid w:val="0027444B"/>
    <w:rsid w:val="003531FF"/>
    <w:rsid w:val="00363986"/>
    <w:rsid w:val="00394ED7"/>
    <w:rsid w:val="003953FE"/>
    <w:rsid w:val="003E1DF2"/>
    <w:rsid w:val="00436731"/>
    <w:rsid w:val="00527B68"/>
    <w:rsid w:val="005D4946"/>
    <w:rsid w:val="0061374A"/>
    <w:rsid w:val="0065488B"/>
    <w:rsid w:val="00667012"/>
    <w:rsid w:val="00713032"/>
    <w:rsid w:val="00A93C7C"/>
    <w:rsid w:val="00B823A0"/>
    <w:rsid w:val="00BA67C4"/>
    <w:rsid w:val="00BC04AB"/>
    <w:rsid w:val="00BD2A59"/>
    <w:rsid w:val="00C0742E"/>
    <w:rsid w:val="00C4729A"/>
    <w:rsid w:val="00C957B8"/>
    <w:rsid w:val="00D22ED6"/>
    <w:rsid w:val="00D846D4"/>
    <w:rsid w:val="00E305DE"/>
    <w:rsid w:val="00EC1B8B"/>
    <w:rsid w:val="00F965B3"/>
    <w:rsid w:val="00F97979"/>
    <w:rsid w:val="00F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E0FBB"/>
  <w15:docId w15:val="{D13C532F-BEEF-48BD-8835-BF599308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946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D4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946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  <w14:ligatures w14:val="none"/>
    </w:rPr>
  </w:style>
  <w:style w:type="character" w:customStyle="1" w:styleId="authors">
    <w:name w:val="authors"/>
    <w:rsid w:val="005D4946"/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D4946"/>
    <w:pPr>
      <w:spacing w:after="0" w:line="240" w:lineRule="auto"/>
    </w:pPr>
    <w:rPr>
      <w:rFonts w:eastAsia="PMingLiU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4946"/>
    <w:rPr>
      <w:rFonts w:eastAsia="PMingLiU"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5D494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rsid w:val="005D4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pacing w:val="-5"/>
      <w:kern w:val="0"/>
      <w:sz w:val="24"/>
      <w:szCs w:val="24"/>
      <w:u w:color="000000"/>
      <w:bdr w:val="nil"/>
      <w:lang w:val="en-US" w:eastAsia="en-IN"/>
      <w14:ligatures w14:val="none"/>
    </w:rPr>
  </w:style>
  <w:style w:type="character" w:customStyle="1" w:styleId="BodyTextChar">
    <w:name w:val="Body Text Char"/>
    <w:basedOn w:val="DefaultParagraphFont"/>
    <w:link w:val="BodyText"/>
    <w:rsid w:val="005D4946"/>
    <w:rPr>
      <w:rFonts w:ascii="Calibri" w:eastAsia="Arial Unicode MS" w:hAnsi="Calibri" w:cs="Arial Unicode MS"/>
      <w:color w:val="000000"/>
      <w:spacing w:val="-5"/>
      <w:kern w:val="0"/>
      <w:sz w:val="24"/>
      <w:szCs w:val="24"/>
      <w:u w:color="000000"/>
      <w:bdr w:val="nil"/>
      <w:lang w:val="en-US" w:eastAsia="en-IN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5D49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D49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7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icensus.gov.in/sites/default/files/reports/integratedReportII%28A%29.pdf" TargetMode="External"/><Relationship Id="rId2" Type="http://schemas.openxmlformats.org/officeDocument/2006/relationships/hyperlink" Target="https://cea.nic.in/wp-content/uploads/general/2022/GR_2022_FINAL.pdf" TargetMode="External"/><Relationship Id="rId1" Type="http://schemas.openxmlformats.org/officeDocument/2006/relationships/hyperlink" Target="https://micensus.gov.in/sites/default/files/reports/integratedReportII%28A%29.pdf" TargetMode="External"/><Relationship Id="rId6" Type="http://schemas.openxmlformats.org/officeDocument/2006/relationships/hyperlink" Target="https://doi.org/10.1007/978-3-319-23576-9_23" TargetMode="External"/><Relationship Id="rId5" Type="http://schemas.openxmlformats.org/officeDocument/2006/relationships/hyperlink" Target="https://www.pbs.gov.pk/content/agriculture-statistics" TargetMode="External"/><Relationship Id="rId4" Type="http://schemas.openxmlformats.org/officeDocument/2006/relationships/hyperlink" Target="https://cea.nic.in/wp-content/uploads/general/2022/GR_2022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FFF80-1337-4467-A86C-5E04C0ED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Tushaar Shah</dc:creator>
  <cp:lastModifiedBy>Tushaar Shah</cp:lastModifiedBy>
  <cp:revision>2</cp:revision>
  <dcterms:created xsi:type="dcterms:W3CDTF">2023-08-10T11:19:00Z</dcterms:created>
  <dcterms:modified xsi:type="dcterms:W3CDTF">2023-08-10T11:19:00Z</dcterms:modified>
</cp:coreProperties>
</file>