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650" w:rsidRPr="00521045" w:rsidRDefault="00841650" w:rsidP="00841650">
      <w:pPr>
        <w:rPr>
          <w:u w:val="single"/>
        </w:rPr>
      </w:pPr>
      <w:r w:rsidRPr="00521045">
        <w:rPr>
          <w:u w:val="single"/>
        </w:rPr>
        <w:t>Supplementary Material</w:t>
      </w:r>
    </w:p>
    <w:p w:rsidR="00841650" w:rsidRPr="00521045" w:rsidRDefault="00841650" w:rsidP="00841650">
      <w:pPr>
        <w:rPr>
          <w:u w:val="single"/>
        </w:rPr>
      </w:pPr>
    </w:p>
    <w:p w:rsidR="00841650" w:rsidRPr="00521045" w:rsidRDefault="00841650" w:rsidP="00841650">
      <w:r w:rsidRPr="00521045">
        <w:t>Subgroup analysis</w:t>
      </w:r>
    </w:p>
    <w:p w:rsidR="00841650" w:rsidRPr="00521045" w:rsidRDefault="00841650" w:rsidP="00841650"/>
    <w:p w:rsidR="00841650" w:rsidRPr="00521045" w:rsidRDefault="00841650" w:rsidP="00841650">
      <w:r w:rsidRPr="00521045">
        <w:t>Rationale: Propensity score match on the subgroup of patients during the pandemic in the lower and upper half of the household income distribution, then repeating the Fine-Gray analysis from Figure 3 for those with a COVID diagnosis and HAI.</w:t>
      </w:r>
    </w:p>
    <w:p w:rsidR="00841650" w:rsidRPr="00521045" w:rsidRDefault="00841650" w:rsidP="00841650"/>
    <w:p w:rsidR="00841650" w:rsidRPr="00521045" w:rsidRDefault="00841650" w:rsidP="00841650">
      <w:r w:rsidRPr="00521045">
        <w:t>Figure SG1: Propensity score 1:1 matched analysis stratified by median annual Household income (HHI)</w:t>
      </w:r>
    </w:p>
    <w:p w:rsidR="00841650" w:rsidRPr="00521045" w:rsidRDefault="00841650" w:rsidP="00841650">
      <w:pPr>
        <w:ind w:left="5040" w:hanging="5040"/>
      </w:pPr>
      <w:r w:rsidRPr="00521045">
        <w:t>A. Upper 50% HHI (&gt;$51k) matched 2 x 63 patients         B. Lower 50% (</w:t>
      </w:r>
      <w:r w:rsidRPr="00521045">
        <w:rPr>
          <w:u w:val="single"/>
        </w:rPr>
        <w:t>&lt;</w:t>
      </w:r>
      <w:r w:rsidRPr="00521045">
        <w:t>$51k) 2 x 172 matched patients</w:t>
      </w:r>
    </w:p>
    <w:p w:rsidR="00841650" w:rsidRPr="00521045" w:rsidRDefault="00841650" w:rsidP="00841650">
      <w:pPr>
        <w:ind w:left="5040" w:hanging="5040"/>
      </w:pPr>
      <w:r w:rsidRPr="00521045">
        <w:t>(N=15 deaths with COVID, p=0.3).</w:t>
      </w:r>
      <w:r w:rsidRPr="00521045">
        <w:tab/>
        <w:t>(N=28 deaths, p=0.006); note - median HH income 6k lower in “Black” and 16% less with private insurance.</w:t>
      </w:r>
      <w:r w:rsidRPr="00521045">
        <w:tab/>
      </w:r>
    </w:p>
    <w:p w:rsidR="00841650" w:rsidRPr="00521045" w:rsidRDefault="00841650" w:rsidP="00841650">
      <w:r w:rsidRPr="00521045">
        <w:rPr>
          <w:noProof/>
        </w:rPr>
        <w:drawing>
          <wp:inline distT="0" distB="0" distL="0" distR="0" wp14:anchorId="35795A25" wp14:editId="0B840992">
            <wp:extent cx="2906234" cy="1937489"/>
            <wp:effectExtent l="0" t="0" r="889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_FG_covid_death_PS_UH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044" cy="194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1045">
        <w:rPr>
          <w:noProof/>
        </w:rPr>
        <w:drawing>
          <wp:inline distT="0" distB="0" distL="0" distR="0" wp14:anchorId="636FEE7E" wp14:editId="581D4A6A">
            <wp:extent cx="2927445" cy="1951629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_FG_covid_death_PS_LH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070" cy="195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650" w:rsidRPr="00521045" w:rsidRDefault="00841650" w:rsidP="00841650"/>
    <w:p w:rsidR="00841650" w:rsidRPr="00521045" w:rsidRDefault="00841650" w:rsidP="00841650">
      <w:pPr>
        <w:sectPr w:rsidR="00841650" w:rsidRPr="00521045" w:rsidSect="002074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1650" w:rsidRPr="00521045" w:rsidRDefault="00841650" w:rsidP="00841650">
      <w:r w:rsidRPr="00521045">
        <w:lastRenderedPageBreak/>
        <w:t xml:space="preserve">Table S1: Estimates from cause-specific Cox proportional hazards models for those with HAIs taking all-cause mortality as dependent variable prior to the pandemic (1), during the pandemic (2a), and for those patients with a COVID diagnosis (2c). Risk factors consistent across all 3 analyses shown in </w:t>
      </w:r>
      <w:r w:rsidRPr="00521045">
        <w:rPr>
          <w:b/>
        </w:rPr>
        <w:t>bold</w:t>
      </w:r>
      <w:r w:rsidRPr="00521045">
        <w:t xml:space="preserve">, with COVID specific trends in </w:t>
      </w:r>
      <w:r w:rsidRPr="00521045">
        <w:rPr>
          <w:i/>
        </w:rPr>
        <w:t>italics</w:t>
      </w:r>
      <w:r w:rsidRPr="00521045">
        <w:t>; HR&gt;1 indicates increased risk of death.</w:t>
      </w:r>
    </w:p>
    <w:p w:rsidR="00841650" w:rsidRPr="00521045" w:rsidRDefault="00841650" w:rsidP="00841650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975"/>
        <w:gridCol w:w="1170"/>
        <w:gridCol w:w="900"/>
        <w:gridCol w:w="1260"/>
        <w:gridCol w:w="810"/>
        <w:gridCol w:w="1170"/>
        <w:gridCol w:w="810"/>
        <w:gridCol w:w="1170"/>
        <w:gridCol w:w="990"/>
        <w:gridCol w:w="1170"/>
        <w:gridCol w:w="903"/>
        <w:gridCol w:w="1167"/>
        <w:gridCol w:w="817"/>
      </w:tblGrid>
      <w:tr w:rsidR="00841650" w:rsidRPr="00521045" w:rsidTr="005B3291">
        <w:tc>
          <w:tcPr>
            <w:tcW w:w="1975" w:type="dxa"/>
            <w:vMerge w:val="restart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27664552"/>
            <w:bookmarkStart w:id="1" w:name="OLE_LINK3"/>
            <w:bookmarkStart w:id="2" w:name="OLE_LINK4"/>
            <w:r w:rsidRPr="00521045">
              <w:rPr>
                <w:rFonts w:ascii="Arial" w:hAnsi="Arial" w:cs="Arial"/>
                <w:sz w:val="16"/>
                <w:szCs w:val="16"/>
              </w:rPr>
              <w:t>Endpoint: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Death (all-cause)</w:t>
            </w:r>
          </w:p>
        </w:tc>
        <w:tc>
          <w:tcPr>
            <w:tcW w:w="4140" w:type="dxa"/>
            <w:gridSpan w:val="4"/>
            <w:vMerge w:val="restart"/>
          </w:tcPr>
          <w:p w:rsidR="00841650" w:rsidRPr="00521045" w:rsidRDefault="00841650" w:rsidP="005B32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1. Pre-pandemic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(N=5697 patients, 1000 deaths)</w:t>
            </w:r>
          </w:p>
        </w:tc>
        <w:tc>
          <w:tcPr>
            <w:tcW w:w="8197" w:type="dxa"/>
            <w:gridSpan w:val="8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2. During pandemic</w:t>
            </w:r>
          </w:p>
        </w:tc>
      </w:tr>
      <w:tr w:rsidR="00841650" w:rsidRPr="00521045" w:rsidTr="005B3291">
        <w:tc>
          <w:tcPr>
            <w:tcW w:w="1975" w:type="dxa"/>
            <w:vMerge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gridSpan w:val="4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a.) All 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(N=750 patients, 160 deaths)</w:t>
            </w:r>
          </w:p>
        </w:tc>
        <w:tc>
          <w:tcPr>
            <w:tcW w:w="4057" w:type="dxa"/>
            <w:gridSpan w:val="4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b.)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21045">
              <w:rPr>
                <w:rFonts w:ascii="Arial" w:hAnsi="Arial" w:cs="Arial"/>
                <w:sz w:val="16"/>
                <w:szCs w:val="16"/>
              </w:rPr>
              <w:t xml:space="preserve">ith a COVID diagnosis 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(N=126 patients, 53 deaths)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Analysis</w:t>
            </w:r>
          </w:p>
        </w:tc>
        <w:tc>
          <w:tcPr>
            <w:tcW w:w="2070" w:type="dxa"/>
            <w:gridSpan w:val="2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Univariable</w:t>
            </w:r>
          </w:p>
        </w:tc>
        <w:tc>
          <w:tcPr>
            <w:tcW w:w="2070" w:type="dxa"/>
            <w:gridSpan w:val="2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Multivariable 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(N=5644 patients)</w:t>
            </w:r>
          </w:p>
        </w:tc>
        <w:tc>
          <w:tcPr>
            <w:tcW w:w="1980" w:type="dxa"/>
            <w:gridSpan w:val="2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Univariable</w:t>
            </w:r>
          </w:p>
        </w:tc>
        <w:tc>
          <w:tcPr>
            <w:tcW w:w="2160" w:type="dxa"/>
            <w:gridSpan w:val="2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Multivariable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(N=745 records)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Univariable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Multivariable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(N=126 records)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Risk factor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HR (95% CI)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aHR (95% CI)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HR (95% CI)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aHR (95% CI)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HR (95% CI)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aHR (95% CI)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Sex 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Female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Male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 (reference)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1.2 (1.1, 1.4)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OLE_LINK8"/>
            <w:r w:rsidRPr="00521045">
              <w:rPr>
                <w:rFonts w:ascii="Arial" w:hAnsi="Arial" w:cs="Arial"/>
                <w:sz w:val="16"/>
                <w:szCs w:val="16"/>
              </w:rPr>
              <w:t>1 (reference)</w:t>
            </w:r>
          </w:p>
          <w:bookmarkEnd w:id="3"/>
          <w:p w:rsidR="00841650" w:rsidRPr="00521045" w:rsidRDefault="00841650" w:rsidP="005B3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1.2 (1.1, 1.3)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 (reference)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1.4 (1.1, 1.8)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Age (10 year steps)</w:t>
            </w:r>
          </w:p>
          <w:p w:rsidR="00841650" w:rsidRPr="00521045" w:rsidRDefault="00841650" w:rsidP="005B329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Age </w:t>
            </w:r>
            <w:r w:rsidRPr="0052104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521045">
              <w:rPr>
                <w:rFonts w:ascii="Arial" w:hAnsi="Arial" w:cs="Arial"/>
                <w:b/>
                <w:sz w:val="16"/>
                <w:szCs w:val="16"/>
              </w:rPr>
              <w:t>&gt;65 years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1.2 (1.2, 1.3)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1.7 (1.5, 1.9)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1.5 (1.4, 1.6)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nE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1.2 (1.1, 1.3)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1.7 (1.5, 1.9)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  <w:lang w:val="fr-CH"/>
              </w:rPr>
              <w:t>1.5 (1.3, 1.7)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nE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  <w:lang w:val="fr-CH"/>
              </w:rPr>
              <w:t>&lt;0.001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1.2 (1.0, 1.5)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  <w:lang w:val="fr-CH"/>
              </w:rPr>
              <w:t>1.8 (1.2, 2.9)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0.03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  <w:lang w:val="fr-CH"/>
              </w:rPr>
              <w:t>0.006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  <w:lang w:val="fr-CH"/>
              </w:rPr>
              <w:t>3.0 (2.3, 4.0)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nE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  <w:lang w:val="fr-CH"/>
              </w:rPr>
              <w:t>&lt;0.001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BMI (5 point steps)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0.9 (0.8, 0.9)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&lt;0.001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0.9 (0.8, 0.9)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0.9 (0.8, 0.9)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1.2 (1.0, 1.4)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0.1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1.6 (1.4, 1.8)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&lt;0.001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Race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 xml:space="preserve">  Bla</w:t>
            </w:r>
            <w:r w:rsidRPr="00521045">
              <w:rPr>
                <w:rFonts w:ascii="Arial" w:hAnsi="Arial" w:cs="Arial"/>
                <w:sz w:val="16"/>
                <w:szCs w:val="16"/>
              </w:rPr>
              <w:t>ck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White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Other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 (reference)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1.4 (1.0, 1.8)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 (reference)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 (reference)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1.7 (1.1, 2.9)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0.6 (0.5, 0.6)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Hospital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1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3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 (reference)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1.5 (1.2, 1.8)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1.5 (1.2, 1.8)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 (reference)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1.3 (1.3, 1.6)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1.4 (1.3, 1.4)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OLE_LINK9"/>
            <w:bookmarkStart w:id="5" w:name="OLE_LINK10"/>
            <w:r w:rsidRPr="00521045">
              <w:rPr>
                <w:rFonts w:ascii="Arial" w:hAnsi="Arial" w:cs="Arial"/>
                <w:sz w:val="16"/>
                <w:szCs w:val="16"/>
              </w:rPr>
              <w:t>1 (reference)</w:t>
            </w:r>
          </w:p>
          <w:bookmarkEnd w:id="4"/>
          <w:bookmarkEnd w:id="5"/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1.8 (1.8, 1.8)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1.3 (1.3, 1.3)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(reference)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1.6 (1.5, 1.7)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1.5 (1.5, 1.6)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(reference)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0.7 (0.7, 0.7)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0.9 (0.9, 0.9)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(reference)</w:t>
            </w:r>
            <w:r w:rsidRPr="00521045">
              <w:rPr>
                <w:rFonts w:ascii="Arial" w:hAnsi="Arial" w:cs="Arial"/>
                <w:b/>
                <w:sz w:val="16"/>
                <w:szCs w:val="16"/>
              </w:rPr>
              <w:t>0.6 (0.5, 0.8)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0.002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Private insurance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1.1 (1.0, 1.3)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Comorbidities</w:t>
            </w:r>
            <w:r w:rsidRPr="0052104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Pulmonary circulation disease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Hypertension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1.2 (1.0, 1.5)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Chronic pulmonary disease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1.2 (1.0, 1.6)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1.2 (1.2, 1.3)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1.7 (1.4, 2.1)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1.9 (1.7, 2.2)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Chronic kidney disease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1.4 (1.2, 1.6)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1.1 (1.1, 1.1)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Coagulopathy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1.5 (1.5, 1.6)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1.6 (1.5, 1.6)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1.8 (1.5, 2.1)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1.8 (1.5, 2.0)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NS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 xml:space="preserve">  Obesity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0.8 (0.8, 0.9)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&lt;0.001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0.6 (0.5, 0.7)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de-CH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0.5 (0.4. 0.6)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Deficiency anemias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1.2 (1.1, 1.3)</w:t>
            </w:r>
            <w:r w:rsidRPr="00521045">
              <w:rPr>
                <w:rFonts w:ascii="Arial" w:hAnsi="Arial" w:cs="Arial"/>
                <w:sz w:val="16"/>
                <w:szCs w:val="16"/>
                <w:vertAlign w:val="superscript"/>
              </w:rPr>
              <w:t>!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0.9 (0.9, 1.0)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0.8 (0.8, 0.8)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0.7 (0.6, 0.8)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Diabetes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1.1 (1.0, 1.3)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0.5 (0.4, 0.7)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0.5 (0.4, 0.8)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Immuno-suppression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  Lymphoma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0.4 (0.3, 0.5)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0.5 (0.4, 0.6)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2104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21045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  Metastatic cancer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1.8 (1.6, 2.2)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1.8 (1.6, 2.1)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NS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 xml:space="preserve">    Oncologic procedure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0.8 (0.7, 0.9)</w:t>
            </w:r>
            <w:r w:rsidRPr="00521045">
              <w:rPr>
                <w:rFonts w:ascii="Arial" w:hAnsi="Arial" w:cs="Arial"/>
                <w:sz w:val="16"/>
                <w:szCs w:val="16"/>
                <w:vertAlign w:val="superscript"/>
                <w:lang w:val="it-IT"/>
              </w:rPr>
              <w:t>!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&lt;0.001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0.8 (0.7, 0.9)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0.01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0.4 (0.4, 0.5)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nE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 xml:space="preserve">    Leukemia diagnosis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it-IT"/>
              </w:rPr>
              <w:t>0.</w:t>
            </w: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7 (0.7, 0.8)</w:t>
            </w:r>
            <w:r w:rsidRPr="00521045">
              <w:rPr>
                <w:rFonts w:ascii="Arial" w:hAnsi="Arial" w:cs="Arial"/>
                <w:sz w:val="16"/>
                <w:szCs w:val="16"/>
                <w:vertAlign w:val="superscript"/>
                <w:lang w:val="fr-CH"/>
              </w:rPr>
              <w:t>!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&lt;0.001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0.8 (0.7, 0.9)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1.7 (1.4, 2.0)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2.8 (2.6, 3.0)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nE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 xml:space="preserve">    Transplant 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NS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nE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nE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1045">
              <w:rPr>
                <w:rFonts w:ascii="Arial" w:hAnsi="Arial" w:cs="Arial"/>
                <w:sz w:val="16"/>
                <w:szCs w:val="16"/>
                <w:lang w:val="fr-CH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lastRenderedPageBreak/>
              <w:t>Procedures (before HAI)</w:t>
            </w:r>
            <w:r w:rsidRPr="0052104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Renal procedure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1.5 (1.1, 2.1)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1.2 (1.4, 1.7)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Cardiac procedure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21045">
              <w:rPr>
                <w:rFonts w:ascii="Arial" w:hAnsi="Arial" w:cs="Arial"/>
                <w:i/>
                <w:sz w:val="16"/>
                <w:szCs w:val="16"/>
              </w:rPr>
              <w:t>1.4 (1.1, 1.7)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21045">
              <w:rPr>
                <w:rFonts w:ascii="Arial" w:hAnsi="Arial" w:cs="Arial"/>
                <w:i/>
                <w:sz w:val="16"/>
                <w:szCs w:val="16"/>
              </w:rPr>
              <w:t>0.006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bookmarkEnd w:id="0"/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Catheter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1.1 (1.0, 1.3)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0.8 (0.6, 1.0)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0.7 (0.5, 0.9)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Neuro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0.8 (0.7, 0.9) 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0.9 (0.9, 0.9)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0.4 (0.3, 0.5)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0.4 (0.4, 0.5)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Orthopedic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0.8 (0.7, 0.9)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0.9 (0.8, 1.0)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0.6 (0.3, 0.9)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0.7 (0.5, 1.0)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Surgery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0.8 (0.8, 0.9)</w:t>
            </w:r>
            <w:r w:rsidRPr="0052104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!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0.8 (0.7, 0.9)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0.5 (0.4, 0.7)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0.5 (0.4, 0.7)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Thoracic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0.8 (0.7, 0.9)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0.8 (0.7, 0.9)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41650" w:rsidRPr="00521045" w:rsidTr="005B3291">
        <w:tc>
          <w:tcPr>
            <w:tcW w:w="1975" w:type="dxa"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Collagen vascular disease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26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21045">
              <w:rPr>
                <w:rFonts w:ascii="Arial" w:hAnsi="Arial" w:cs="Arial"/>
                <w:i/>
                <w:sz w:val="16"/>
                <w:szCs w:val="16"/>
              </w:rPr>
              <w:t>0.5 (0.4, 0.7)</w:t>
            </w:r>
          </w:p>
        </w:tc>
        <w:tc>
          <w:tcPr>
            <w:tcW w:w="903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521045">
              <w:rPr>
                <w:rFonts w:ascii="Arial" w:hAnsi="Arial" w:cs="Arial"/>
                <w:i/>
                <w:sz w:val="16"/>
                <w:szCs w:val="16"/>
              </w:rPr>
              <w:t>&lt;0.001</w:t>
            </w:r>
          </w:p>
        </w:tc>
        <w:tc>
          <w:tcPr>
            <w:tcW w:w="116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</w:tbl>
    <w:bookmarkEnd w:id="1"/>
    <w:bookmarkEnd w:id="2"/>
    <w:p w:rsidR="00841650" w:rsidRPr="00521045" w:rsidRDefault="00841650" w:rsidP="00841650">
      <w:pPr>
        <w:rPr>
          <w:rFonts w:ascii="Arial" w:hAnsi="Arial" w:cs="Arial"/>
          <w:sz w:val="16"/>
          <w:szCs w:val="16"/>
        </w:rPr>
      </w:pPr>
      <w:r w:rsidRPr="00521045">
        <w:rPr>
          <w:rFonts w:ascii="Arial" w:hAnsi="Arial" w:cs="Arial"/>
          <w:sz w:val="16"/>
          <w:szCs w:val="16"/>
        </w:rPr>
        <w:t xml:space="preserve">NS – not significant at the 10% level; nE not estimated (collinear with another variable or too few patients); </w:t>
      </w:r>
      <w:r w:rsidRPr="00521045">
        <w:rPr>
          <w:rFonts w:ascii="Arial" w:hAnsi="Arial" w:cs="Arial"/>
          <w:sz w:val="16"/>
          <w:szCs w:val="16"/>
          <w:vertAlign w:val="superscript"/>
        </w:rPr>
        <w:t>1</w:t>
      </w:r>
      <w:r w:rsidRPr="00521045">
        <w:rPr>
          <w:rFonts w:ascii="Arial" w:hAnsi="Arial" w:cs="Arial"/>
          <w:sz w:val="16"/>
          <w:szCs w:val="16"/>
        </w:rPr>
        <w:t xml:space="preserve">not shown (not significant at the 10% level in univariable analyses): comorbidities -rheumatoid arthritis, solid tumor without metastasis, vascular procedure; </w:t>
      </w:r>
      <w:r w:rsidRPr="00521045">
        <w:rPr>
          <w:rFonts w:ascii="Arial" w:hAnsi="Arial" w:cs="Arial"/>
          <w:sz w:val="16"/>
          <w:szCs w:val="16"/>
          <w:vertAlign w:val="superscript"/>
        </w:rPr>
        <w:t>!</w:t>
      </w:r>
      <w:r w:rsidRPr="00521045">
        <w:rPr>
          <w:rFonts w:ascii="Arial" w:hAnsi="Arial" w:cs="Arial"/>
          <w:sz w:val="16"/>
          <w:szCs w:val="16"/>
        </w:rPr>
        <w:t>Grambsch-Thernau test for proportional hazards, p-value &lt; 0.05 (ie rejecting the null hypothesis of proportionality).</w:t>
      </w:r>
    </w:p>
    <w:p w:rsidR="00841650" w:rsidRPr="00521045" w:rsidRDefault="00841650" w:rsidP="00841650">
      <w:pPr>
        <w:rPr>
          <w:rFonts w:ascii="Arial" w:hAnsi="Arial" w:cs="Arial"/>
          <w:sz w:val="16"/>
          <w:szCs w:val="16"/>
        </w:rPr>
      </w:pPr>
    </w:p>
    <w:p w:rsidR="00841650" w:rsidRPr="00521045" w:rsidRDefault="00841650" w:rsidP="00841650">
      <w:pPr>
        <w:rPr>
          <w:sz w:val="16"/>
          <w:szCs w:val="16"/>
        </w:rPr>
      </w:pPr>
      <w:r w:rsidRPr="00521045">
        <w:rPr>
          <w:sz w:val="16"/>
          <w:szCs w:val="16"/>
        </w:rPr>
        <w:br w:type="page"/>
      </w:r>
    </w:p>
    <w:p w:rsidR="00841650" w:rsidRPr="00521045" w:rsidRDefault="00841650" w:rsidP="00841650">
      <w:r w:rsidRPr="00521045">
        <w:lastRenderedPageBreak/>
        <w:t>Table S2: Patient characteristics for the total cohort at baseline, and stratified by pre- and during pandemic (</w:t>
      </w:r>
      <w:r w:rsidRPr="00521045">
        <w:rPr>
          <w:i/>
        </w:rPr>
        <w:t>long version of Table 1</w:t>
      </w:r>
      <w:r w:rsidRPr="00521045">
        <w:t>)</w:t>
      </w:r>
    </w:p>
    <w:p w:rsidR="00841650" w:rsidRPr="00521045" w:rsidRDefault="00841650" w:rsidP="0084165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  <w:gridCol w:w="1710"/>
        <w:gridCol w:w="1350"/>
        <w:gridCol w:w="1800"/>
        <w:gridCol w:w="1080"/>
        <w:gridCol w:w="2430"/>
      </w:tblGrid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Characteristic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24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 (%) / median [IQR]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24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Total cohort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Pre-pandemic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During pandemic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p-value</w:t>
            </w:r>
            <w:r w:rsidRPr="0052104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During pandemic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HAI and COVID diagnosis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rPr>
                <w:rFonts w:ascii="Arial" w:hAnsi="Arial" w:cs="Arial"/>
                <w:sz w:val="24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Number of patients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6447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5697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521045">
              <w:rPr>
                <w:rFonts w:ascii="Arial" w:hAnsi="Arial" w:cs="Arial"/>
                <w:b/>
                <w:sz w:val="16"/>
                <w:szCs w:val="16"/>
              </w:rPr>
              <w:t>Primary Endpoint: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24"/>
              </w:rPr>
            </w:pPr>
            <w:r w:rsidRPr="00521045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</w:t>
            </w:r>
            <w:r w:rsidRPr="00521045">
              <w:rPr>
                <w:rFonts w:ascii="Arial" w:hAnsi="Arial" w:cs="Arial"/>
                <w:sz w:val="16"/>
                <w:szCs w:val="16"/>
              </w:rPr>
              <w:t>Death (all-cause)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1160 (18.0)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1000 (17.6)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160 (21.3)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53 (42.1)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OLE_LINK26"/>
            <w:bookmarkStart w:id="7" w:name="_Hlk127679021"/>
            <w:r w:rsidRPr="00521045">
              <w:rPr>
                <w:rFonts w:ascii="Arial" w:hAnsi="Arial" w:cs="Arial"/>
                <w:sz w:val="16"/>
                <w:szCs w:val="16"/>
              </w:rPr>
              <w:t>Length of stay (days)</w:t>
            </w:r>
            <w:bookmarkEnd w:id="6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8" w:name="OLE_LINK27"/>
            <w:r w:rsidRPr="00521045">
              <w:rPr>
                <w:rFonts w:ascii="Arial" w:hAnsi="Arial" w:cs="Arial"/>
                <w:sz w:val="16"/>
                <w:szCs w:val="16"/>
              </w:rPr>
              <w:t>19.00 [11, 31</w:t>
            </w:r>
            <w:bookmarkEnd w:id="8"/>
            <w:r w:rsidRPr="0052104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9" w:name="OLE_LINK30"/>
            <w:bookmarkStart w:id="10" w:name="OLE_LINK31"/>
            <w:r w:rsidRPr="00521045">
              <w:rPr>
                <w:rFonts w:ascii="Arial" w:hAnsi="Arial" w:cs="Arial"/>
                <w:sz w:val="16"/>
                <w:szCs w:val="16"/>
              </w:rPr>
              <w:t>19 [11, 31]</w:t>
            </w:r>
            <w:bookmarkEnd w:id="9"/>
            <w:bookmarkEnd w:id="1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1" w:name="OLE_LINK32"/>
            <w:r w:rsidRPr="00521045">
              <w:rPr>
                <w:rFonts w:ascii="Arial" w:hAnsi="Arial" w:cs="Arial"/>
                <w:sz w:val="16"/>
                <w:szCs w:val="16"/>
              </w:rPr>
              <w:t>21 [13, 35]</w:t>
            </w:r>
            <w:bookmarkEnd w:id="1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28 [19, 41]</w:t>
            </w:r>
          </w:p>
        </w:tc>
      </w:tr>
      <w:bookmarkEnd w:id="7"/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rPr>
                <w:rFonts w:ascii="Arial" w:hAnsi="Arial" w:cs="Arial"/>
                <w:sz w:val="24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Sex – female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3246 (50.3)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2900 (50.9)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346 (46.1)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49 (38.9)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rPr>
                <w:rFonts w:ascii="Arial" w:hAnsi="Arial" w:cs="Arial"/>
                <w:sz w:val="24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65 [54, 74]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65 [54, 74]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64 [53, 73]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66 [56, 73]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Race 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Black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White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24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Other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1814 (28.1)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4377 (67.9)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256 (4.0))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1557 (27.3)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3905 (68.5)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235 (4.1)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257 (34.3)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472 (62.9)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21 (2.8)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84 (66.7)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36 (28.6)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6 (4.8)   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rPr>
                <w:rFonts w:ascii="Arial" w:hAnsi="Arial" w:cs="Arial"/>
                <w:sz w:val="24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BMI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28 [23, 34]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28 [23, 33]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29 [25, 34]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32 [27, 38]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Hospital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1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  <w:p w:rsidR="00841650" w:rsidRPr="00521045" w:rsidRDefault="00841650" w:rsidP="005B3291">
            <w:pPr>
              <w:rPr>
                <w:rFonts w:ascii="Arial" w:hAnsi="Arial" w:cs="Arial"/>
                <w:sz w:val="24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4651 (72.1)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743 (11.5)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1053 (16.3)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4100 (72.0)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651 (11.4)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946 (16.6)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551 (73.5)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92 (12.3)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107 (14.3)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64 (50.8)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41 (32.5)</w:t>
            </w:r>
          </w:p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21 (16.7)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rPr>
                <w:rFonts w:ascii="Arial" w:hAnsi="Arial" w:cs="Arial"/>
                <w:sz w:val="24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Private insurance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3227 ( 50.1)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2884 (50.6)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343 (45.7)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53 (42.1)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Comorbidities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Pulmonary circulation disease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393 ( 6.1)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334 (5.9)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59 (7.9)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12 (9.5)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Hypertension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4971 (77.1)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4368 (76.7)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603 (80.4)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119 (94.4)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Chronic pulmonary disease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2145 (33.3)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1877 (32.9)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268 (35.7)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46 (36.5)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Chronic kidney disease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2189 (34.0)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1942 (34.1)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247 (32.9)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53 (42.1)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Coagulopathy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2107 (32.7)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1796 (31.5)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311 (41.5)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66 (52.4)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Obesity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1622 (25.2)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1407 (24.7)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215 (28.7)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55 (43.7)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Deficiency anemias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2400 (37.2)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2093 (36.7)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307 (40.9)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77 (61.1)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Diabetes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2475 (38.4)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2172 (38.1)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303 (40.4)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75 (59.5)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Immuno-suppression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Lymphoma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352 (5.5)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318 (5.6)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34 (4.5)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 (0.8)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Metastatic cancer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486 (7.5)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432 (7.6)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54 (7.2)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 (2.4)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Oncologic procedure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385 (6.0)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359 (6.3)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26 (3.5)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Leukemia diagnosis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369 (5.7)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333 (5.8)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36 (4.8)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 (0.8)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Transplant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78 ( 1.2)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75 (1.3)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 (0.4)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Procedures*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Renal procedure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645 (10.0)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547 (9.6)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98 (13.1)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40 (31.7)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Cardiac procedure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1195 (18.5)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1066 (18.7)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129 (17.2)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12 (9.5)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Catheter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2205 (34.2)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1896 (33.3)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309 (41.2)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81 (64.3)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Neuro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926 (14.4)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804 (14.1)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122 (16.3)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6 (4.8)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Orthopedic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262 (4.1)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222 (3.9)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40 (5.3)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 (0.0)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Surgery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1298 (20.1)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1170 (20.5)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128 (17.1)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9 (7.1)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Thoracic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1152 (17.9)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1011 (17.7)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141 (18.8)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21 (16.7)</w:t>
            </w:r>
          </w:p>
        </w:tc>
      </w:tr>
      <w:tr w:rsidR="00841650" w:rsidRPr="00521045" w:rsidTr="005B329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 xml:space="preserve">  Vascular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1067 (16.6)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925 (16.2)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142 (18.9)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0" w:rsidRPr="00521045" w:rsidRDefault="00841650" w:rsidP="005B32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045">
              <w:rPr>
                <w:rFonts w:ascii="Arial" w:hAnsi="Arial" w:cs="Arial"/>
                <w:sz w:val="16"/>
                <w:szCs w:val="16"/>
              </w:rPr>
              <w:t>23 (18.3)</w:t>
            </w:r>
          </w:p>
        </w:tc>
      </w:tr>
    </w:tbl>
    <w:p w:rsidR="00841650" w:rsidRPr="00521045" w:rsidRDefault="00841650" w:rsidP="00841650">
      <w:pPr>
        <w:rPr>
          <w:rFonts w:ascii="Arial" w:hAnsi="Arial" w:cs="Arial"/>
          <w:sz w:val="16"/>
          <w:szCs w:val="16"/>
        </w:rPr>
      </w:pPr>
      <w:r w:rsidRPr="00521045">
        <w:br w:type="textWrapping" w:clear="all"/>
      </w:r>
      <w:r w:rsidRPr="00521045">
        <w:rPr>
          <w:rFonts w:ascii="Arial" w:hAnsi="Arial" w:cs="Arial"/>
          <w:sz w:val="16"/>
          <w:szCs w:val="16"/>
          <w:vertAlign w:val="superscript"/>
        </w:rPr>
        <w:t>1</w:t>
      </w:r>
      <w:r w:rsidRPr="00521045">
        <w:rPr>
          <w:rFonts w:ascii="Arial" w:hAnsi="Arial" w:cs="Arial"/>
          <w:sz w:val="16"/>
          <w:szCs w:val="16"/>
        </w:rPr>
        <w:t>comparing the pre- and during pandemic groups;*procedures before the HAI.</w:t>
      </w:r>
    </w:p>
    <w:p w:rsidR="00841650" w:rsidRPr="00521045" w:rsidRDefault="00841650" w:rsidP="00841650"/>
    <w:p w:rsidR="00841650" w:rsidRPr="00521045" w:rsidRDefault="00841650" w:rsidP="00841650"/>
    <w:p w:rsidR="00841650" w:rsidRPr="00521045" w:rsidRDefault="00841650" w:rsidP="00841650">
      <w:pPr>
        <w:rPr>
          <w:szCs w:val="16"/>
        </w:rPr>
      </w:pPr>
      <w:r w:rsidRPr="00521045">
        <w:rPr>
          <w:szCs w:val="16"/>
        </w:rPr>
        <w:lastRenderedPageBreak/>
        <w:t xml:space="preserve">Appendix: Propensity score matching of Black and </w:t>
      </w:r>
      <w:r>
        <w:rPr>
          <w:szCs w:val="16"/>
        </w:rPr>
        <w:t>w</w:t>
      </w:r>
      <w:r w:rsidRPr="00521045">
        <w:rPr>
          <w:szCs w:val="16"/>
        </w:rPr>
        <w:t>hite patients during COVID.</w:t>
      </w:r>
    </w:p>
    <w:p w:rsidR="00841650" w:rsidRPr="00521045" w:rsidRDefault="00841650" w:rsidP="00841650">
      <w:pPr>
        <w:rPr>
          <w:szCs w:val="16"/>
        </w:rPr>
      </w:pPr>
    </w:p>
    <w:p w:rsidR="00841650" w:rsidRPr="00521045" w:rsidRDefault="00841650" w:rsidP="00841650">
      <w:pPr>
        <w:rPr>
          <w:szCs w:val="16"/>
        </w:rPr>
      </w:pPr>
    </w:p>
    <w:p w:rsidR="00841650" w:rsidRPr="00521045" w:rsidRDefault="00841650" w:rsidP="00841650">
      <w:pPr>
        <w:rPr>
          <w:szCs w:val="16"/>
          <w:u w:val="single"/>
        </w:rPr>
      </w:pPr>
      <w:bookmarkStart w:id="12" w:name="OLE_LINK46"/>
      <w:bookmarkStart w:id="13" w:name="OLE_LINK47"/>
      <w:r w:rsidRPr="00521045">
        <w:rPr>
          <w:szCs w:val="16"/>
          <w:u w:val="single"/>
        </w:rPr>
        <w:t>Upper Quartile of the HHI distribution</w:t>
      </w:r>
    </w:p>
    <w:bookmarkEnd w:id="12"/>
    <w:bookmarkEnd w:id="13"/>
    <w:p w:rsidR="00841650" w:rsidRPr="00521045" w:rsidRDefault="00841650" w:rsidP="00841650">
      <w:pPr>
        <w:rPr>
          <w:szCs w:val="16"/>
        </w:rPr>
      </w:pPr>
    </w:p>
    <w:tbl>
      <w:tblPr>
        <w:tblW w:w="3780" w:type="dxa"/>
        <w:tblLook w:val="04A0" w:firstRow="1" w:lastRow="0" w:firstColumn="1" w:lastColumn="0" w:noHBand="0" w:noVBand="1"/>
      </w:tblPr>
      <w:tblGrid>
        <w:gridCol w:w="1860"/>
        <w:gridCol w:w="960"/>
        <w:gridCol w:w="960"/>
      </w:tblGrid>
      <w:tr w:rsidR="00841650" w:rsidRPr="00521045" w:rsidTr="005B329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|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Control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Treated</w:t>
            </w:r>
          </w:p>
        </w:tc>
      </w:tr>
      <w:tr w:rsidR="00841650" w:rsidRPr="00521045" w:rsidTr="005B329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|All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841650" w:rsidRPr="00521045" w:rsidTr="005B329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|Matched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841650" w:rsidRPr="00521045" w:rsidTr="005B329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|Unmatched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41650" w:rsidRPr="00521045" w:rsidTr="005B329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|Discarded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41650" w:rsidRPr="00521045" w:rsidTr="005B329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41650" w:rsidRPr="00521045" w:rsidRDefault="00841650" w:rsidP="00841650">
      <w:pPr>
        <w:rPr>
          <w:szCs w:val="16"/>
        </w:rPr>
      </w:pPr>
      <w:r w:rsidRPr="00521045">
        <w:rPr>
          <w:szCs w:val="16"/>
        </w:rPr>
        <w:t xml:space="preserve">                    </w:t>
      </w:r>
      <w:r w:rsidRPr="00521045">
        <w:rPr>
          <w:szCs w:val="16"/>
        </w:rPr>
        <w:tab/>
      </w:r>
      <w:r w:rsidRPr="00521045">
        <w:rPr>
          <w:szCs w:val="16"/>
        </w:rPr>
        <w:tab/>
        <w:t xml:space="preserve">Black </w:t>
      </w:r>
      <w:r>
        <w:rPr>
          <w:szCs w:val="16"/>
        </w:rPr>
        <w:t>w</w:t>
      </w:r>
      <w:r w:rsidRPr="00521045">
        <w:rPr>
          <w:szCs w:val="16"/>
        </w:rPr>
        <w:t>hite</w:t>
      </w:r>
    </w:p>
    <w:p w:rsidR="00841650" w:rsidRPr="00521045" w:rsidRDefault="00841650" w:rsidP="00841650">
      <w:pPr>
        <w:rPr>
          <w:szCs w:val="16"/>
        </w:rPr>
      </w:pPr>
      <w:r w:rsidRPr="00521045">
        <w:rPr>
          <w:szCs w:val="16"/>
        </w:rPr>
        <w:t xml:space="preserve">  discharge                        50    51</w:t>
      </w:r>
    </w:p>
    <w:p w:rsidR="00841650" w:rsidRPr="00521045" w:rsidRDefault="00841650" w:rsidP="00841650">
      <w:pPr>
        <w:rPr>
          <w:b/>
          <w:szCs w:val="16"/>
        </w:rPr>
      </w:pPr>
      <w:r w:rsidRPr="00521045">
        <w:rPr>
          <w:szCs w:val="16"/>
        </w:rPr>
        <w:t xml:space="preserve">  </w:t>
      </w:r>
      <w:r w:rsidRPr="00521045">
        <w:rPr>
          <w:b/>
          <w:szCs w:val="16"/>
        </w:rPr>
        <w:t>death (w/out covid)       6     9</w:t>
      </w:r>
    </w:p>
    <w:p w:rsidR="00841650" w:rsidRPr="00521045" w:rsidRDefault="00841650" w:rsidP="00841650">
      <w:pPr>
        <w:rPr>
          <w:szCs w:val="16"/>
        </w:rPr>
      </w:pPr>
      <w:r w:rsidRPr="00521045">
        <w:rPr>
          <w:szCs w:val="16"/>
        </w:rPr>
        <w:t xml:space="preserve">  death (with covid)          7     3</w:t>
      </w:r>
    </w:p>
    <w:p w:rsidR="00841650" w:rsidRPr="00521045" w:rsidRDefault="00841650" w:rsidP="00841650">
      <w:pPr>
        <w:rPr>
          <w:szCs w:val="16"/>
        </w:rPr>
      </w:pPr>
    </w:p>
    <w:p w:rsidR="00841650" w:rsidRPr="00521045" w:rsidRDefault="00841650" w:rsidP="00841650">
      <w:pPr>
        <w:rPr>
          <w:szCs w:val="16"/>
        </w:rPr>
      </w:pPr>
    </w:p>
    <w:p w:rsidR="00841650" w:rsidRPr="00521045" w:rsidRDefault="00841650" w:rsidP="00841650">
      <w:pPr>
        <w:rPr>
          <w:szCs w:val="16"/>
        </w:rPr>
      </w:pPr>
      <w:r w:rsidRPr="00521045">
        <w:rPr>
          <w:noProof/>
        </w:rPr>
        <w:lastRenderedPageBreak/>
        <w:drawing>
          <wp:inline distT="0" distB="0" distL="0" distR="0" wp14:anchorId="76BC9AE6" wp14:editId="3C8F53F4">
            <wp:extent cx="4504055" cy="572516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50" w:rsidRPr="00521045" w:rsidRDefault="00841650" w:rsidP="00841650">
      <w:pPr>
        <w:rPr>
          <w:szCs w:val="16"/>
        </w:rPr>
      </w:pPr>
    </w:p>
    <w:p w:rsidR="00841650" w:rsidRPr="00521045" w:rsidRDefault="00841650" w:rsidP="00841650">
      <w:pPr>
        <w:rPr>
          <w:szCs w:val="16"/>
        </w:rPr>
      </w:pPr>
    </w:p>
    <w:p w:rsidR="00841650" w:rsidRPr="00521045" w:rsidRDefault="00841650" w:rsidP="00841650">
      <w:pPr>
        <w:rPr>
          <w:szCs w:val="16"/>
        </w:rPr>
      </w:pPr>
      <w:r w:rsidRPr="00521045">
        <w:rPr>
          <w:noProof/>
          <w:szCs w:val="16"/>
        </w:rPr>
        <w:drawing>
          <wp:inline distT="0" distB="0" distL="0" distR="0" wp14:anchorId="61948EC8" wp14:editId="1B367204">
            <wp:extent cx="5804979" cy="4694830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supp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647" cy="469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650" w:rsidRPr="00521045" w:rsidRDefault="00841650" w:rsidP="00841650">
      <w:pPr>
        <w:rPr>
          <w:szCs w:val="16"/>
        </w:rPr>
      </w:pPr>
    </w:p>
    <w:p w:rsidR="00841650" w:rsidRPr="00521045" w:rsidRDefault="00841650" w:rsidP="00841650">
      <w:pPr>
        <w:rPr>
          <w:szCs w:val="16"/>
        </w:rPr>
      </w:pPr>
      <w:r w:rsidRPr="00521045">
        <w:rPr>
          <w:szCs w:val="16"/>
        </w:rPr>
        <w:br w:type="page"/>
      </w:r>
    </w:p>
    <w:p w:rsidR="00841650" w:rsidRPr="00521045" w:rsidRDefault="00841650" w:rsidP="00841650">
      <w:pPr>
        <w:rPr>
          <w:szCs w:val="16"/>
          <w:u w:val="single"/>
        </w:rPr>
      </w:pPr>
      <w:r w:rsidRPr="00521045">
        <w:rPr>
          <w:szCs w:val="16"/>
          <w:u w:val="single"/>
        </w:rPr>
        <w:lastRenderedPageBreak/>
        <w:t>Lower Quartile of the HHI distribution</w:t>
      </w:r>
    </w:p>
    <w:p w:rsidR="00841650" w:rsidRPr="00521045" w:rsidRDefault="00841650" w:rsidP="00841650">
      <w:pPr>
        <w:rPr>
          <w:szCs w:val="16"/>
          <w:u w:val="single"/>
        </w:rPr>
      </w:pPr>
    </w:p>
    <w:tbl>
      <w:tblPr>
        <w:tblW w:w="3640" w:type="dxa"/>
        <w:tblLook w:val="04A0" w:firstRow="1" w:lastRow="0" w:firstColumn="1" w:lastColumn="0" w:noHBand="0" w:noVBand="1"/>
      </w:tblPr>
      <w:tblGrid>
        <w:gridCol w:w="1720"/>
        <w:gridCol w:w="960"/>
        <w:gridCol w:w="960"/>
      </w:tblGrid>
      <w:tr w:rsidR="00841650" w:rsidRPr="00521045" w:rsidTr="005B329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|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Control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Treated</w:t>
            </w:r>
          </w:p>
        </w:tc>
      </w:tr>
      <w:tr w:rsidR="00841650" w:rsidRPr="00521045" w:rsidTr="005B329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|All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</w:tr>
      <w:tr w:rsidR="00841650" w:rsidRPr="00521045" w:rsidTr="005B329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|Matched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</w:tr>
      <w:tr w:rsidR="00841650" w:rsidRPr="00521045" w:rsidTr="005B329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|Unmatched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41650" w:rsidRPr="00521045" w:rsidTr="005B3291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|Discarded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650" w:rsidRPr="00521045" w:rsidRDefault="00841650" w:rsidP="005B329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104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841650" w:rsidRPr="00521045" w:rsidRDefault="00841650" w:rsidP="00841650">
      <w:pPr>
        <w:rPr>
          <w:szCs w:val="16"/>
          <w:u w:val="single"/>
        </w:rPr>
      </w:pPr>
    </w:p>
    <w:p w:rsidR="00841650" w:rsidRPr="00521045" w:rsidRDefault="00841650" w:rsidP="00841650">
      <w:pPr>
        <w:rPr>
          <w:szCs w:val="16"/>
        </w:rPr>
      </w:pPr>
      <w:r w:rsidRPr="00521045">
        <w:rPr>
          <w:szCs w:val="16"/>
        </w:rPr>
        <w:t xml:space="preserve">                                 </w:t>
      </w:r>
      <w:r w:rsidRPr="00521045">
        <w:rPr>
          <w:szCs w:val="16"/>
        </w:rPr>
        <w:tab/>
        <w:t xml:space="preserve">Black </w:t>
      </w:r>
      <w:r>
        <w:rPr>
          <w:szCs w:val="16"/>
        </w:rPr>
        <w:t>w</w:t>
      </w:r>
      <w:r w:rsidRPr="00521045">
        <w:rPr>
          <w:szCs w:val="16"/>
        </w:rPr>
        <w:t>hite</w:t>
      </w:r>
    </w:p>
    <w:p w:rsidR="00841650" w:rsidRPr="00521045" w:rsidRDefault="00841650" w:rsidP="00841650">
      <w:pPr>
        <w:rPr>
          <w:szCs w:val="16"/>
        </w:rPr>
      </w:pPr>
      <w:r w:rsidRPr="00521045">
        <w:rPr>
          <w:szCs w:val="16"/>
        </w:rPr>
        <w:t xml:space="preserve">  discharge             </w:t>
      </w:r>
      <w:r w:rsidRPr="00521045">
        <w:rPr>
          <w:szCs w:val="16"/>
        </w:rPr>
        <w:tab/>
        <w:t>131   142</w:t>
      </w:r>
    </w:p>
    <w:p w:rsidR="00841650" w:rsidRPr="00521045" w:rsidRDefault="00841650" w:rsidP="00841650">
      <w:pPr>
        <w:rPr>
          <w:szCs w:val="16"/>
        </w:rPr>
      </w:pPr>
      <w:r w:rsidRPr="00521045">
        <w:rPr>
          <w:szCs w:val="16"/>
        </w:rPr>
        <w:t xml:space="preserve">  death (w/out covid)    </w:t>
      </w:r>
      <w:r w:rsidRPr="00521045">
        <w:rPr>
          <w:szCs w:val="16"/>
        </w:rPr>
        <w:tab/>
        <w:t>19    24</w:t>
      </w:r>
    </w:p>
    <w:p w:rsidR="00841650" w:rsidRPr="00521045" w:rsidRDefault="00841650" w:rsidP="00841650">
      <w:pPr>
        <w:rPr>
          <w:b/>
          <w:szCs w:val="16"/>
        </w:rPr>
      </w:pPr>
      <w:r w:rsidRPr="00521045">
        <w:rPr>
          <w:b/>
          <w:szCs w:val="16"/>
        </w:rPr>
        <w:t xml:space="preserve">  death (with covid)     </w:t>
      </w:r>
      <w:r w:rsidRPr="00521045">
        <w:rPr>
          <w:b/>
          <w:szCs w:val="16"/>
        </w:rPr>
        <w:tab/>
        <w:t>22     6</w:t>
      </w:r>
    </w:p>
    <w:p w:rsidR="00841650" w:rsidRPr="00521045" w:rsidRDefault="00841650" w:rsidP="00841650">
      <w:pPr>
        <w:rPr>
          <w:szCs w:val="16"/>
          <w:u w:val="single"/>
        </w:rPr>
      </w:pPr>
      <w:r w:rsidRPr="00521045">
        <w:rPr>
          <w:noProof/>
        </w:rPr>
        <w:lastRenderedPageBreak/>
        <w:drawing>
          <wp:inline distT="0" distB="0" distL="0" distR="0" wp14:anchorId="12C0B163" wp14:editId="0561E3B5">
            <wp:extent cx="4114800" cy="572516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50" w:rsidRPr="00521045" w:rsidRDefault="00841650" w:rsidP="00841650">
      <w:pPr>
        <w:rPr>
          <w:szCs w:val="16"/>
        </w:rPr>
      </w:pPr>
    </w:p>
    <w:p w:rsidR="00841650" w:rsidRPr="000E3108" w:rsidRDefault="00841650" w:rsidP="00841650">
      <w:pPr>
        <w:rPr>
          <w:szCs w:val="16"/>
        </w:rPr>
      </w:pPr>
      <w:r w:rsidRPr="00521045">
        <w:rPr>
          <w:noProof/>
          <w:szCs w:val="16"/>
        </w:rPr>
        <w:lastRenderedPageBreak/>
        <w:drawing>
          <wp:inline distT="0" distB="0" distL="0" distR="0" wp14:anchorId="176947D6" wp14:editId="3CF58F3F">
            <wp:extent cx="4606858" cy="3725839"/>
            <wp:effectExtent l="0" t="0" r="381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slow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848" cy="37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650" w:rsidRDefault="00841650"/>
    <w:sectPr w:rsidR="00841650" w:rsidSect="007272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7D3A"/>
    <w:multiLevelType w:val="hybridMultilevel"/>
    <w:tmpl w:val="E7EAB95C"/>
    <w:lvl w:ilvl="0" w:tplc="8F10D2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F788D"/>
    <w:multiLevelType w:val="hybridMultilevel"/>
    <w:tmpl w:val="8C5C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C34A2"/>
    <w:multiLevelType w:val="hybridMultilevel"/>
    <w:tmpl w:val="D4E0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3AFC"/>
    <w:multiLevelType w:val="hybridMultilevel"/>
    <w:tmpl w:val="672EE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B3962"/>
    <w:multiLevelType w:val="hybridMultilevel"/>
    <w:tmpl w:val="081EBB4E"/>
    <w:lvl w:ilvl="0" w:tplc="953CC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5206A"/>
    <w:multiLevelType w:val="hybridMultilevel"/>
    <w:tmpl w:val="672EE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0C38"/>
    <w:multiLevelType w:val="hybridMultilevel"/>
    <w:tmpl w:val="8DE0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625AC"/>
    <w:multiLevelType w:val="hybridMultilevel"/>
    <w:tmpl w:val="E88E1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910BE"/>
    <w:multiLevelType w:val="hybridMultilevel"/>
    <w:tmpl w:val="5CD247A4"/>
    <w:lvl w:ilvl="0" w:tplc="CA522F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1F96"/>
    <w:multiLevelType w:val="hybridMultilevel"/>
    <w:tmpl w:val="ED406E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806D7"/>
    <w:multiLevelType w:val="hybridMultilevel"/>
    <w:tmpl w:val="008E9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F199A"/>
    <w:multiLevelType w:val="hybridMultilevel"/>
    <w:tmpl w:val="349E0E18"/>
    <w:lvl w:ilvl="0" w:tplc="7F34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82E7E"/>
    <w:multiLevelType w:val="hybridMultilevel"/>
    <w:tmpl w:val="3FB8E8B8"/>
    <w:lvl w:ilvl="0" w:tplc="F31AC0E8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642CF6"/>
    <w:multiLevelType w:val="hybridMultilevel"/>
    <w:tmpl w:val="8828E62E"/>
    <w:lvl w:ilvl="0" w:tplc="6E484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C7504"/>
    <w:multiLevelType w:val="hybridMultilevel"/>
    <w:tmpl w:val="06B838BC"/>
    <w:lvl w:ilvl="0" w:tplc="85545E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B7892"/>
    <w:multiLevelType w:val="hybridMultilevel"/>
    <w:tmpl w:val="672EE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E50E6"/>
    <w:multiLevelType w:val="hybridMultilevel"/>
    <w:tmpl w:val="058E5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7367F"/>
    <w:multiLevelType w:val="hybridMultilevel"/>
    <w:tmpl w:val="672EEC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3338">
    <w:abstractNumId w:val="6"/>
  </w:num>
  <w:num w:numId="2" w16cid:durableId="863597060">
    <w:abstractNumId w:val="2"/>
  </w:num>
  <w:num w:numId="3" w16cid:durableId="1707681001">
    <w:abstractNumId w:val="8"/>
  </w:num>
  <w:num w:numId="4" w16cid:durableId="1105661739">
    <w:abstractNumId w:val="0"/>
  </w:num>
  <w:num w:numId="5" w16cid:durableId="312830197">
    <w:abstractNumId w:val="12"/>
  </w:num>
  <w:num w:numId="6" w16cid:durableId="1003554149">
    <w:abstractNumId w:val="9"/>
  </w:num>
  <w:num w:numId="7" w16cid:durableId="631443571">
    <w:abstractNumId w:val="14"/>
  </w:num>
  <w:num w:numId="8" w16cid:durableId="1221745171">
    <w:abstractNumId w:val="10"/>
  </w:num>
  <w:num w:numId="9" w16cid:durableId="1115372360">
    <w:abstractNumId w:val="3"/>
  </w:num>
  <w:num w:numId="10" w16cid:durableId="2085176299">
    <w:abstractNumId w:val="17"/>
  </w:num>
  <w:num w:numId="11" w16cid:durableId="1679891062">
    <w:abstractNumId w:val="5"/>
  </w:num>
  <w:num w:numId="12" w16cid:durableId="1195577562">
    <w:abstractNumId w:val="15"/>
  </w:num>
  <w:num w:numId="13" w16cid:durableId="927926457">
    <w:abstractNumId w:val="4"/>
  </w:num>
  <w:num w:numId="14" w16cid:durableId="1191139508">
    <w:abstractNumId w:val="11"/>
  </w:num>
  <w:num w:numId="15" w16cid:durableId="997810100">
    <w:abstractNumId w:val="13"/>
  </w:num>
  <w:num w:numId="16" w16cid:durableId="1392922116">
    <w:abstractNumId w:val="1"/>
  </w:num>
  <w:num w:numId="17" w16cid:durableId="1016813631">
    <w:abstractNumId w:val="16"/>
  </w:num>
  <w:num w:numId="18" w16cid:durableId="888149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50"/>
    <w:rsid w:val="008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ED6C6-AC0D-4108-A026-B8513B81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650"/>
    <w:pPr>
      <w:spacing w:after="0" w:line="240" w:lineRule="auto"/>
    </w:pPr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41650"/>
    <w:pPr>
      <w:spacing w:after="0" w:line="240" w:lineRule="auto"/>
    </w:pPr>
    <w:rPr>
      <w:rFonts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41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650"/>
    <w:rPr>
      <w:rFonts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0"/>
    <w:rPr>
      <w:rFonts w:cs="Times New Roman"/>
      <w:b/>
      <w:bCs/>
      <w:kern w:val="0"/>
      <w:sz w:val="20"/>
      <w:szCs w:val="2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841650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41650"/>
    <w:rPr>
      <w:rFonts w:ascii="Calibri" w:hAnsi="Calibri" w:cs="Calibri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84165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41650"/>
    <w:rPr>
      <w:rFonts w:ascii="Calibri" w:hAnsi="Calibri" w:cs="Calibri"/>
      <w:noProof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50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841650"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8416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84165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41650"/>
    <w:rPr>
      <w:b/>
      <w:bCs/>
    </w:rPr>
  </w:style>
  <w:style w:type="character" w:styleId="Emphasis">
    <w:name w:val="Emphasis"/>
    <w:basedOn w:val="DefaultParagraphFont"/>
    <w:uiPriority w:val="20"/>
    <w:qFormat/>
    <w:rsid w:val="0084165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16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650"/>
    <w:pPr>
      <w:ind w:left="720"/>
      <w:contextualSpacing/>
    </w:pPr>
  </w:style>
  <w:style w:type="table" w:styleId="TableGrid">
    <w:name w:val="Table Grid"/>
    <w:basedOn w:val="TableNormal"/>
    <w:uiPriority w:val="39"/>
    <w:rsid w:val="008416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650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gnkrckgcgsb">
    <w:name w:val="gnkrckgcgsb"/>
    <w:basedOn w:val="DefaultParagraphFont"/>
    <w:rsid w:val="00841650"/>
  </w:style>
  <w:style w:type="character" w:styleId="FollowedHyperlink">
    <w:name w:val="FollowedHyperlink"/>
    <w:basedOn w:val="DefaultParagraphFont"/>
    <w:uiPriority w:val="99"/>
    <w:semiHidden/>
    <w:unhideWhenUsed/>
    <w:rsid w:val="00841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Burnham</dc:creator>
  <cp:keywords/>
  <dc:description/>
  <cp:lastModifiedBy>Jason Burnham</cp:lastModifiedBy>
  <cp:revision>1</cp:revision>
  <dcterms:created xsi:type="dcterms:W3CDTF">2023-03-09T20:58:00Z</dcterms:created>
  <dcterms:modified xsi:type="dcterms:W3CDTF">2023-03-09T20:58:00Z</dcterms:modified>
</cp:coreProperties>
</file>