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D67F" w14:textId="02F65F0D" w:rsidR="00DF39F8" w:rsidRPr="004F15EB" w:rsidRDefault="00DF39F8" w:rsidP="00DF39F8">
      <w:pPr>
        <w:spacing w:line="360" w:lineRule="auto"/>
        <w:rPr>
          <w:rFonts w:ascii="Times New Roman" w:hAnsi="Times New Roman" w:cs="Times New Roman"/>
          <w:b/>
          <w:bCs/>
          <w:lang w:val="en-US"/>
        </w:rPr>
      </w:pPr>
      <w:r w:rsidRPr="009645C0">
        <w:rPr>
          <w:rFonts w:ascii="Times New Roman" w:hAnsi="Times New Roman" w:cs="Times New Roman"/>
          <w:b/>
          <w:bCs/>
          <w:lang w:val="en-US"/>
        </w:rPr>
        <w:t>On-Demand Point-of-Care SARS-CoV-2 Genomic Sequencing to Support Nosocomial Outbreak Investigations: A Prospective Molecular Epidemiology Study in Montreal</w:t>
      </w:r>
    </w:p>
    <w:p w14:paraId="6F9208F3" w14:textId="2BC9952F" w:rsidR="00DF39F8" w:rsidRPr="009645C0" w:rsidRDefault="00DF39F8" w:rsidP="00DF39F8">
      <w:pPr>
        <w:spacing w:line="360" w:lineRule="auto"/>
        <w:rPr>
          <w:rFonts w:ascii="Times New Roman" w:hAnsi="Times New Roman" w:cs="Times New Roman"/>
        </w:rPr>
      </w:pPr>
    </w:p>
    <w:sdt>
      <w:sdtPr>
        <w:rPr>
          <w:rFonts w:ascii="Times New Roman" w:eastAsiaTheme="minorHAnsi" w:hAnsi="Times New Roman" w:cs="Times New Roman"/>
          <w:b w:val="0"/>
          <w:bCs w:val="0"/>
          <w:color w:val="auto"/>
          <w:sz w:val="24"/>
          <w:szCs w:val="24"/>
          <w:lang w:val="en-CA"/>
        </w:rPr>
        <w:id w:val="-2090375310"/>
        <w:docPartObj>
          <w:docPartGallery w:val="Table of Contents"/>
          <w:docPartUnique/>
        </w:docPartObj>
      </w:sdtPr>
      <w:sdtEndPr>
        <w:rPr>
          <w:noProof/>
        </w:rPr>
      </w:sdtEndPr>
      <w:sdtContent>
        <w:p w14:paraId="67AB285F" w14:textId="077F823D" w:rsidR="00DF39F8" w:rsidRPr="009645C0" w:rsidRDefault="00DF39F8">
          <w:pPr>
            <w:pStyle w:val="TOCHeading"/>
            <w:rPr>
              <w:rFonts w:ascii="Times New Roman" w:hAnsi="Times New Roman" w:cs="Times New Roman"/>
            </w:rPr>
          </w:pPr>
          <w:r w:rsidRPr="009645C0">
            <w:rPr>
              <w:rFonts w:ascii="Times New Roman" w:hAnsi="Times New Roman" w:cs="Times New Roman"/>
            </w:rPr>
            <w:t>Table of Contents</w:t>
          </w:r>
        </w:p>
        <w:p w14:paraId="04AD10E4" w14:textId="1ADEA58B" w:rsidR="00186A54" w:rsidRDefault="00DF39F8">
          <w:pPr>
            <w:pStyle w:val="TOC1"/>
            <w:tabs>
              <w:tab w:val="right" w:leader="dot" w:pos="9350"/>
            </w:tabs>
            <w:rPr>
              <w:rFonts w:eastAsiaTheme="minorEastAsia" w:cstheme="minorBidi"/>
              <w:b w:val="0"/>
              <w:bCs w:val="0"/>
              <w:i w:val="0"/>
              <w:iCs w:val="0"/>
              <w:noProof/>
            </w:rPr>
          </w:pPr>
          <w:r w:rsidRPr="009645C0">
            <w:rPr>
              <w:rFonts w:ascii="Times New Roman" w:hAnsi="Times New Roman" w:cs="Times New Roman"/>
              <w:b w:val="0"/>
              <w:bCs w:val="0"/>
            </w:rPr>
            <w:fldChar w:fldCharType="begin"/>
          </w:r>
          <w:r w:rsidRPr="009645C0">
            <w:rPr>
              <w:rFonts w:ascii="Times New Roman" w:hAnsi="Times New Roman" w:cs="Times New Roman"/>
            </w:rPr>
            <w:instrText xml:space="preserve"> TOC \o "1-3" \h \z \u </w:instrText>
          </w:r>
          <w:r w:rsidRPr="009645C0">
            <w:rPr>
              <w:rFonts w:ascii="Times New Roman" w:hAnsi="Times New Roman" w:cs="Times New Roman"/>
              <w:b w:val="0"/>
              <w:bCs w:val="0"/>
            </w:rPr>
            <w:fldChar w:fldCharType="separate"/>
          </w:r>
          <w:hyperlink w:anchor="_Toc123667760" w:history="1">
            <w:r w:rsidR="00186A54" w:rsidRPr="002D7310">
              <w:rPr>
                <w:rStyle w:val="Hyperlink"/>
                <w:noProof/>
              </w:rPr>
              <w:t>Supplementary Material 1 – SARS-CoV-2 genomic sequencing</w:t>
            </w:r>
            <w:r w:rsidR="00186A54">
              <w:rPr>
                <w:noProof/>
                <w:webHidden/>
              </w:rPr>
              <w:tab/>
            </w:r>
            <w:r w:rsidR="00186A54">
              <w:rPr>
                <w:noProof/>
                <w:webHidden/>
              </w:rPr>
              <w:fldChar w:fldCharType="begin"/>
            </w:r>
            <w:r w:rsidR="00186A54">
              <w:rPr>
                <w:noProof/>
                <w:webHidden/>
              </w:rPr>
              <w:instrText xml:space="preserve"> PAGEREF _Toc123667760 \h </w:instrText>
            </w:r>
            <w:r w:rsidR="00186A54">
              <w:rPr>
                <w:noProof/>
                <w:webHidden/>
              </w:rPr>
            </w:r>
            <w:r w:rsidR="00186A54">
              <w:rPr>
                <w:noProof/>
                <w:webHidden/>
              </w:rPr>
              <w:fldChar w:fldCharType="separate"/>
            </w:r>
            <w:r w:rsidR="00186A54">
              <w:rPr>
                <w:noProof/>
                <w:webHidden/>
              </w:rPr>
              <w:t>2</w:t>
            </w:r>
            <w:r w:rsidR="00186A54">
              <w:rPr>
                <w:noProof/>
                <w:webHidden/>
              </w:rPr>
              <w:fldChar w:fldCharType="end"/>
            </w:r>
          </w:hyperlink>
        </w:p>
        <w:p w14:paraId="7E6DAFCD" w14:textId="24BF9415" w:rsidR="00186A54" w:rsidRDefault="00186A54">
          <w:pPr>
            <w:pStyle w:val="TOC1"/>
            <w:tabs>
              <w:tab w:val="right" w:leader="dot" w:pos="9350"/>
            </w:tabs>
            <w:rPr>
              <w:rFonts w:eastAsiaTheme="minorEastAsia" w:cstheme="minorBidi"/>
              <w:b w:val="0"/>
              <w:bCs w:val="0"/>
              <w:i w:val="0"/>
              <w:iCs w:val="0"/>
              <w:noProof/>
            </w:rPr>
          </w:pPr>
          <w:hyperlink w:anchor="_Toc123667761" w:history="1">
            <w:r w:rsidRPr="002D7310">
              <w:rPr>
                <w:rStyle w:val="Hyperlink"/>
                <w:noProof/>
              </w:rPr>
              <w:t>Supplementary Material 2 – SARS-CoV-2 molecular epi</w:t>
            </w:r>
            <w:r w:rsidRPr="002D7310">
              <w:rPr>
                <w:rStyle w:val="Hyperlink"/>
                <w:noProof/>
              </w:rPr>
              <w:t>d</w:t>
            </w:r>
            <w:r w:rsidRPr="002D7310">
              <w:rPr>
                <w:rStyle w:val="Hyperlink"/>
                <w:noProof/>
              </w:rPr>
              <w:t>emiology analysis</w:t>
            </w:r>
            <w:r>
              <w:rPr>
                <w:noProof/>
                <w:webHidden/>
              </w:rPr>
              <w:tab/>
            </w:r>
            <w:r>
              <w:rPr>
                <w:noProof/>
                <w:webHidden/>
              </w:rPr>
              <w:fldChar w:fldCharType="begin"/>
            </w:r>
            <w:r>
              <w:rPr>
                <w:noProof/>
                <w:webHidden/>
              </w:rPr>
              <w:instrText xml:space="preserve"> PAGEREF _Toc123667761 \h </w:instrText>
            </w:r>
            <w:r>
              <w:rPr>
                <w:noProof/>
                <w:webHidden/>
              </w:rPr>
            </w:r>
            <w:r>
              <w:rPr>
                <w:noProof/>
                <w:webHidden/>
              </w:rPr>
              <w:fldChar w:fldCharType="separate"/>
            </w:r>
            <w:r>
              <w:rPr>
                <w:noProof/>
                <w:webHidden/>
              </w:rPr>
              <w:t>2</w:t>
            </w:r>
            <w:r>
              <w:rPr>
                <w:noProof/>
                <w:webHidden/>
              </w:rPr>
              <w:fldChar w:fldCharType="end"/>
            </w:r>
          </w:hyperlink>
        </w:p>
        <w:p w14:paraId="2C38A89E" w14:textId="50FE356C" w:rsidR="00DF39F8" w:rsidRPr="009645C0" w:rsidRDefault="00DF39F8">
          <w:pPr>
            <w:rPr>
              <w:rFonts w:ascii="Times New Roman" w:hAnsi="Times New Roman" w:cs="Times New Roman"/>
            </w:rPr>
          </w:pPr>
          <w:r w:rsidRPr="009645C0">
            <w:rPr>
              <w:rFonts w:ascii="Times New Roman" w:hAnsi="Times New Roman" w:cs="Times New Roman"/>
              <w:b/>
              <w:bCs/>
              <w:noProof/>
            </w:rPr>
            <w:fldChar w:fldCharType="end"/>
          </w:r>
        </w:p>
      </w:sdtContent>
    </w:sdt>
    <w:p w14:paraId="6F6CEE02" w14:textId="77777777" w:rsidR="00DF39F8" w:rsidRPr="009645C0" w:rsidRDefault="00DF39F8" w:rsidP="00DF39F8">
      <w:pPr>
        <w:spacing w:line="360" w:lineRule="auto"/>
        <w:rPr>
          <w:rFonts w:ascii="Times New Roman" w:hAnsi="Times New Roman" w:cs="Times New Roman"/>
          <w:color w:val="000000" w:themeColor="text1"/>
        </w:rPr>
      </w:pPr>
    </w:p>
    <w:p w14:paraId="6401C8B3" w14:textId="77777777" w:rsidR="00DF39F8" w:rsidRPr="009645C0" w:rsidRDefault="00DF39F8" w:rsidP="00DF39F8">
      <w:pPr>
        <w:spacing w:line="360" w:lineRule="auto"/>
        <w:rPr>
          <w:rFonts w:ascii="Times New Roman" w:hAnsi="Times New Roman" w:cs="Times New Roman"/>
          <w:color w:val="000000" w:themeColor="text1"/>
        </w:rPr>
      </w:pPr>
    </w:p>
    <w:p w14:paraId="322E5824" w14:textId="58C4C775" w:rsidR="00DF39F8" w:rsidRPr="009645C0" w:rsidRDefault="00DF39F8">
      <w:pPr>
        <w:rPr>
          <w:rFonts w:ascii="Times New Roman" w:hAnsi="Times New Roman" w:cs="Times New Roman"/>
          <w:color w:val="000000" w:themeColor="text1"/>
        </w:rPr>
      </w:pPr>
      <w:r w:rsidRPr="009645C0">
        <w:rPr>
          <w:rFonts w:ascii="Times New Roman" w:hAnsi="Times New Roman" w:cs="Times New Roman"/>
          <w:color w:val="000000" w:themeColor="text1"/>
        </w:rPr>
        <w:br w:type="page"/>
      </w:r>
    </w:p>
    <w:p w14:paraId="1024B2AB" w14:textId="2BE299D8" w:rsidR="00DF39F8" w:rsidRPr="009645C0" w:rsidRDefault="00DF39F8" w:rsidP="00DF39F8">
      <w:pPr>
        <w:pStyle w:val="Heading1"/>
      </w:pPr>
      <w:bookmarkStart w:id="0" w:name="_Toc123667760"/>
      <w:r w:rsidRPr="009645C0">
        <w:lastRenderedPageBreak/>
        <w:t>Supplementary Material 1 – SARS-CoV-2 genomic sequencing</w:t>
      </w:r>
      <w:bookmarkEnd w:id="0"/>
    </w:p>
    <w:p w14:paraId="0AE344A4" w14:textId="77777777" w:rsidR="00B72EDD" w:rsidRPr="009645C0" w:rsidRDefault="00B72EDD" w:rsidP="00B72EDD">
      <w:pPr>
        <w:spacing w:line="360" w:lineRule="auto"/>
        <w:rPr>
          <w:rFonts w:ascii="Times New Roman" w:eastAsia="Times New Roman" w:hAnsi="Times New Roman" w:cs="Times New Roman"/>
        </w:rPr>
      </w:pPr>
      <w:r w:rsidRPr="009645C0">
        <w:rPr>
          <w:rFonts w:ascii="Times New Roman" w:eastAsia="Times New Roman" w:hAnsi="Times New Roman" w:cs="Times New Roman"/>
        </w:rPr>
        <w:t>Samples were sequenced using Oxford Nanopore technology following the ARTIC network V3 protocol (</w:t>
      </w:r>
      <w:hyperlink r:id="rId5" w:history="1">
        <w:r w:rsidRPr="009645C0">
          <w:rPr>
            <w:rStyle w:val="Hyperlink"/>
            <w:rFonts w:ascii="Times New Roman" w:eastAsia="Times New Roman" w:hAnsi="Times New Roman" w:cs="Times New Roman"/>
          </w:rPr>
          <w:t>https://www.protocols.io/view/ncov-2019-sequencing-protocol-v3-locost-bh42j8ye</w:t>
        </w:r>
      </w:hyperlink>
      <w:r w:rsidRPr="009645C0">
        <w:rPr>
          <w:rFonts w:ascii="Times New Roman" w:eastAsia="Times New Roman" w:hAnsi="Times New Roman" w:cs="Times New Roman"/>
        </w:rPr>
        <w:t>)</w:t>
      </w:r>
    </w:p>
    <w:p w14:paraId="4BCCEC98" w14:textId="77777777" w:rsidR="00B72EDD" w:rsidRPr="009645C0" w:rsidRDefault="00B72EDD" w:rsidP="00B72EDD">
      <w:pPr>
        <w:spacing w:line="360" w:lineRule="auto"/>
        <w:rPr>
          <w:rFonts w:ascii="Times New Roman" w:hAnsi="Times New Roman" w:cs="Times New Roman"/>
          <w:lang w:val="en-US"/>
        </w:rPr>
      </w:pPr>
      <w:r w:rsidRPr="009645C0">
        <w:rPr>
          <w:rFonts w:ascii="Times New Roman" w:eastAsia="Times New Roman" w:hAnsi="Times New Roman" w:cs="Times New Roman"/>
        </w:rPr>
        <w:t xml:space="preserve">and assembled using the </w:t>
      </w:r>
      <w:proofErr w:type="spellStart"/>
      <w:r w:rsidRPr="009645C0">
        <w:rPr>
          <w:rFonts w:ascii="Times New Roman" w:eastAsia="Times New Roman" w:hAnsi="Times New Roman" w:cs="Times New Roman"/>
        </w:rPr>
        <w:t>ARTICnetwork</w:t>
      </w:r>
      <w:proofErr w:type="spellEnd"/>
      <w:r w:rsidRPr="009645C0">
        <w:rPr>
          <w:rFonts w:ascii="Times New Roman" w:eastAsia="Times New Roman" w:hAnsi="Times New Roman" w:cs="Times New Roman"/>
        </w:rPr>
        <w:t xml:space="preserve"> assembly pipeline (</w:t>
      </w:r>
      <w:hyperlink r:id="rId6" w:history="1">
        <w:r w:rsidRPr="009645C0">
          <w:rPr>
            <w:rStyle w:val="Hyperlink"/>
            <w:rFonts w:ascii="Times New Roman" w:eastAsia="Times New Roman" w:hAnsi="Times New Roman" w:cs="Times New Roman"/>
          </w:rPr>
          <w:t>https://artic.network/ncov-2019/ncov2019-bioinformatics-sop.html</w:t>
        </w:r>
      </w:hyperlink>
      <w:r w:rsidRPr="009645C0">
        <w:rPr>
          <w:rFonts w:ascii="Times New Roman" w:eastAsia="Times New Roman" w:hAnsi="Times New Roman" w:cs="Times New Roman"/>
        </w:rPr>
        <w:t xml:space="preserve">). All </w:t>
      </w:r>
      <w:r w:rsidRPr="009645C0">
        <w:rPr>
          <w:rFonts w:ascii="Times New Roman" w:hAnsi="Times New Roman" w:cs="Times New Roman"/>
          <w:lang w:val="en-US"/>
        </w:rPr>
        <w:t>SARS-CoV-2 sequences from this study are available in GenBank (</w:t>
      </w:r>
      <w:hyperlink r:id="rId7" w:history="1">
        <w:r w:rsidRPr="009645C0">
          <w:rPr>
            <w:rStyle w:val="Hyperlink"/>
            <w:rFonts w:ascii="Times New Roman" w:hAnsi="Times New Roman" w:cs="Times New Roman"/>
            <w:lang w:val="en-US"/>
          </w:rPr>
          <w:t>https://www.ncbi.nlm.nih.gov/genbank/</w:t>
        </w:r>
      </w:hyperlink>
      <w:r w:rsidRPr="009645C0">
        <w:rPr>
          <w:rFonts w:ascii="Times New Roman" w:hAnsi="Times New Roman" w:cs="Times New Roman"/>
          <w:lang w:val="en-US"/>
        </w:rPr>
        <w:t>) under continuous accession numbers OM540759</w:t>
      </w:r>
      <w:r w:rsidRPr="009645C0" w:rsidDel="00F7693C">
        <w:rPr>
          <w:rFonts w:ascii="Times New Roman" w:hAnsi="Times New Roman" w:cs="Times New Roman"/>
          <w:lang w:val="en-US"/>
        </w:rPr>
        <w:t xml:space="preserve"> </w:t>
      </w:r>
      <w:r w:rsidRPr="009645C0">
        <w:rPr>
          <w:rFonts w:ascii="Times New Roman" w:hAnsi="Times New Roman" w:cs="Times New Roman"/>
          <w:lang w:val="en-US"/>
        </w:rPr>
        <w:t xml:space="preserve">to </w:t>
      </w:r>
      <w:r w:rsidRPr="009645C0">
        <w:rPr>
          <w:rFonts w:ascii="Times New Roman" w:hAnsi="Times New Roman" w:cs="Times New Roman"/>
          <w:color w:val="000000"/>
          <w:lang w:val="en-US"/>
        </w:rPr>
        <w:t xml:space="preserve">OM540803. </w:t>
      </w:r>
    </w:p>
    <w:p w14:paraId="19EF42D2" w14:textId="77777777" w:rsidR="00B72EDD" w:rsidRDefault="00B72EDD" w:rsidP="00DF39F8">
      <w:pPr>
        <w:spacing w:line="360" w:lineRule="auto"/>
        <w:rPr>
          <w:rFonts w:ascii="Times New Roman" w:eastAsia="Calibri" w:hAnsi="Times New Roman" w:cs="Times New Roman"/>
          <w:lang w:val="en-US"/>
        </w:rPr>
      </w:pPr>
    </w:p>
    <w:p w14:paraId="7608C1C2" w14:textId="13FB1778" w:rsidR="004E0A51" w:rsidRDefault="009645C0" w:rsidP="00DF39F8">
      <w:pPr>
        <w:spacing w:line="360" w:lineRule="auto"/>
        <w:rPr>
          <w:rFonts w:ascii="Times New Roman" w:eastAsia="Calibri" w:hAnsi="Times New Roman" w:cs="Times New Roman"/>
          <w:lang w:val="en-US"/>
        </w:rPr>
      </w:pPr>
      <w:r w:rsidRPr="009645C0">
        <w:rPr>
          <w:rFonts w:ascii="Times New Roman" w:eastAsia="Calibri" w:hAnsi="Times New Roman" w:cs="Times New Roman"/>
          <w:lang w:val="en-US"/>
        </w:rPr>
        <w:t xml:space="preserve">Viral RNA was extracted from </w:t>
      </w:r>
      <w:proofErr w:type="spellStart"/>
      <w:r w:rsidRPr="009645C0">
        <w:rPr>
          <w:rFonts w:ascii="Times New Roman" w:eastAsia="Calibri" w:hAnsi="Times New Roman" w:cs="Times New Roman"/>
          <w:lang w:val="en-US"/>
        </w:rPr>
        <w:t>oro</w:t>
      </w:r>
      <w:proofErr w:type="spellEnd"/>
      <w:r w:rsidRPr="009645C0">
        <w:rPr>
          <w:rFonts w:ascii="Times New Roman" w:eastAsia="Calibri" w:hAnsi="Times New Roman" w:cs="Times New Roman"/>
          <w:lang w:val="en-US"/>
        </w:rPr>
        <w:t xml:space="preserve">-nasopharyngeal swabs samples using the Maxwell® 16 instrument (Promega, Madison, WI, USA) and directly used for first-strand synthesis using the </w:t>
      </w:r>
      <w:proofErr w:type="spellStart"/>
      <w:r w:rsidRPr="009645C0">
        <w:rPr>
          <w:rFonts w:ascii="Times New Roman" w:eastAsia="Calibri" w:hAnsi="Times New Roman" w:cs="Times New Roman"/>
          <w:lang w:val="en-US"/>
        </w:rPr>
        <w:t>SuperScript</w:t>
      </w:r>
      <w:proofErr w:type="spellEnd"/>
      <w:r w:rsidRPr="009645C0">
        <w:rPr>
          <w:rFonts w:ascii="Times New Roman" w:eastAsia="Calibri" w:hAnsi="Times New Roman" w:cs="Times New Roman"/>
          <w:lang w:val="en-US"/>
        </w:rPr>
        <w:t xml:space="preserve"> IV Reverse Transcriptase (Life Technologies). PCR-based target enrichment was performed using the ARTIC V3 primer scheme generating 400 bp amplicons in a tiled fashion across the whole genome. For samples with initial cycle threshold (Ct) above 30, containing lower viral templates and typically yielding poorer sequen</w:t>
      </w:r>
      <w:r>
        <w:rPr>
          <w:rFonts w:ascii="Times New Roman" w:eastAsia="Calibri" w:hAnsi="Times New Roman" w:cs="Times New Roman"/>
          <w:lang w:val="en-US"/>
        </w:rPr>
        <w:t>c</w:t>
      </w:r>
      <w:r w:rsidRPr="009645C0">
        <w:rPr>
          <w:rFonts w:ascii="Times New Roman" w:eastAsia="Calibri" w:hAnsi="Times New Roman" w:cs="Times New Roman"/>
          <w:lang w:val="en-US"/>
        </w:rPr>
        <w:t xml:space="preserve">ing results, some modifications were introduced to the protocol at the RNA extraction step (2 aliquots, elution volume of 30µL instead of 60µL), PCR protocol (cDNA volume input increased to 4,4µL instead of 1,25µL) and library preparation (no dilution of amplified cDNA input) steps. A maximum of 24 samples were multiplexed using EXP-NBD104/EXP-NBD114 kits prior to sequencing for at least 40h on portable </w:t>
      </w:r>
      <w:proofErr w:type="spellStart"/>
      <w:r w:rsidRPr="009645C0">
        <w:rPr>
          <w:rFonts w:ascii="Times New Roman" w:eastAsia="Calibri" w:hAnsi="Times New Roman" w:cs="Times New Roman"/>
          <w:lang w:val="en-US"/>
        </w:rPr>
        <w:t>MinION</w:t>
      </w:r>
      <w:proofErr w:type="spellEnd"/>
      <w:r w:rsidRPr="009645C0">
        <w:rPr>
          <w:rFonts w:ascii="Times New Roman" w:eastAsia="Calibri" w:hAnsi="Times New Roman" w:cs="Times New Roman"/>
          <w:lang w:val="en-US"/>
        </w:rPr>
        <w:t xml:space="preserve"> sequencers using FLO-MIN106 (v9.4.1) flow cells (Oxford Nanopore Technologies, Oxford, UK). To accelerate results reporting, fast live </w:t>
      </w:r>
      <w:proofErr w:type="spellStart"/>
      <w:r w:rsidRPr="009645C0">
        <w:rPr>
          <w:rFonts w:ascii="Times New Roman" w:eastAsia="Calibri" w:hAnsi="Times New Roman" w:cs="Times New Roman"/>
          <w:lang w:val="en-US"/>
        </w:rPr>
        <w:t>basecalling</w:t>
      </w:r>
      <w:proofErr w:type="spellEnd"/>
      <w:r w:rsidRPr="009645C0">
        <w:rPr>
          <w:rFonts w:ascii="Times New Roman" w:eastAsia="Calibri" w:hAnsi="Times New Roman" w:cs="Times New Roman"/>
          <w:lang w:val="en-US"/>
        </w:rPr>
        <w:t xml:space="preserve"> and demultiplexing were done using </w:t>
      </w:r>
      <w:proofErr w:type="spellStart"/>
      <w:r w:rsidRPr="009645C0">
        <w:rPr>
          <w:rFonts w:ascii="Times New Roman" w:eastAsia="Calibri" w:hAnsi="Times New Roman" w:cs="Times New Roman"/>
          <w:lang w:val="en-US"/>
        </w:rPr>
        <w:t>MinKNOW</w:t>
      </w:r>
      <w:proofErr w:type="spellEnd"/>
      <w:r w:rsidRPr="009645C0">
        <w:rPr>
          <w:rFonts w:ascii="Times New Roman" w:eastAsia="Calibri" w:hAnsi="Times New Roman" w:cs="Times New Roman"/>
          <w:lang w:val="en-US"/>
        </w:rPr>
        <w:t xml:space="preserve"> (v20.06.4). Reads filtering (400-700 bp) was performed using the ARTIC Network pipeline. Filtered reads were mapped to the Wuhan-Hu-1 reference genome (accession MN908947.3) using minimap2 (V2.17) to generate a consensus sequence with annotated single nucleotide polymorphism (SNP) using a minimal sequencing </w:t>
      </w:r>
      <w:r w:rsidRPr="004E0A51">
        <w:rPr>
          <w:rFonts w:ascii="Times New Roman" w:eastAsia="Calibri" w:hAnsi="Times New Roman" w:cs="Times New Roman"/>
          <w:lang w:val="en-US"/>
        </w:rPr>
        <w:t>depth of 20x as a threshold and a 50</w:t>
      </w:r>
      <w:r w:rsidRPr="004E0A51">
        <w:rPr>
          <w:rFonts w:ascii="Times New Roman" w:hAnsi="Times New Roman" w:cs="Times New Roman"/>
        </w:rPr>
        <w:t>·</w:t>
      </w:r>
      <w:r w:rsidRPr="004E0A51">
        <w:rPr>
          <w:rFonts w:ascii="Times New Roman" w:eastAsia="Calibri" w:hAnsi="Times New Roman" w:cs="Times New Roman"/>
          <w:lang w:val="en-US"/>
        </w:rPr>
        <w:t xml:space="preserve">1% cutoff for defining SNPs. </w:t>
      </w:r>
      <w:proofErr w:type="spellStart"/>
      <w:r w:rsidRPr="004E0A51">
        <w:rPr>
          <w:rFonts w:ascii="Times New Roman" w:eastAsia="Calibri" w:hAnsi="Times New Roman" w:cs="Times New Roman"/>
          <w:lang w:val="en-US"/>
        </w:rPr>
        <w:t>Unipro</w:t>
      </w:r>
      <w:proofErr w:type="spellEnd"/>
      <w:r w:rsidRPr="004E0A51">
        <w:rPr>
          <w:rFonts w:ascii="Times New Roman" w:eastAsia="Calibri" w:hAnsi="Times New Roman" w:cs="Times New Roman"/>
          <w:lang w:val="en-US"/>
        </w:rPr>
        <w:t xml:space="preserve"> </w:t>
      </w:r>
      <w:proofErr w:type="spellStart"/>
      <w:r w:rsidRPr="004E0A51">
        <w:rPr>
          <w:rFonts w:ascii="Times New Roman" w:eastAsia="Calibri" w:hAnsi="Times New Roman" w:cs="Times New Roman"/>
          <w:lang w:val="en-US"/>
        </w:rPr>
        <w:t>Ugene</w:t>
      </w:r>
      <w:proofErr w:type="spellEnd"/>
      <w:r w:rsidRPr="004E0A51">
        <w:rPr>
          <w:rFonts w:ascii="Times New Roman" w:eastAsia="Calibri" w:hAnsi="Times New Roman" w:cs="Times New Roman"/>
          <w:lang w:val="en-US"/>
        </w:rPr>
        <w:t xml:space="preserve"> (v36) and </w:t>
      </w:r>
      <w:proofErr w:type="spellStart"/>
      <w:r w:rsidR="004E0A51">
        <w:rPr>
          <w:rFonts w:ascii="Times New Roman" w:eastAsia="Calibri" w:hAnsi="Times New Roman" w:cs="Times New Roman"/>
          <w:lang w:val="en-US"/>
        </w:rPr>
        <w:t>Treetime</w:t>
      </w:r>
      <w:proofErr w:type="spellEnd"/>
      <w:r w:rsidRPr="004E0A51">
        <w:rPr>
          <w:rFonts w:ascii="Times New Roman" w:eastAsia="Calibri" w:hAnsi="Times New Roman" w:cs="Times New Roman"/>
          <w:lang w:val="en-US"/>
        </w:rPr>
        <w:t xml:space="preserve"> </w:t>
      </w:r>
      <w:r w:rsidR="004E0A51">
        <w:rPr>
          <w:rFonts w:ascii="Times New Roman" w:eastAsia="Calibri" w:hAnsi="Times New Roman" w:cs="Times New Roman"/>
          <w:lang w:val="en-US"/>
        </w:rPr>
        <w:t xml:space="preserve">(V0.9.2) </w:t>
      </w:r>
      <w:r w:rsidRPr="004E0A51">
        <w:rPr>
          <w:rFonts w:ascii="Times New Roman" w:eastAsia="Calibri" w:hAnsi="Times New Roman" w:cs="Times New Roman"/>
          <w:lang w:val="en-US"/>
        </w:rPr>
        <w:t xml:space="preserve">were used for SNP distance matrix building, phylogenetic </w:t>
      </w:r>
      <w:proofErr w:type="gramStart"/>
      <w:r w:rsidRPr="004E0A51">
        <w:rPr>
          <w:rFonts w:ascii="Times New Roman" w:eastAsia="Calibri" w:hAnsi="Times New Roman" w:cs="Times New Roman"/>
          <w:lang w:val="en-US"/>
        </w:rPr>
        <w:t>analysis</w:t>
      </w:r>
      <w:proofErr w:type="gramEnd"/>
      <w:r w:rsidRPr="004E0A51">
        <w:rPr>
          <w:rFonts w:ascii="Times New Roman" w:eastAsia="Calibri" w:hAnsi="Times New Roman" w:cs="Times New Roman"/>
          <w:lang w:val="en-US"/>
        </w:rPr>
        <w:t xml:space="preserve"> and visualization.</w:t>
      </w:r>
    </w:p>
    <w:p w14:paraId="22C00B45" w14:textId="3C7D2424" w:rsidR="00186A54" w:rsidRDefault="00186A54" w:rsidP="00DF39F8">
      <w:pPr>
        <w:spacing w:line="360" w:lineRule="auto"/>
        <w:rPr>
          <w:rFonts w:ascii="Times New Roman" w:eastAsia="Calibri" w:hAnsi="Times New Roman" w:cs="Times New Roman"/>
          <w:lang w:val="en-US"/>
        </w:rPr>
      </w:pPr>
    </w:p>
    <w:p w14:paraId="3CDF8CB0" w14:textId="77777777" w:rsidR="00D978E6" w:rsidRDefault="00D978E6">
      <w:pPr>
        <w:rPr>
          <w:rFonts w:ascii="Times New Roman" w:eastAsiaTheme="majorEastAsia" w:hAnsi="Times New Roman" w:cs="Times New Roman"/>
          <w:b/>
          <w:bCs/>
          <w:color w:val="000000" w:themeColor="text1"/>
        </w:rPr>
      </w:pPr>
      <w:bookmarkStart w:id="1" w:name="_Toc123667761"/>
      <w:r>
        <w:br w:type="page"/>
      </w:r>
    </w:p>
    <w:p w14:paraId="012AAE2D" w14:textId="63EAAC44" w:rsidR="00186A54" w:rsidRDefault="00186A54" w:rsidP="00D978E6">
      <w:pPr>
        <w:pStyle w:val="Heading1"/>
      </w:pPr>
      <w:r w:rsidRPr="009645C0">
        <w:lastRenderedPageBreak/>
        <w:t xml:space="preserve">Supplementary Material </w:t>
      </w:r>
      <w:r>
        <w:t>2</w:t>
      </w:r>
      <w:r w:rsidRPr="009645C0">
        <w:t xml:space="preserve"> – SARS-CoV-2 </w:t>
      </w:r>
      <w:r>
        <w:t>molecular epidemiology analysis</w:t>
      </w:r>
      <w:bookmarkEnd w:id="1"/>
      <w:r>
        <w:t xml:space="preserve"> </w:t>
      </w:r>
    </w:p>
    <w:p w14:paraId="736D0289" w14:textId="5396FD0E" w:rsidR="00F11EA6" w:rsidRDefault="001F0C1F" w:rsidP="00D978E6">
      <w:pPr>
        <w:pStyle w:val="Auteurs"/>
        <w:spacing w:after="0" w:line="360" w:lineRule="auto"/>
        <w:jc w:val="left"/>
        <w:rPr>
          <w:rFonts w:ascii="Times New Roman" w:hAnsi="Times New Roman"/>
          <w:sz w:val="24"/>
          <w:szCs w:val="24"/>
          <w:lang w:val="en-GB"/>
        </w:rPr>
      </w:pPr>
      <w:r w:rsidRPr="007A73F6">
        <w:rPr>
          <w:rFonts w:ascii="Times New Roman" w:hAnsi="Times New Roman"/>
          <w:sz w:val="24"/>
          <w:szCs w:val="24"/>
          <w:lang w:val="en-GB"/>
        </w:rPr>
        <w:t>All included samples were randomly matched with two (community and hospital) contemporary positive samples</w:t>
      </w:r>
      <w:r w:rsidRPr="007A73F6" w:rsidDel="008D4BA5">
        <w:rPr>
          <w:rFonts w:ascii="Times New Roman" w:hAnsi="Times New Roman"/>
          <w:sz w:val="24"/>
          <w:szCs w:val="24"/>
          <w:lang w:val="en-GB"/>
        </w:rPr>
        <w:t xml:space="preserve"> </w:t>
      </w:r>
      <w:r w:rsidRPr="007A73F6">
        <w:rPr>
          <w:rFonts w:ascii="Times New Roman" w:hAnsi="Times New Roman"/>
          <w:sz w:val="24"/>
          <w:szCs w:val="24"/>
          <w:lang w:val="en-GB"/>
        </w:rPr>
        <w:t xml:space="preserve">to generate a viral genome back </w:t>
      </w:r>
      <w:r w:rsidR="00F11EA6" w:rsidRPr="007A73F6">
        <w:rPr>
          <w:rFonts w:ascii="Times New Roman" w:hAnsi="Times New Roman"/>
          <w:sz w:val="24"/>
          <w:szCs w:val="24"/>
          <w:lang w:val="en-GB"/>
        </w:rPr>
        <w:t>catalogue</w:t>
      </w:r>
      <w:r w:rsidRPr="007A73F6">
        <w:rPr>
          <w:rFonts w:ascii="Times New Roman" w:hAnsi="Times New Roman"/>
          <w:sz w:val="24"/>
          <w:szCs w:val="24"/>
          <w:lang w:val="en-GB"/>
        </w:rPr>
        <w:t xml:space="preserve"> and better contextualize phylogenetic analyses findings</w:t>
      </w:r>
      <w:r>
        <w:rPr>
          <w:rFonts w:ascii="Times New Roman" w:hAnsi="Times New Roman"/>
          <w:sz w:val="24"/>
          <w:szCs w:val="24"/>
          <w:lang w:val="en-GB"/>
        </w:rPr>
        <w:t xml:space="preserve">. </w:t>
      </w:r>
      <w:r w:rsidR="00F11EA6" w:rsidRPr="007A73F6">
        <w:rPr>
          <w:rFonts w:ascii="Times New Roman" w:hAnsi="Times New Roman"/>
          <w:sz w:val="24"/>
          <w:szCs w:val="24"/>
          <w:lang w:val="en-GB"/>
        </w:rPr>
        <w:t xml:space="preserve">All COVID-19 cases were included in the outbreak analyses regardless of sequencing performance. </w:t>
      </w:r>
      <w:r w:rsidR="00F11EA6" w:rsidRPr="007A73F6">
        <w:rPr>
          <w:rStyle w:val="CommentReference"/>
          <w:rFonts w:ascii="Times New Roman" w:eastAsia="Calibri" w:hAnsi="Times New Roman"/>
          <w:sz w:val="24"/>
          <w:szCs w:val="24"/>
          <w:lang w:val="en-GB" w:eastAsia="es-VE"/>
        </w:rPr>
        <w:t>To ensure rapid resulting of actionable information to IPAC teams, available samples were sequenced in multiplexed batches as they became available, and outbreak phylogenetic analyses were iteratively complemented with newly obtained samples</w:t>
      </w:r>
      <w:r w:rsidR="00F11EA6">
        <w:rPr>
          <w:rStyle w:val="CommentReference"/>
          <w:rFonts w:ascii="Times New Roman" w:eastAsia="Calibri" w:hAnsi="Times New Roman"/>
          <w:sz w:val="24"/>
          <w:szCs w:val="24"/>
          <w:lang w:val="en-GB" w:eastAsia="es-VE"/>
        </w:rPr>
        <w:t xml:space="preserve">. </w:t>
      </w:r>
    </w:p>
    <w:p w14:paraId="06E87CE6" w14:textId="77777777" w:rsidR="00F11EA6" w:rsidRDefault="00F11EA6" w:rsidP="00D978E6">
      <w:pPr>
        <w:pStyle w:val="Auteurs"/>
        <w:spacing w:after="0" w:line="360" w:lineRule="auto"/>
        <w:jc w:val="left"/>
        <w:rPr>
          <w:rFonts w:ascii="Times New Roman" w:hAnsi="Times New Roman"/>
          <w:sz w:val="24"/>
          <w:szCs w:val="24"/>
          <w:lang w:val="en-GB"/>
        </w:rPr>
      </w:pPr>
    </w:p>
    <w:p w14:paraId="400A3D9E" w14:textId="5E284865" w:rsidR="00D978E6" w:rsidRPr="007A73F6" w:rsidRDefault="00F11EA6" w:rsidP="00D978E6">
      <w:pPr>
        <w:pStyle w:val="Auteurs"/>
        <w:spacing w:after="0" w:line="360" w:lineRule="auto"/>
        <w:jc w:val="left"/>
        <w:rPr>
          <w:rStyle w:val="CommentReference"/>
          <w:rFonts w:ascii="Times New Roman" w:eastAsia="Calibri" w:hAnsi="Times New Roman"/>
          <w:sz w:val="24"/>
          <w:szCs w:val="24"/>
          <w:lang w:val="en-GB"/>
        </w:rPr>
      </w:pPr>
      <w:r>
        <w:rPr>
          <w:rFonts w:ascii="Times New Roman" w:eastAsia="Calibri" w:hAnsi="Times New Roman"/>
          <w:sz w:val="24"/>
          <w:szCs w:val="24"/>
          <w:lang w:val="en-GB"/>
        </w:rPr>
        <w:t>T</w:t>
      </w:r>
      <w:r w:rsidRPr="007A73F6">
        <w:rPr>
          <w:rFonts w:ascii="Times New Roman" w:eastAsia="Calibri" w:hAnsi="Times New Roman"/>
          <w:sz w:val="24"/>
          <w:szCs w:val="24"/>
          <w:lang w:val="en-GB"/>
        </w:rPr>
        <w:t>o</w:t>
      </w:r>
      <w:r>
        <w:rPr>
          <w:rFonts w:ascii="Times New Roman" w:eastAsia="Calibri" w:hAnsi="Times New Roman"/>
          <w:sz w:val="24"/>
          <w:szCs w:val="24"/>
          <w:lang w:val="en-GB"/>
        </w:rPr>
        <w:t xml:space="preserve"> confirm</w:t>
      </w:r>
      <w:r w:rsidRPr="007A73F6">
        <w:rPr>
          <w:rFonts w:ascii="Times New Roman" w:eastAsia="Calibri" w:hAnsi="Times New Roman"/>
          <w:sz w:val="24"/>
          <w:szCs w:val="24"/>
          <w:lang w:val="en-GB"/>
        </w:rPr>
        <w:t xml:space="preserve"> genetically related strains</w:t>
      </w:r>
      <w:r>
        <w:rPr>
          <w:rFonts w:ascii="Times New Roman" w:eastAsia="Calibri" w:hAnsi="Times New Roman"/>
          <w:sz w:val="24"/>
          <w:szCs w:val="24"/>
          <w:lang w:val="en-GB"/>
        </w:rPr>
        <w:t>, s</w:t>
      </w:r>
      <w:r w:rsidR="00D978E6" w:rsidRPr="007A73F6">
        <w:rPr>
          <w:rFonts w:ascii="Times New Roman" w:eastAsia="Calibri" w:hAnsi="Times New Roman"/>
          <w:sz w:val="24"/>
          <w:szCs w:val="24"/>
          <w:lang w:val="en-GB"/>
        </w:rPr>
        <w:t>amples were included in the analysis if their coverage at 20x was at least 85%</w:t>
      </w:r>
      <w:r>
        <w:rPr>
          <w:rFonts w:ascii="Times New Roman" w:eastAsia="Calibri" w:hAnsi="Times New Roman"/>
          <w:sz w:val="24"/>
          <w:szCs w:val="24"/>
          <w:lang w:val="en-GB"/>
        </w:rPr>
        <w:t>. To refute transmission, s</w:t>
      </w:r>
      <w:r w:rsidR="00D978E6" w:rsidRPr="007A73F6">
        <w:rPr>
          <w:rFonts w:ascii="Times New Roman" w:eastAsia="Calibri" w:hAnsi="Times New Roman"/>
          <w:sz w:val="24"/>
          <w:szCs w:val="24"/>
          <w:lang w:val="en-GB"/>
        </w:rPr>
        <w:t xml:space="preserve">amples yielding </w:t>
      </w:r>
      <w:r>
        <w:rPr>
          <w:rFonts w:ascii="Times New Roman" w:eastAsia="Calibri" w:hAnsi="Times New Roman"/>
          <w:sz w:val="24"/>
          <w:szCs w:val="24"/>
          <w:lang w:val="en-GB"/>
        </w:rPr>
        <w:t xml:space="preserve">a </w:t>
      </w:r>
      <w:r w:rsidR="00D978E6" w:rsidRPr="007A73F6">
        <w:rPr>
          <w:rFonts w:ascii="Times New Roman" w:eastAsia="Calibri" w:hAnsi="Times New Roman"/>
          <w:sz w:val="24"/>
          <w:szCs w:val="24"/>
          <w:lang w:val="en-GB"/>
        </w:rPr>
        <w:t xml:space="preserve">sequencing </w:t>
      </w:r>
      <w:r>
        <w:rPr>
          <w:rFonts w:ascii="Times New Roman" w:eastAsia="Calibri" w:hAnsi="Times New Roman"/>
          <w:sz w:val="24"/>
          <w:szCs w:val="24"/>
          <w:lang w:val="en-GB"/>
        </w:rPr>
        <w:t>depth of</w:t>
      </w:r>
      <w:r w:rsidRPr="007A73F6">
        <w:rPr>
          <w:rFonts w:ascii="Times New Roman" w:eastAsia="Calibri" w:hAnsi="Times New Roman"/>
          <w:sz w:val="24"/>
          <w:szCs w:val="24"/>
          <w:lang w:val="en-GB"/>
        </w:rPr>
        <w:t xml:space="preserve"> 20x </w:t>
      </w:r>
      <w:r>
        <w:rPr>
          <w:rFonts w:ascii="Times New Roman" w:eastAsia="Calibri" w:hAnsi="Times New Roman"/>
          <w:sz w:val="24"/>
          <w:szCs w:val="24"/>
          <w:lang w:val="en-GB"/>
        </w:rPr>
        <w:t xml:space="preserve">over between 50% and </w:t>
      </w:r>
      <w:r w:rsidR="00D978E6" w:rsidRPr="007A73F6">
        <w:rPr>
          <w:rFonts w:ascii="Times New Roman" w:eastAsia="Calibri" w:hAnsi="Times New Roman"/>
          <w:sz w:val="24"/>
          <w:szCs w:val="24"/>
          <w:lang w:val="en-GB"/>
        </w:rPr>
        <w:t xml:space="preserve">85% </w:t>
      </w:r>
      <w:r>
        <w:rPr>
          <w:rFonts w:ascii="Times New Roman" w:eastAsia="Calibri" w:hAnsi="Times New Roman"/>
          <w:sz w:val="24"/>
          <w:szCs w:val="24"/>
          <w:lang w:val="en-GB"/>
        </w:rPr>
        <w:t xml:space="preserve">of the genome </w:t>
      </w:r>
      <w:r w:rsidR="00D978E6" w:rsidRPr="007A73F6">
        <w:rPr>
          <w:rFonts w:ascii="Times New Roman" w:eastAsia="Calibri" w:hAnsi="Times New Roman"/>
          <w:sz w:val="24"/>
          <w:szCs w:val="24"/>
          <w:lang w:val="en-GB"/>
        </w:rPr>
        <w:t xml:space="preserve">were included </w:t>
      </w:r>
      <w:r w:rsidR="00800862">
        <w:rPr>
          <w:rFonts w:ascii="Times New Roman" w:eastAsia="Calibri" w:hAnsi="Times New Roman"/>
          <w:sz w:val="24"/>
          <w:szCs w:val="24"/>
          <w:lang w:val="en-GB"/>
        </w:rPr>
        <w:t xml:space="preserve">if </w:t>
      </w:r>
      <w:r w:rsidR="00D978E6" w:rsidRPr="007A73F6">
        <w:rPr>
          <w:rFonts w:ascii="Times New Roman" w:eastAsia="Calibri" w:hAnsi="Times New Roman"/>
          <w:sz w:val="24"/>
          <w:szCs w:val="24"/>
          <w:lang w:val="en-GB"/>
        </w:rPr>
        <w:t xml:space="preserve">genomic variability within </w:t>
      </w:r>
      <w:r w:rsidR="00800862">
        <w:rPr>
          <w:rFonts w:ascii="Times New Roman" w:eastAsia="Calibri" w:hAnsi="Times New Roman"/>
          <w:sz w:val="24"/>
          <w:szCs w:val="24"/>
          <w:lang w:val="en-GB"/>
        </w:rPr>
        <w:t>the</w:t>
      </w:r>
      <w:r>
        <w:rPr>
          <w:rFonts w:ascii="Times New Roman" w:eastAsia="Calibri" w:hAnsi="Times New Roman"/>
          <w:sz w:val="24"/>
          <w:szCs w:val="24"/>
          <w:lang w:val="en-GB"/>
        </w:rPr>
        <w:t>se</w:t>
      </w:r>
      <w:r w:rsidR="00800862">
        <w:rPr>
          <w:rFonts w:ascii="Times New Roman" w:eastAsia="Calibri" w:hAnsi="Times New Roman"/>
          <w:sz w:val="24"/>
          <w:szCs w:val="24"/>
          <w:lang w:val="en-GB"/>
        </w:rPr>
        <w:t xml:space="preserve"> </w:t>
      </w:r>
      <w:r w:rsidR="00D978E6" w:rsidRPr="007A73F6">
        <w:rPr>
          <w:rFonts w:ascii="Times New Roman" w:eastAsia="Calibri" w:hAnsi="Times New Roman"/>
          <w:sz w:val="24"/>
          <w:szCs w:val="24"/>
          <w:lang w:val="en-GB"/>
        </w:rPr>
        <w:t xml:space="preserve">appropriately covered </w:t>
      </w:r>
      <w:r w:rsidR="00D978E6" w:rsidRPr="00800862">
        <w:rPr>
          <w:rFonts w:ascii="Times New Roman" w:eastAsia="Calibri" w:hAnsi="Times New Roman"/>
          <w:sz w:val="24"/>
          <w:szCs w:val="24"/>
          <w:lang w:val="en-GB"/>
        </w:rPr>
        <w:t>genomic loci</w:t>
      </w:r>
      <w:r w:rsidR="00800862">
        <w:rPr>
          <w:rFonts w:ascii="Times New Roman" w:eastAsia="Calibri" w:hAnsi="Times New Roman"/>
          <w:sz w:val="24"/>
          <w:szCs w:val="24"/>
          <w:lang w:val="en-GB"/>
        </w:rPr>
        <w:t xml:space="preserve"> was above the pre-specified</w:t>
      </w:r>
      <w:r w:rsidR="00800862" w:rsidRPr="007A73F6">
        <w:rPr>
          <w:rFonts w:ascii="Times New Roman" w:eastAsia="Calibri" w:hAnsi="Times New Roman"/>
          <w:sz w:val="24"/>
          <w:szCs w:val="24"/>
          <w:lang w:val="en-GB"/>
        </w:rPr>
        <w:t xml:space="preserve"> threshold</w:t>
      </w:r>
      <w:r w:rsidR="00800862">
        <w:rPr>
          <w:rFonts w:ascii="Times New Roman" w:eastAsia="Calibri" w:hAnsi="Times New Roman"/>
          <w:sz w:val="24"/>
          <w:szCs w:val="24"/>
          <w:lang w:val="en-GB"/>
        </w:rPr>
        <w:t>s.</w:t>
      </w:r>
      <w:r w:rsidR="00D978E6" w:rsidRPr="00800862">
        <w:rPr>
          <w:rFonts w:ascii="Times New Roman" w:eastAsia="Calibri" w:hAnsi="Times New Roman"/>
          <w:sz w:val="24"/>
          <w:szCs w:val="24"/>
          <w:lang w:val="en-GB"/>
        </w:rPr>
        <w:t xml:space="preserve"> </w:t>
      </w:r>
      <w:r w:rsidR="00800862" w:rsidRPr="00800862">
        <w:rPr>
          <w:rFonts w:ascii="Times New Roman" w:eastAsia="Calibri" w:hAnsi="Times New Roman"/>
          <w:sz w:val="24"/>
          <w:szCs w:val="24"/>
          <w:lang w:val="en-GB"/>
        </w:rPr>
        <w:t>Conversely</w:t>
      </w:r>
      <w:r w:rsidR="00D978E6" w:rsidRPr="00800862">
        <w:rPr>
          <w:rFonts w:ascii="Times New Roman" w:eastAsia="Calibri" w:hAnsi="Times New Roman"/>
          <w:sz w:val="24"/>
          <w:szCs w:val="24"/>
          <w:lang w:val="en-GB"/>
        </w:rPr>
        <w:t xml:space="preserve">, if suggested to belong to a transmission cluster based on the </w:t>
      </w:r>
      <w:r w:rsidR="00800862" w:rsidRPr="00800862">
        <w:rPr>
          <w:rFonts w:ascii="Times New Roman" w:eastAsia="Calibri" w:hAnsi="Times New Roman"/>
          <w:sz w:val="24"/>
          <w:szCs w:val="24"/>
          <w:lang w:val="en-GB"/>
        </w:rPr>
        <w:t xml:space="preserve">pre-specified </w:t>
      </w:r>
      <w:r w:rsidR="00800862" w:rsidRPr="00800862">
        <w:rPr>
          <w:rFonts w:ascii="Times New Roman" w:eastAsia="Calibri" w:hAnsi="Times New Roman"/>
          <w:sz w:val="24"/>
          <w:szCs w:val="24"/>
          <w:lang w:val="en-GB"/>
        </w:rPr>
        <w:t>“likely” or “possib</w:t>
      </w:r>
      <w:r w:rsidR="00800862" w:rsidRPr="00800862">
        <w:rPr>
          <w:rFonts w:ascii="Times New Roman" w:eastAsia="Calibri" w:hAnsi="Times New Roman"/>
          <w:sz w:val="24"/>
          <w:szCs w:val="24"/>
          <w:lang w:val="en-GB"/>
        </w:rPr>
        <w:t>le” transmission</w:t>
      </w:r>
      <w:r w:rsidR="00D978E6" w:rsidRPr="00800862">
        <w:rPr>
          <w:rFonts w:ascii="Times New Roman" w:eastAsia="Calibri" w:hAnsi="Times New Roman"/>
          <w:sz w:val="24"/>
          <w:szCs w:val="24"/>
          <w:lang w:val="en-GB"/>
        </w:rPr>
        <w:t xml:space="preserve"> threshold, those isolates were excluded because of potentially unrecognized SNPs within</w:t>
      </w:r>
      <w:r w:rsidR="00D978E6" w:rsidRPr="007A73F6">
        <w:rPr>
          <w:rFonts w:ascii="Times New Roman" w:eastAsia="Calibri" w:hAnsi="Times New Roman"/>
          <w:sz w:val="24"/>
          <w:szCs w:val="24"/>
          <w:lang w:val="en-GB"/>
        </w:rPr>
        <w:t xml:space="preserve"> the missing genomic regions. All samples with less than 50% coverage at 20x were excluded. </w:t>
      </w:r>
    </w:p>
    <w:p w14:paraId="0690EC6D" w14:textId="4BED5CCB" w:rsidR="00D978E6" w:rsidRDefault="00D978E6" w:rsidP="00D978E6">
      <w:pPr>
        <w:spacing w:line="360" w:lineRule="auto"/>
        <w:rPr>
          <w:rFonts w:ascii="Times New Roman" w:eastAsia="Calibri" w:hAnsi="Times New Roman" w:cs="Times New Roman"/>
          <w:b/>
          <w:bCs/>
          <w:lang w:val="en-US"/>
        </w:rPr>
      </w:pPr>
    </w:p>
    <w:p w14:paraId="634EA594" w14:textId="77777777" w:rsidR="001F0C1F" w:rsidRDefault="001F0C1F" w:rsidP="001F0C1F">
      <w:pPr>
        <w:pStyle w:val="Auteurs"/>
        <w:spacing w:after="0" w:line="360" w:lineRule="auto"/>
        <w:jc w:val="left"/>
        <w:rPr>
          <w:rFonts w:ascii="Times New Roman" w:eastAsia="Calibri" w:hAnsi="Times New Roman"/>
          <w:sz w:val="24"/>
          <w:szCs w:val="24"/>
          <w:lang w:val="en-GB"/>
        </w:rPr>
      </w:pPr>
      <w:r w:rsidRPr="007A73F6">
        <w:rPr>
          <w:rFonts w:ascii="Times New Roman" w:eastAsia="Calibri" w:hAnsi="Times New Roman"/>
          <w:sz w:val="24"/>
          <w:szCs w:val="24"/>
          <w:lang w:val="en-GB"/>
        </w:rPr>
        <w:t xml:space="preserve">We did not consider potential within host vial subpopulations when establishing consensus sequences. </w:t>
      </w:r>
      <w:r w:rsidRPr="007A73F6">
        <w:rPr>
          <w:rFonts w:ascii="Times New Roman" w:eastAsia="Calibri" w:hAnsi="Times New Roman"/>
          <w:sz w:val="24"/>
          <w:szCs w:val="24"/>
          <w:lang w:val="en-GB"/>
        </w:rPr>
        <w:fldChar w:fldCharType="begin"/>
      </w:r>
      <w:r>
        <w:rPr>
          <w:rFonts w:ascii="Times New Roman" w:eastAsia="Calibri" w:hAnsi="Times New Roman"/>
          <w:sz w:val="24"/>
          <w:szCs w:val="24"/>
          <w:lang w:val="en-GB"/>
        </w:rPr>
        <w:instrText xml:space="preserve"> ADDIN EN.CITE &lt;EndNote&gt;&lt;Cite&gt;&lt;Author&gt;James&lt;/Author&gt;&lt;Year&gt;2020&lt;/Year&gt;&lt;RecNum&gt;32&lt;/RecNum&gt;&lt;DisplayText&gt;&lt;style face="superscript"&gt;1&lt;/style&gt;&lt;/DisplayText&gt;&lt;record&gt;&lt;rec-number&gt;32&lt;/rec-number&gt;&lt;foreign-keys&gt;&lt;key app="EN" db-id="wdes9rxtip9fdae502uvrvrez5s5txa2t22f" timestamp="1615489791"&gt;32&lt;/key&gt;&lt;/foreign-keys&gt;&lt;ref-type name="Journal Article"&gt;17&lt;/ref-type&gt;&lt;contributors&gt;&lt;authors&gt;&lt;author&gt;James, S. E.&lt;/author&gt;&lt;author&gt;Ngcapu, S.&lt;/author&gt;&lt;author&gt;Kanzi, A. M.&lt;/author&gt;&lt;author&gt;Tegally, H.&lt;/author&gt;&lt;author&gt;Fonseca, V.&lt;/author&gt;&lt;author&gt;Giandhari, J.&lt;/author&gt;&lt;author&gt;Wilkinson, E.&lt;/author&gt;&lt;author&gt;Chimukangara, B.&lt;/author&gt;&lt;author&gt;Pillay, S.&lt;/author&gt;&lt;author&gt;Singh, L.&lt;/author&gt;&lt;author&gt;Fish, M.&lt;/author&gt;&lt;author&gt;Gazy, I.&lt;/author&gt;&lt;author&gt;Khanyile, K.&lt;/author&gt;&lt;author&gt;Lessells, R.&lt;/author&gt;&lt;author&gt;de Oliveira, T.&lt;/author&gt;&lt;/authors&gt;&lt;/contributors&gt;&lt;titles&gt;&lt;title&gt;High Resolution analysis of Transmission Dynamics of Sars-Cov-2 in Two Major Hospital Outbreaks in South Africa Leveraging Intrahost Diversity&lt;/title&gt;&lt;secondary-title&gt;medRxiv&lt;/secondary-title&gt;&lt;/titles&gt;&lt;periodical&gt;&lt;full-title&gt;medRxiv&lt;/full-title&gt;&lt;/periodical&gt;&lt;edition&gt;2020/11/26&lt;/edition&gt;&lt;dates&gt;&lt;year&gt;2020&lt;/year&gt;&lt;pub-dates&gt;&lt;date&gt;Nov 16&lt;/date&gt;&lt;/pub-dates&gt;&lt;/dates&gt;&lt;accession-num&gt;33236025&lt;/accession-num&gt;&lt;urls&gt;&lt;related-urls&gt;&lt;url&gt;https://www.ncbi.nlm.nih.gov/pubmed/33236025&lt;/url&gt;&lt;/related-urls&gt;&lt;/urls&gt;&lt;custom2&gt;PMC7685338&lt;/custom2&gt;&lt;electronic-resource-num&gt;10.1101/2020.11.15.20231993&lt;/electronic-resource-num&gt;&lt;/record&gt;&lt;/Cite&gt;&lt;/EndNote&gt;</w:instrText>
      </w:r>
      <w:r w:rsidRPr="007A73F6">
        <w:rPr>
          <w:rFonts w:ascii="Times New Roman" w:eastAsia="Calibri" w:hAnsi="Times New Roman"/>
          <w:sz w:val="24"/>
          <w:szCs w:val="24"/>
          <w:lang w:val="en-GB"/>
        </w:rPr>
        <w:fldChar w:fldCharType="separate"/>
      </w:r>
      <w:r w:rsidRPr="00D978E6">
        <w:rPr>
          <w:rFonts w:ascii="Times New Roman" w:eastAsia="Calibri" w:hAnsi="Times New Roman"/>
          <w:noProof/>
          <w:sz w:val="24"/>
          <w:szCs w:val="24"/>
          <w:vertAlign w:val="superscript"/>
          <w:lang w:val="en-GB"/>
        </w:rPr>
        <w:t>1</w:t>
      </w:r>
      <w:r w:rsidRPr="007A73F6">
        <w:rPr>
          <w:rFonts w:ascii="Times New Roman" w:eastAsia="Calibri" w:hAnsi="Times New Roman"/>
          <w:sz w:val="24"/>
          <w:szCs w:val="24"/>
          <w:lang w:val="en-GB"/>
        </w:rPr>
        <w:fldChar w:fldCharType="end"/>
      </w:r>
      <w:r w:rsidRPr="007A73F6">
        <w:rPr>
          <w:rFonts w:ascii="Times New Roman" w:eastAsia="Calibri" w:hAnsi="Times New Roman"/>
          <w:sz w:val="24"/>
          <w:szCs w:val="24"/>
          <w:lang w:val="en-GB"/>
        </w:rPr>
        <w:t xml:space="preserve"> </w:t>
      </w:r>
    </w:p>
    <w:p w14:paraId="6C0DAA64" w14:textId="77777777" w:rsidR="001F0C1F" w:rsidRPr="00D978E6" w:rsidRDefault="001F0C1F" w:rsidP="00D978E6">
      <w:pPr>
        <w:spacing w:line="360" w:lineRule="auto"/>
        <w:rPr>
          <w:rFonts w:ascii="Times New Roman" w:eastAsia="Calibri" w:hAnsi="Times New Roman" w:cs="Times New Roman"/>
          <w:b/>
          <w:bCs/>
          <w:lang w:val="en-US"/>
        </w:rPr>
      </w:pPr>
    </w:p>
    <w:p w14:paraId="108D2AA7" w14:textId="77777777" w:rsidR="00D978E6" w:rsidRDefault="00D978E6">
      <w:pPr>
        <w:rPr>
          <w:rFonts w:ascii="Times New Roman" w:hAnsi="Times New Roman" w:cs="Times New Roman"/>
          <w:b/>
          <w:bCs/>
          <w:lang w:val="en-US"/>
        </w:rPr>
      </w:pPr>
      <w:r>
        <w:rPr>
          <w:rFonts w:ascii="Times New Roman" w:hAnsi="Times New Roman" w:cs="Times New Roman"/>
          <w:b/>
          <w:bCs/>
        </w:rPr>
        <w:br w:type="page"/>
      </w:r>
    </w:p>
    <w:p w14:paraId="6D84B009" w14:textId="6BDCCC0E" w:rsidR="00D978E6" w:rsidRPr="00D978E6" w:rsidRDefault="00D978E6" w:rsidP="00D978E6">
      <w:pPr>
        <w:pStyle w:val="EndNoteBibliography"/>
        <w:rPr>
          <w:rFonts w:ascii="Times New Roman" w:eastAsia="Calibri" w:hAnsi="Times New Roman" w:cs="Times New Roman"/>
          <w:b/>
          <w:bCs/>
        </w:rPr>
      </w:pPr>
      <w:r w:rsidRPr="00D978E6">
        <w:rPr>
          <w:rFonts w:ascii="Times New Roman" w:hAnsi="Times New Roman" w:cs="Times New Roman"/>
          <w:b/>
          <w:bCs/>
        </w:rPr>
        <w:lastRenderedPageBreak/>
        <w:t>References</w:t>
      </w:r>
    </w:p>
    <w:p w14:paraId="1A8E5AF5" w14:textId="255FF69D" w:rsidR="00D978E6" w:rsidRPr="00D978E6" w:rsidRDefault="00D978E6" w:rsidP="00D978E6">
      <w:pPr>
        <w:pStyle w:val="EndNoteBibliography"/>
        <w:rPr>
          <w:rFonts w:ascii="Times New Roman" w:hAnsi="Times New Roman" w:cs="Times New Roman"/>
          <w:noProof/>
        </w:rPr>
      </w:pPr>
      <w:r w:rsidRPr="00D978E6">
        <w:rPr>
          <w:rFonts w:ascii="Times New Roman" w:eastAsia="Calibri" w:hAnsi="Times New Roman" w:cs="Times New Roman"/>
        </w:rPr>
        <w:fldChar w:fldCharType="begin"/>
      </w:r>
      <w:r w:rsidRPr="00D978E6">
        <w:rPr>
          <w:rFonts w:ascii="Times New Roman" w:eastAsia="Calibri" w:hAnsi="Times New Roman" w:cs="Times New Roman"/>
        </w:rPr>
        <w:instrText xml:space="preserve"> ADDIN EN.REFLIST </w:instrText>
      </w:r>
      <w:r w:rsidRPr="00D978E6">
        <w:rPr>
          <w:rFonts w:ascii="Times New Roman" w:eastAsia="Calibri" w:hAnsi="Times New Roman" w:cs="Times New Roman"/>
        </w:rPr>
        <w:fldChar w:fldCharType="separate"/>
      </w:r>
      <w:r w:rsidRPr="00D978E6">
        <w:rPr>
          <w:rFonts w:ascii="Times New Roman" w:hAnsi="Times New Roman" w:cs="Times New Roman"/>
          <w:b/>
          <w:noProof/>
        </w:rPr>
        <w:t>1.</w:t>
      </w:r>
      <w:r w:rsidRPr="00D978E6">
        <w:rPr>
          <w:rFonts w:ascii="Times New Roman" w:hAnsi="Times New Roman" w:cs="Times New Roman"/>
          <w:noProof/>
        </w:rPr>
        <w:tab/>
        <w:t xml:space="preserve">James SE, Ngcapu S, Kanzi AM, et al. High Resolution analysis of Transmission Dynamics of Sars-Cov-2 in Two Major Hospital Outbreaks in South Africa Leveraging Intrahost Diversity. </w:t>
      </w:r>
      <w:r w:rsidRPr="00D978E6">
        <w:rPr>
          <w:rFonts w:ascii="Times New Roman" w:hAnsi="Times New Roman" w:cs="Times New Roman"/>
          <w:i/>
          <w:noProof/>
        </w:rPr>
        <w:t xml:space="preserve">medRxiv </w:t>
      </w:r>
      <w:r w:rsidRPr="00D978E6">
        <w:rPr>
          <w:rFonts w:ascii="Times New Roman" w:hAnsi="Times New Roman" w:cs="Times New Roman"/>
          <w:noProof/>
        </w:rPr>
        <w:t>2020.</w:t>
      </w:r>
    </w:p>
    <w:p w14:paraId="27E05D42" w14:textId="725AA58F" w:rsidR="00186A54" w:rsidRPr="004E0A51" w:rsidRDefault="00D978E6" w:rsidP="00D978E6">
      <w:pPr>
        <w:spacing w:line="360" w:lineRule="auto"/>
        <w:rPr>
          <w:rFonts w:ascii="Times New Roman" w:eastAsia="Calibri" w:hAnsi="Times New Roman" w:cs="Times New Roman"/>
          <w:lang w:val="en-US"/>
        </w:rPr>
      </w:pPr>
      <w:r w:rsidRPr="00D978E6">
        <w:rPr>
          <w:rFonts w:ascii="Times New Roman" w:eastAsia="Calibri" w:hAnsi="Times New Roman" w:cs="Times New Roman"/>
          <w:lang w:val="en-US"/>
        </w:rPr>
        <w:fldChar w:fldCharType="end"/>
      </w:r>
    </w:p>
    <w:sectPr w:rsidR="00186A54" w:rsidRPr="004E0A51" w:rsidSect="00F651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ICH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es9rxtip9fdae502uvrvrez5s5txa2t22f&quot;&gt;Article_NOSOCOVID&lt;record-ids&gt;&lt;item&gt;32&lt;/item&gt;&lt;/record-ids&gt;&lt;/item&gt;&lt;/Libraries&gt;"/>
  </w:docVars>
  <w:rsids>
    <w:rsidRoot w:val="00D1220B"/>
    <w:rsid w:val="00006429"/>
    <w:rsid w:val="000102B0"/>
    <w:rsid w:val="00011A46"/>
    <w:rsid w:val="00015744"/>
    <w:rsid w:val="0005339B"/>
    <w:rsid w:val="00060FA1"/>
    <w:rsid w:val="000615EA"/>
    <w:rsid w:val="00065F22"/>
    <w:rsid w:val="000871B4"/>
    <w:rsid w:val="00092995"/>
    <w:rsid w:val="000A7111"/>
    <w:rsid w:val="000D7754"/>
    <w:rsid w:val="000E38A2"/>
    <w:rsid w:val="000E538B"/>
    <w:rsid w:val="000F4FE0"/>
    <w:rsid w:val="0010586C"/>
    <w:rsid w:val="00111083"/>
    <w:rsid w:val="00186A54"/>
    <w:rsid w:val="001B2342"/>
    <w:rsid w:val="001C5457"/>
    <w:rsid w:val="001E396D"/>
    <w:rsid w:val="001F0C1F"/>
    <w:rsid w:val="002418CC"/>
    <w:rsid w:val="00260EEB"/>
    <w:rsid w:val="00260FBD"/>
    <w:rsid w:val="0026364E"/>
    <w:rsid w:val="00266058"/>
    <w:rsid w:val="002928FB"/>
    <w:rsid w:val="002A4A27"/>
    <w:rsid w:val="002A5E6F"/>
    <w:rsid w:val="002B5F85"/>
    <w:rsid w:val="002C4FAC"/>
    <w:rsid w:val="002D06FC"/>
    <w:rsid w:val="002E14AE"/>
    <w:rsid w:val="002E3C33"/>
    <w:rsid w:val="00304832"/>
    <w:rsid w:val="00310E64"/>
    <w:rsid w:val="00310F5C"/>
    <w:rsid w:val="00334105"/>
    <w:rsid w:val="00340818"/>
    <w:rsid w:val="003635B7"/>
    <w:rsid w:val="00383EC0"/>
    <w:rsid w:val="003A280C"/>
    <w:rsid w:val="003A69D7"/>
    <w:rsid w:val="003B6EC7"/>
    <w:rsid w:val="003E1197"/>
    <w:rsid w:val="003E18D9"/>
    <w:rsid w:val="003E3139"/>
    <w:rsid w:val="003E33C8"/>
    <w:rsid w:val="00402EB2"/>
    <w:rsid w:val="00404FCD"/>
    <w:rsid w:val="00416E2F"/>
    <w:rsid w:val="0042492B"/>
    <w:rsid w:val="0044089A"/>
    <w:rsid w:val="0045491E"/>
    <w:rsid w:val="00460C33"/>
    <w:rsid w:val="00470431"/>
    <w:rsid w:val="004867F5"/>
    <w:rsid w:val="004D2F33"/>
    <w:rsid w:val="004E0A51"/>
    <w:rsid w:val="004F15EB"/>
    <w:rsid w:val="005007E5"/>
    <w:rsid w:val="00516849"/>
    <w:rsid w:val="0052352D"/>
    <w:rsid w:val="00524301"/>
    <w:rsid w:val="0053225A"/>
    <w:rsid w:val="0053323E"/>
    <w:rsid w:val="00534CAB"/>
    <w:rsid w:val="005432FB"/>
    <w:rsid w:val="00581EDE"/>
    <w:rsid w:val="005E54A3"/>
    <w:rsid w:val="005E768B"/>
    <w:rsid w:val="005F452E"/>
    <w:rsid w:val="00634C56"/>
    <w:rsid w:val="00641E46"/>
    <w:rsid w:val="00643FD5"/>
    <w:rsid w:val="006516E6"/>
    <w:rsid w:val="00653224"/>
    <w:rsid w:val="00656D54"/>
    <w:rsid w:val="00665A84"/>
    <w:rsid w:val="00666A30"/>
    <w:rsid w:val="006702CB"/>
    <w:rsid w:val="0068299C"/>
    <w:rsid w:val="00691180"/>
    <w:rsid w:val="006B5A34"/>
    <w:rsid w:val="006C1B0A"/>
    <w:rsid w:val="006D127F"/>
    <w:rsid w:val="006D6D9C"/>
    <w:rsid w:val="006D729F"/>
    <w:rsid w:val="006E0F09"/>
    <w:rsid w:val="006F1444"/>
    <w:rsid w:val="00700F4F"/>
    <w:rsid w:val="00723B8A"/>
    <w:rsid w:val="0075506B"/>
    <w:rsid w:val="00770B9E"/>
    <w:rsid w:val="00773B6A"/>
    <w:rsid w:val="0078321C"/>
    <w:rsid w:val="007B17C1"/>
    <w:rsid w:val="007C2FD6"/>
    <w:rsid w:val="007C3B56"/>
    <w:rsid w:val="007D3569"/>
    <w:rsid w:val="007E118A"/>
    <w:rsid w:val="00800862"/>
    <w:rsid w:val="00812346"/>
    <w:rsid w:val="00834DE1"/>
    <w:rsid w:val="00846E15"/>
    <w:rsid w:val="00846E40"/>
    <w:rsid w:val="00853897"/>
    <w:rsid w:val="00855006"/>
    <w:rsid w:val="00861E20"/>
    <w:rsid w:val="00866C3F"/>
    <w:rsid w:val="00874BB8"/>
    <w:rsid w:val="00882A9C"/>
    <w:rsid w:val="008A5514"/>
    <w:rsid w:val="008D3A63"/>
    <w:rsid w:val="008E39F6"/>
    <w:rsid w:val="008E683F"/>
    <w:rsid w:val="008F2E81"/>
    <w:rsid w:val="008F5A51"/>
    <w:rsid w:val="0090349E"/>
    <w:rsid w:val="00942C40"/>
    <w:rsid w:val="009645C0"/>
    <w:rsid w:val="009661CD"/>
    <w:rsid w:val="00981755"/>
    <w:rsid w:val="009843A2"/>
    <w:rsid w:val="0099256A"/>
    <w:rsid w:val="009E4180"/>
    <w:rsid w:val="009F19C5"/>
    <w:rsid w:val="00A15EA2"/>
    <w:rsid w:val="00A17776"/>
    <w:rsid w:val="00A4143F"/>
    <w:rsid w:val="00A5502D"/>
    <w:rsid w:val="00A73AFA"/>
    <w:rsid w:val="00A807FE"/>
    <w:rsid w:val="00A86FD2"/>
    <w:rsid w:val="00AE0D1F"/>
    <w:rsid w:val="00AE280D"/>
    <w:rsid w:val="00AE7660"/>
    <w:rsid w:val="00AE7AD4"/>
    <w:rsid w:val="00B03633"/>
    <w:rsid w:val="00B21531"/>
    <w:rsid w:val="00B554FB"/>
    <w:rsid w:val="00B60F96"/>
    <w:rsid w:val="00B72EDD"/>
    <w:rsid w:val="00B75C8D"/>
    <w:rsid w:val="00B87FE4"/>
    <w:rsid w:val="00BA21D9"/>
    <w:rsid w:val="00BB4A73"/>
    <w:rsid w:val="00BC2475"/>
    <w:rsid w:val="00BC6CA5"/>
    <w:rsid w:val="00BD6B40"/>
    <w:rsid w:val="00BE3F24"/>
    <w:rsid w:val="00C000FD"/>
    <w:rsid w:val="00C07312"/>
    <w:rsid w:val="00C1625E"/>
    <w:rsid w:val="00C26FEB"/>
    <w:rsid w:val="00C3584B"/>
    <w:rsid w:val="00C56C8A"/>
    <w:rsid w:val="00C83F38"/>
    <w:rsid w:val="00CD327F"/>
    <w:rsid w:val="00CD4C39"/>
    <w:rsid w:val="00CE7DD5"/>
    <w:rsid w:val="00D03501"/>
    <w:rsid w:val="00D1220B"/>
    <w:rsid w:val="00D13462"/>
    <w:rsid w:val="00D13679"/>
    <w:rsid w:val="00D14173"/>
    <w:rsid w:val="00D2260E"/>
    <w:rsid w:val="00D26E1E"/>
    <w:rsid w:val="00D33CFF"/>
    <w:rsid w:val="00D3597E"/>
    <w:rsid w:val="00D44F9E"/>
    <w:rsid w:val="00D978E6"/>
    <w:rsid w:val="00DB0567"/>
    <w:rsid w:val="00DB0822"/>
    <w:rsid w:val="00DB34ED"/>
    <w:rsid w:val="00DC0C53"/>
    <w:rsid w:val="00DC3171"/>
    <w:rsid w:val="00DC3A96"/>
    <w:rsid w:val="00DC4CDE"/>
    <w:rsid w:val="00DD07E6"/>
    <w:rsid w:val="00DF39F8"/>
    <w:rsid w:val="00E0283D"/>
    <w:rsid w:val="00E12AEB"/>
    <w:rsid w:val="00E1631F"/>
    <w:rsid w:val="00E4097D"/>
    <w:rsid w:val="00E62CCA"/>
    <w:rsid w:val="00E63AFB"/>
    <w:rsid w:val="00E66456"/>
    <w:rsid w:val="00E81462"/>
    <w:rsid w:val="00EA0316"/>
    <w:rsid w:val="00EA14DF"/>
    <w:rsid w:val="00EC6165"/>
    <w:rsid w:val="00EE602A"/>
    <w:rsid w:val="00EF48D8"/>
    <w:rsid w:val="00F05835"/>
    <w:rsid w:val="00F063E0"/>
    <w:rsid w:val="00F11EA6"/>
    <w:rsid w:val="00F271B3"/>
    <w:rsid w:val="00F407DC"/>
    <w:rsid w:val="00F57FA4"/>
    <w:rsid w:val="00F65179"/>
    <w:rsid w:val="00FC08C7"/>
    <w:rsid w:val="00FE2FC5"/>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3744DD0"/>
  <w15:chartTrackingRefBased/>
  <w15:docId w15:val="{8A31D17D-EFA7-224F-AEF0-C05B3B11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9F8"/>
    <w:pPr>
      <w:keepNext/>
      <w:keepLines/>
      <w:spacing w:line="360" w:lineRule="auto"/>
      <w:outlineLvl w:val="0"/>
    </w:pPr>
    <w:rPr>
      <w:rFonts w:ascii="Times New Roman" w:eastAsiaTheme="majorEastAsia" w:hAnsi="Times New Roman" w:cs="Times New Roman"/>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7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7FE"/>
    <w:rPr>
      <w:rFonts w:ascii="Times New Roman" w:hAnsi="Times New Roman" w:cs="Times New Roman"/>
      <w:sz w:val="18"/>
      <w:szCs w:val="18"/>
    </w:rPr>
  </w:style>
  <w:style w:type="character" w:customStyle="1" w:styleId="Heading1Char">
    <w:name w:val="Heading 1 Char"/>
    <w:basedOn w:val="DefaultParagraphFont"/>
    <w:link w:val="Heading1"/>
    <w:uiPriority w:val="9"/>
    <w:rsid w:val="00DF39F8"/>
    <w:rPr>
      <w:rFonts w:ascii="Times New Roman" w:eastAsiaTheme="majorEastAsia" w:hAnsi="Times New Roman" w:cs="Times New Roman"/>
      <w:b/>
      <w:bCs/>
      <w:color w:val="000000" w:themeColor="text1"/>
    </w:rPr>
  </w:style>
  <w:style w:type="paragraph" w:styleId="TOCHeading">
    <w:name w:val="TOC Heading"/>
    <w:basedOn w:val="Heading1"/>
    <w:next w:val="Normal"/>
    <w:uiPriority w:val="39"/>
    <w:unhideWhenUsed/>
    <w:qFormat/>
    <w:rsid w:val="00DF39F8"/>
    <w:pPr>
      <w:spacing w:before="480" w:line="276" w:lineRule="auto"/>
      <w:outlineLvl w:val="9"/>
    </w:pPr>
    <w:rPr>
      <w:rFonts w:asciiTheme="majorHAnsi" w:hAnsiTheme="majorHAnsi" w:cstheme="majorBidi"/>
      <w:color w:val="2F5496" w:themeColor="accent1" w:themeShade="BF"/>
      <w:sz w:val="28"/>
      <w:szCs w:val="28"/>
      <w:lang w:val="en-US"/>
    </w:rPr>
  </w:style>
  <w:style w:type="paragraph" w:styleId="TOC1">
    <w:name w:val="toc 1"/>
    <w:basedOn w:val="Normal"/>
    <w:next w:val="Normal"/>
    <w:autoRedefine/>
    <w:uiPriority w:val="39"/>
    <w:unhideWhenUsed/>
    <w:rsid w:val="00DF39F8"/>
    <w:pPr>
      <w:spacing w:before="120"/>
    </w:pPr>
    <w:rPr>
      <w:rFonts w:cstheme="minorHAnsi"/>
      <w:b/>
      <w:bCs/>
      <w:i/>
      <w:iCs/>
    </w:rPr>
  </w:style>
  <w:style w:type="character" w:styleId="Hyperlink">
    <w:name w:val="Hyperlink"/>
    <w:basedOn w:val="DefaultParagraphFont"/>
    <w:uiPriority w:val="99"/>
    <w:unhideWhenUsed/>
    <w:rsid w:val="00DF39F8"/>
    <w:rPr>
      <w:color w:val="0563C1" w:themeColor="hyperlink"/>
      <w:u w:val="single"/>
    </w:rPr>
  </w:style>
  <w:style w:type="paragraph" w:styleId="TOC2">
    <w:name w:val="toc 2"/>
    <w:basedOn w:val="Normal"/>
    <w:next w:val="Normal"/>
    <w:autoRedefine/>
    <w:uiPriority w:val="39"/>
    <w:semiHidden/>
    <w:unhideWhenUsed/>
    <w:rsid w:val="00DF39F8"/>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DF39F8"/>
    <w:pPr>
      <w:ind w:left="480"/>
    </w:pPr>
    <w:rPr>
      <w:rFonts w:cstheme="minorHAnsi"/>
      <w:sz w:val="20"/>
      <w:szCs w:val="20"/>
    </w:rPr>
  </w:style>
  <w:style w:type="paragraph" w:styleId="TOC4">
    <w:name w:val="toc 4"/>
    <w:basedOn w:val="Normal"/>
    <w:next w:val="Normal"/>
    <w:autoRedefine/>
    <w:uiPriority w:val="39"/>
    <w:semiHidden/>
    <w:unhideWhenUsed/>
    <w:rsid w:val="00DF39F8"/>
    <w:pPr>
      <w:ind w:left="720"/>
    </w:pPr>
    <w:rPr>
      <w:rFonts w:cstheme="minorHAnsi"/>
      <w:sz w:val="20"/>
      <w:szCs w:val="20"/>
    </w:rPr>
  </w:style>
  <w:style w:type="paragraph" w:styleId="TOC5">
    <w:name w:val="toc 5"/>
    <w:basedOn w:val="Normal"/>
    <w:next w:val="Normal"/>
    <w:autoRedefine/>
    <w:uiPriority w:val="39"/>
    <w:semiHidden/>
    <w:unhideWhenUsed/>
    <w:rsid w:val="00DF39F8"/>
    <w:pPr>
      <w:ind w:left="960"/>
    </w:pPr>
    <w:rPr>
      <w:rFonts w:cstheme="minorHAnsi"/>
      <w:sz w:val="20"/>
      <w:szCs w:val="20"/>
    </w:rPr>
  </w:style>
  <w:style w:type="paragraph" w:styleId="TOC6">
    <w:name w:val="toc 6"/>
    <w:basedOn w:val="Normal"/>
    <w:next w:val="Normal"/>
    <w:autoRedefine/>
    <w:uiPriority w:val="39"/>
    <w:semiHidden/>
    <w:unhideWhenUsed/>
    <w:rsid w:val="00DF39F8"/>
    <w:pPr>
      <w:ind w:left="1200"/>
    </w:pPr>
    <w:rPr>
      <w:rFonts w:cstheme="minorHAnsi"/>
      <w:sz w:val="20"/>
      <w:szCs w:val="20"/>
    </w:rPr>
  </w:style>
  <w:style w:type="paragraph" w:styleId="TOC7">
    <w:name w:val="toc 7"/>
    <w:basedOn w:val="Normal"/>
    <w:next w:val="Normal"/>
    <w:autoRedefine/>
    <w:uiPriority w:val="39"/>
    <w:semiHidden/>
    <w:unhideWhenUsed/>
    <w:rsid w:val="00DF39F8"/>
    <w:pPr>
      <w:ind w:left="1440"/>
    </w:pPr>
    <w:rPr>
      <w:rFonts w:cstheme="minorHAnsi"/>
      <w:sz w:val="20"/>
      <w:szCs w:val="20"/>
    </w:rPr>
  </w:style>
  <w:style w:type="paragraph" w:styleId="TOC8">
    <w:name w:val="toc 8"/>
    <w:basedOn w:val="Normal"/>
    <w:next w:val="Normal"/>
    <w:autoRedefine/>
    <w:uiPriority w:val="39"/>
    <w:semiHidden/>
    <w:unhideWhenUsed/>
    <w:rsid w:val="00DF39F8"/>
    <w:pPr>
      <w:ind w:left="1680"/>
    </w:pPr>
    <w:rPr>
      <w:rFonts w:cstheme="minorHAnsi"/>
      <w:sz w:val="20"/>
      <w:szCs w:val="20"/>
    </w:rPr>
  </w:style>
  <w:style w:type="paragraph" w:styleId="TOC9">
    <w:name w:val="toc 9"/>
    <w:basedOn w:val="Normal"/>
    <w:next w:val="Normal"/>
    <w:autoRedefine/>
    <w:uiPriority w:val="39"/>
    <w:semiHidden/>
    <w:unhideWhenUsed/>
    <w:rsid w:val="00DF39F8"/>
    <w:pPr>
      <w:ind w:left="1920"/>
    </w:pPr>
    <w:rPr>
      <w:rFonts w:cstheme="minorHAnsi"/>
      <w:sz w:val="20"/>
      <w:szCs w:val="20"/>
    </w:rPr>
  </w:style>
  <w:style w:type="character" w:styleId="UnresolvedMention">
    <w:name w:val="Unresolved Mention"/>
    <w:basedOn w:val="DefaultParagraphFont"/>
    <w:uiPriority w:val="99"/>
    <w:semiHidden/>
    <w:unhideWhenUsed/>
    <w:rsid w:val="00334105"/>
    <w:rPr>
      <w:color w:val="605E5C"/>
      <w:shd w:val="clear" w:color="auto" w:fill="E1DFDD"/>
    </w:rPr>
  </w:style>
  <w:style w:type="character" w:customStyle="1" w:styleId="apple-converted-space">
    <w:name w:val="apple-converted-space"/>
    <w:basedOn w:val="DefaultParagraphFont"/>
    <w:rsid w:val="004E0A51"/>
  </w:style>
  <w:style w:type="paragraph" w:customStyle="1" w:styleId="Auteurs">
    <w:name w:val="Auteurs"/>
    <w:basedOn w:val="Normal"/>
    <w:link w:val="AuteursChar"/>
    <w:qFormat/>
    <w:rsid w:val="00D978E6"/>
    <w:pPr>
      <w:spacing w:after="60" w:line="480" w:lineRule="auto"/>
      <w:jc w:val="both"/>
    </w:pPr>
    <w:rPr>
      <w:rFonts w:ascii="HelveticaNeueLT Std" w:eastAsia="Times New Roman" w:hAnsi="HelveticaNeueLT Std" w:cs="Times New Roman"/>
      <w:sz w:val="18"/>
      <w:szCs w:val="16"/>
      <w:lang w:val="fr-FR" w:eastAsia="fr-CA"/>
    </w:rPr>
  </w:style>
  <w:style w:type="character" w:styleId="CommentReference">
    <w:name w:val="annotation reference"/>
    <w:basedOn w:val="DefaultParagraphFont"/>
    <w:uiPriority w:val="99"/>
    <w:semiHidden/>
    <w:unhideWhenUsed/>
    <w:rsid w:val="00D978E6"/>
    <w:rPr>
      <w:sz w:val="16"/>
      <w:szCs w:val="16"/>
    </w:rPr>
  </w:style>
  <w:style w:type="character" w:customStyle="1" w:styleId="AuteursChar">
    <w:name w:val="Auteurs Char"/>
    <w:basedOn w:val="DefaultParagraphFont"/>
    <w:link w:val="Auteurs"/>
    <w:rsid w:val="00D978E6"/>
    <w:rPr>
      <w:rFonts w:ascii="HelveticaNeueLT Std" w:eastAsia="Times New Roman" w:hAnsi="HelveticaNeueLT Std" w:cs="Times New Roman"/>
      <w:sz w:val="18"/>
      <w:szCs w:val="16"/>
      <w:lang w:val="fr-FR" w:eastAsia="fr-CA"/>
    </w:rPr>
  </w:style>
  <w:style w:type="paragraph" w:customStyle="1" w:styleId="EndNoteBibliographyTitle">
    <w:name w:val="EndNote Bibliography Title"/>
    <w:basedOn w:val="Normal"/>
    <w:link w:val="EndNoteBibliographyTitleChar"/>
    <w:rsid w:val="00D978E6"/>
    <w:pPr>
      <w:jc w:val="center"/>
    </w:pPr>
    <w:rPr>
      <w:rFonts w:ascii="Calibri" w:hAnsi="Calibri" w:cs="Calibri"/>
      <w:lang w:val="en-US"/>
    </w:rPr>
  </w:style>
  <w:style w:type="character" w:customStyle="1" w:styleId="EndNoteBibliographyTitleChar">
    <w:name w:val="EndNote Bibliography Title Char"/>
    <w:basedOn w:val="AuteursChar"/>
    <w:link w:val="EndNoteBibliographyTitle"/>
    <w:rsid w:val="00D978E6"/>
    <w:rPr>
      <w:rFonts w:ascii="Calibri" w:eastAsia="Times New Roman" w:hAnsi="Calibri" w:cs="Calibri"/>
      <w:sz w:val="18"/>
      <w:szCs w:val="16"/>
      <w:lang w:val="en-US" w:eastAsia="fr-CA"/>
    </w:rPr>
  </w:style>
  <w:style w:type="paragraph" w:customStyle="1" w:styleId="EndNoteBibliography">
    <w:name w:val="EndNote Bibliography"/>
    <w:basedOn w:val="Normal"/>
    <w:link w:val="EndNoteBibliographyChar"/>
    <w:rsid w:val="00D978E6"/>
    <w:rPr>
      <w:rFonts w:ascii="Calibri" w:hAnsi="Calibri" w:cs="Calibri"/>
      <w:lang w:val="en-US"/>
    </w:rPr>
  </w:style>
  <w:style w:type="character" w:customStyle="1" w:styleId="EndNoteBibliographyChar">
    <w:name w:val="EndNote Bibliography Char"/>
    <w:basedOn w:val="AuteursChar"/>
    <w:link w:val="EndNoteBibliography"/>
    <w:rsid w:val="00D978E6"/>
    <w:rPr>
      <w:rFonts w:ascii="Calibri" w:eastAsia="Times New Roman" w:hAnsi="Calibri" w:cs="Calibri"/>
      <w:sz w:val="18"/>
      <w:szCs w:val="16"/>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9572">
      <w:bodyDiv w:val="1"/>
      <w:marLeft w:val="0"/>
      <w:marRight w:val="0"/>
      <w:marTop w:val="0"/>
      <w:marBottom w:val="0"/>
      <w:divBdr>
        <w:top w:val="none" w:sz="0" w:space="0" w:color="auto"/>
        <w:left w:val="none" w:sz="0" w:space="0" w:color="auto"/>
        <w:bottom w:val="none" w:sz="0" w:space="0" w:color="auto"/>
        <w:right w:val="none" w:sz="0" w:space="0" w:color="auto"/>
      </w:divBdr>
    </w:div>
    <w:div w:id="1498568072">
      <w:bodyDiv w:val="1"/>
      <w:marLeft w:val="0"/>
      <w:marRight w:val="0"/>
      <w:marTop w:val="0"/>
      <w:marBottom w:val="0"/>
      <w:divBdr>
        <w:top w:val="none" w:sz="0" w:space="0" w:color="auto"/>
        <w:left w:val="none" w:sz="0" w:space="0" w:color="auto"/>
        <w:bottom w:val="none" w:sz="0" w:space="0" w:color="auto"/>
        <w:right w:val="none" w:sz="0" w:space="0" w:color="auto"/>
      </w:divBdr>
    </w:div>
    <w:div w:id="15983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genb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rtic.network/ncov-2019/ncov2019-bioinformatics-sop.html" TargetMode="External"/><Relationship Id="rId5" Type="http://schemas.openxmlformats.org/officeDocument/2006/relationships/hyperlink" Target="https://www.protocols.io/view/ncov-2019-sequencing-protocol-v3-locost-bh42j8y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FAE87-2F3A-594C-8E31-0240B916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Grandjean Lapierre</dc:creator>
  <cp:keywords/>
  <dc:description/>
  <cp:lastModifiedBy>Simon Grandjean Lapierre</cp:lastModifiedBy>
  <cp:revision>15</cp:revision>
  <dcterms:created xsi:type="dcterms:W3CDTF">2022-02-24T07:35:00Z</dcterms:created>
  <dcterms:modified xsi:type="dcterms:W3CDTF">2023-01-04T12:53:00Z</dcterms:modified>
</cp:coreProperties>
</file>