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E1E05" w14:textId="77777777" w:rsidR="00E07CE8" w:rsidRDefault="00E07CE8" w:rsidP="00E07CE8">
      <w:pPr>
        <w:spacing w:line="480" w:lineRule="auto"/>
        <w:rPr>
          <w:b/>
          <w:bCs/>
        </w:rPr>
      </w:pPr>
      <w:r w:rsidRPr="002E4F71">
        <w:rPr>
          <w:b/>
          <w:bCs/>
        </w:rPr>
        <w:t>Supplemental Figures</w:t>
      </w:r>
    </w:p>
    <w:p w14:paraId="4BA27F0E" w14:textId="77777777" w:rsidR="00E07CE8" w:rsidRDefault="00E07CE8" w:rsidP="00E07CE8">
      <w:pPr>
        <w:spacing w:line="480" w:lineRule="auto"/>
        <w:rPr>
          <w:b/>
          <w:bCs/>
        </w:rPr>
      </w:pPr>
    </w:p>
    <w:p w14:paraId="33F122BD" w14:textId="77777777" w:rsidR="00E07CE8" w:rsidRPr="008F5283" w:rsidRDefault="00E07CE8" w:rsidP="00E07CE8">
      <w:pPr>
        <w:spacing w:line="480" w:lineRule="auto"/>
      </w:pPr>
      <w:r w:rsidRPr="00DE6D3D">
        <w:rPr>
          <w:b/>
          <w:bCs/>
        </w:rPr>
        <w:t>Supplemental Figure 1.</w:t>
      </w:r>
      <w:r>
        <w:t xml:space="preserve"> </w:t>
      </w:r>
      <w:r w:rsidRPr="002F7129">
        <w:t xml:space="preserve"> </w:t>
      </w:r>
    </w:p>
    <w:p w14:paraId="44CE80A8" w14:textId="07BA26D4" w:rsidR="00E07CE8" w:rsidRPr="002F7129" w:rsidRDefault="00D304C7" w:rsidP="00E07CE8">
      <w:pPr>
        <w:spacing w:line="480" w:lineRule="auto"/>
      </w:pPr>
      <w:r>
        <w:rPr>
          <w:noProof/>
        </w:rPr>
        <w:drawing>
          <wp:inline distT="0" distB="0" distL="0" distR="0" wp14:anchorId="0B704419" wp14:editId="7A3BAF4D">
            <wp:extent cx="1993900" cy="2667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A7842" w14:textId="77777777" w:rsidR="00E07CE8" w:rsidRDefault="00E07CE8" w:rsidP="00E07CE8">
      <w:pPr>
        <w:spacing w:line="480" w:lineRule="auto"/>
      </w:pPr>
    </w:p>
    <w:p w14:paraId="155463E8" w14:textId="77777777" w:rsidR="00E07CE8" w:rsidRDefault="00E07CE8" w:rsidP="00E07CE8">
      <w:pPr>
        <w:spacing w:line="480" w:lineRule="auto"/>
      </w:pPr>
    </w:p>
    <w:p w14:paraId="61896C48" w14:textId="77777777" w:rsidR="00E07CE8" w:rsidRDefault="00E07CE8" w:rsidP="00E07CE8">
      <w:pPr>
        <w:spacing w:line="480" w:lineRule="auto"/>
      </w:pPr>
    </w:p>
    <w:p w14:paraId="700BFE6A" w14:textId="77777777" w:rsidR="00E07CE8" w:rsidRDefault="00E07CE8" w:rsidP="00E07CE8">
      <w:pPr>
        <w:spacing w:line="480" w:lineRule="auto"/>
      </w:pPr>
    </w:p>
    <w:p w14:paraId="172C16CE" w14:textId="77777777" w:rsidR="00E07CE8" w:rsidRDefault="00E07CE8" w:rsidP="00E07CE8">
      <w:pPr>
        <w:spacing w:line="480" w:lineRule="auto"/>
      </w:pPr>
    </w:p>
    <w:p w14:paraId="11739EB3" w14:textId="77777777" w:rsidR="00E07CE8" w:rsidRDefault="00E07CE8" w:rsidP="00E07CE8">
      <w:pPr>
        <w:spacing w:line="480" w:lineRule="auto"/>
      </w:pPr>
    </w:p>
    <w:p w14:paraId="1B9C05E8" w14:textId="77777777" w:rsidR="00E07CE8" w:rsidRDefault="00E07CE8" w:rsidP="00E07CE8">
      <w:pPr>
        <w:spacing w:line="480" w:lineRule="auto"/>
      </w:pPr>
    </w:p>
    <w:p w14:paraId="4B9B56B1" w14:textId="77777777" w:rsidR="00E07CE8" w:rsidRDefault="00E07CE8" w:rsidP="00E07CE8">
      <w:pPr>
        <w:spacing w:line="480" w:lineRule="auto"/>
      </w:pPr>
    </w:p>
    <w:p w14:paraId="2159B419" w14:textId="77777777" w:rsidR="00E07CE8" w:rsidRDefault="00E07CE8" w:rsidP="00E07CE8">
      <w:pPr>
        <w:spacing w:line="480" w:lineRule="auto"/>
      </w:pPr>
    </w:p>
    <w:p w14:paraId="095ED6DC" w14:textId="77777777" w:rsidR="00E07CE8" w:rsidRDefault="00E07CE8" w:rsidP="00E07CE8">
      <w:pPr>
        <w:spacing w:line="480" w:lineRule="auto"/>
      </w:pPr>
    </w:p>
    <w:p w14:paraId="16657D1B" w14:textId="77777777" w:rsidR="00E07CE8" w:rsidRDefault="00E07CE8" w:rsidP="00E07CE8">
      <w:pPr>
        <w:rPr>
          <w:b/>
          <w:bCs/>
        </w:rPr>
      </w:pPr>
      <w:r>
        <w:rPr>
          <w:b/>
          <w:bCs/>
        </w:rPr>
        <w:br w:type="page"/>
      </w:r>
    </w:p>
    <w:p w14:paraId="4E7D3DB7" w14:textId="77777777" w:rsidR="00E07CE8" w:rsidRDefault="00E07CE8" w:rsidP="00E07CE8">
      <w:pPr>
        <w:spacing w:line="480" w:lineRule="auto"/>
      </w:pPr>
      <w:r>
        <w:rPr>
          <w:b/>
          <w:bCs/>
        </w:rPr>
        <w:lastRenderedPageBreak/>
        <w:t>Supplemental Figure 2</w:t>
      </w:r>
      <w:r w:rsidRPr="005A3DC0">
        <w:rPr>
          <w:b/>
          <w:bCs/>
        </w:rPr>
        <w:t>.</w:t>
      </w:r>
      <w:r w:rsidRPr="005A3DC0">
        <w:t xml:space="preserve"> </w:t>
      </w:r>
    </w:p>
    <w:p w14:paraId="35B56535" w14:textId="1980FFB4" w:rsidR="00E07CE8" w:rsidRPr="002F7129" w:rsidRDefault="00D304C7" w:rsidP="00E07CE8">
      <w:pPr>
        <w:spacing w:line="480" w:lineRule="auto"/>
      </w:pPr>
      <w:r>
        <w:rPr>
          <w:noProof/>
        </w:rPr>
        <w:drawing>
          <wp:inline distT="0" distB="0" distL="0" distR="0" wp14:anchorId="04DE61C7" wp14:editId="09615DED">
            <wp:extent cx="6271591" cy="6814325"/>
            <wp:effectExtent l="0" t="0" r="2540" b="5715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025" cy="683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82CD3" w14:textId="2C717B21" w:rsidR="00E07CE8" w:rsidRPr="00C946D2" w:rsidRDefault="00E07CE8" w:rsidP="00E07CE8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437C1523" w14:textId="77777777" w:rsidR="00D304C7" w:rsidRDefault="00D304C7" w:rsidP="00E07CE8">
      <w:pPr>
        <w:spacing w:line="480" w:lineRule="auto"/>
        <w:rPr>
          <w:b/>
          <w:bCs/>
        </w:rPr>
      </w:pPr>
    </w:p>
    <w:p w14:paraId="64ECFA57" w14:textId="77777777" w:rsidR="00D304C7" w:rsidRDefault="00D304C7" w:rsidP="00E07CE8">
      <w:pPr>
        <w:spacing w:line="480" w:lineRule="auto"/>
        <w:rPr>
          <w:b/>
          <w:bCs/>
        </w:rPr>
      </w:pPr>
    </w:p>
    <w:p w14:paraId="23388F30" w14:textId="0A43C519" w:rsidR="00E07CE8" w:rsidRDefault="00E07CE8" w:rsidP="00E07CE8">
      <w:pPr>
        <w:spacing w:line="480" w:lineRule="auto"/>
      </w:pPr>
      <w:r w:rsidRPr="00DE6D3D">
        <w:rPr>
          <w:b/>
          <w:bCs/>
        </w:rPr>
        <w:lastRenderedPageBreak/>
        <w:t>Supplemental Figure 1.</w:t>
      </w:r>
      <w:r>
        <w:t xml:space="preserve"> </w:t>
      </w:r>
      <w:r w:rsidRPr="002F7129">
        <w:rPr>
          <w:b/>
          <w:bCs/>
        </w:rPr>
        <w:t>Data collection algorithm</w:t>
      </w:r>
      <w:r w:rsidRPr="002F7129">
        <w:t xml:space="preserve">. </w:t>
      </w:r>
    </w:p>
    <w:p w14:paraId="4BD9E15B" w14:textId="77777777" w:rsidR="00E07CE8" w:rsidRPr="005A3DC0" w:rsidRDefault="00E07CE8" w:rsidP="00E07CE8">
      <w:pPr>
        <w:spacing w:line="480" w:lineRule="auto"/>
      </w:pPr>
      <w:r>
        <w:rPr>
          <w:b/>
          <w:bCs/>
        </w:rPr>
        <w:t xml:space="preserve">Supplemental Figure 2. </w:t>
      </w:r>
      <w:r w:rsidRPr="005A3DC0">
        <w:rPr>
          <w:b/>
          <w:bCs/>
        </w:rPr>
        <w:t>Antibiogram of cultured gram-negative organisms.</w:t>
      </w:r>
      <w:r w:rsidRPr="005A3DC0">
        <w:t xml:space="preserve"> Categorized into </w:t>
      </w:r>
      <w:r>
        <w:t>(</w:t>
      </w:r>
      <w:r w:rsidRPr="005A3DC0">
        <w:t>a) SSI gram</w:t>
      </w:r>
      <w:r>
        <w:t>-</w:t>
      </w:r>
      <w:r w:rsidRPr="005A3DC0">
        <w:t xml:space="preserve">negative cultures, </w:t>
      </w:r>
      <w:r>
        <w:t>(</w:t>
      </w:r>
      <w:r w:rsidRPr="005A3DC0">
        <w:t xml:space="preserve">b) candida cultures, and </w:t>
      </w:r>
      <w:r>
        <w:t>(</w:t>
      </w:r>
      <w:r w:rsidRPr="005A3DC0">
        <w:t xml:space="preserve">c) postoperative blood cultures. Culture data is grouped into year ranges 2012-2016 and 2017-2021 and further separated into SSI/postoperative drain culture (SSI and </w:t>
      </w:r>
      <w:r>
        <w:t>POD</w:t>
      </w:r>
      <w:r w:rsidRPr="005A3DC0">
        <w:t>) and intraoperative stent (IOS) culture. Percent resistance is depicted by color labeling red (</w:t>
      </w:r>
      <m:oMath>
        <m:r>
          <w:rPr>
            <w:rFonts w:ascii="Cambria Math" w:hAnsi="Cambria Math"/>
          </w:rPr>
          <m:t>≤</m:t>
        </m:r>
      </m:oMath>
      <w:r w:rsidRPr="005A3DC0">
        <w:t>60%), yellow (60-90%), red (</w:t>
      </w:r>
      <m:oMath>
        <m:r>
          <w:rPr>
            <w:rFonts w:ascii="Cambria Math" w:hAnsi="Cambria Math"/>
          </w:rPr>
          <m:t>≥</m:t>
        </m:r>
      </m:oMath>
      <w:r w:rsidRPr="005A3DC0">
        <w:rPr>
          <w:rFonts w:eastAsiaTheme="minorEastAsia"/>
        </w:rPr>
        <w:t xml:space="preserve">90%). Boxes with missing values remain uncolored. </w:t>
      </w:r>
      <w:r w:rsidRPr="005A3DC0">
        <w:t>Values are depicted as “susceptible/resistant/unknown.”</w:t>
      </w:r>
    </w:p>
    <w:p w14:paraId="042F30B1" w14:textId="77777777" w:rsidR="00882FA1" w:rsidRDefault="00882FA1"/>
    <w:sectPr w:rsidR="00882F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79E"/>
    <w:rsid w:val="00051AFA"/>
    <w:rsid w:val="00064CAF"/>
    <w:rsid w:val="0016579E"/>
    <w:rsid w:val="00335E3C"/>
    <w:rsid w:val="006D1EBE"/>
    <w:rsid w:val="0081591C"/>
    <w:rsid w:val="00857714"/>
    <w:rsid w:val="00882FA1"/>
    <w:rsid w:val="00AC0BE3"/>
    <w:rsid w:val="00B60DFB"/>
    <w:rsid w:val="00D304C7"/>
    <w:rsid w:val="00D426BF"/>
    <w:rsid w:val="00E07CE8"/>
    <w:rsid w:val="00F570DC"/>
    <w:rsid w:val="00F80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8ADB63"/>
  <w15:chartTrackingRefBased/>
  <w15:docId w15:val="{47F34267-0D50-A142-BBE2-4C6AAD5EB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CE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Feng, Wendy</dc:creator>
  <cp:keywords/>
  <dc:description/>
  <cp:lastModifiedBy>Feng, Wendy</cp:lastModifiedBy>
  <cp:revision>3</cp:revision>
  <dcterms:created xsi:type="dcterms:W3CDTF">2022-09-30T18:48:00Z</dcterms:created>
  <dcterms:modified xsi:type="dcterms:W3CDTF">2022-12-16T16:28:00Z</dcterms:modified>
</cp:coreProperties>
</file>