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8E0F6" w14:textId="77777777" w:rsidR="00801026" w:rsidRPr="00640354" w:rsidRDefault="00801026" w:rsidP="00A4184F">
      <w:pPr>
        <w:spacing w:line="480" w:lineRule="auto"/>
      </w:pPr>
      <w:bookmarkStart w:id="0" w:name="_GoBack"/>
      <w:bookmarkEnd w:id="0"/>
      <w:r w:rsidRPr="00640354">
        <w:rPr>
          <w:rFonts w:ascii="Arial" w:hAnsi="Arial" w:cs="Arial"/>
          <w:b/>
          <w:bCs/>
          <w:sz w:val="24"/>
          <w:szCs w:val="24"/>
        </w:rPr>
        <w:t>Supplementary</w:t>
      </w:r>
      <w:r w:rsidRPr="00640354">
        <w:t xml:space="preserve"> </w:t>
      </w:r>
      <w:r w:rsidRPr="00640354">
        <w:rPr>
          <w:rFonts w:ascii="Arial" w:hAnsi="Arial" w:cs="Arial"/>
          <w:b/>
          <w:bCs/>
          <w:sz w:val="24"/>
          <w:szCs w:val="24"/>
        </w:rPr>
        <w:t>Appendix</w:t>
      </w:r>
    </w:p>
    <w:p w14:paraId="737B1435" w14:textId="77777777" w:rsidR="00801026" w:rsidRPr="00640354" w:rsidRDefault="00801026" w:rsidP="00A4184F">
      <w:pPr>
        <w:spacing w:after="0" w:line="240" w:lineRule="auto"/>
        <w:rPr>
          <w:rStyle w:val="Lienhypertexte"/>
          <w:rFonts w:ascii="Arial" w:hAnsi="Arial" w:cs="Arial"/>
          <w:sz w:val="24"/>
          <w:szCs w:val="24"/>
          <w:shd w:val="clear" w:color="auto" w:fill="FFFFFF"/>
        </w:rPr>
      </w:pPr>
      <w:r w:rsidRPr="00640354">
        <w:rPr>
          <w:rFonts w:ascii="Arial" w:hAnsi="Arial" w:cs="Arial"/>
          <w:b/>
          <w:bCs/>
          <w:sz w:val="24"/>
          <w:szCs w:val="24"/>
        </w:rPr>
        <w:t>Supplementary</w:t>
      </w:r>
      <w:r w:rsidRPr="00640354">
        <w:t xml:space="preserve"> </w:t>
      </w:r>
      <w:r w:rsidRPr="00640354">
        <w:rPr>
          <w:rFonts w:ascii="Arial" w:hAnsi="Arial" w:cs="Arial"/>
          <w:b/>
          <w:bCs/>
          <w:sz w:val="24"/>
          <w:szCs w:val="24"/>
        </w:rPr>
        <w:t xml:space="preserve">Table 1. </w:t>
      </w:r>
      <w:r w:rsidRPr="00640354">
        <w:rPr>
          <w:rFonts w:ascii="Arial" w:hAnsi="Arial" w:cs="Arial"/>
          <w:sz w:val="24"/>
          <w:szCs w:val="24"/>
        </w:rPr>
        <w:t>ROBINS-I Quality Assessments</w:t>
      </w:r>
    </w:p>
    <w:tbl>
      <w:tblPr>
        <w:tblW w:w="0" w:type="auto"/>
        <w:tblCellMar>
          <w:top w:w="15" w:type="dxa"/>
          <w:left w:w="15" w:type="dxa"/>
          <w:bottom w:w="15" w:type="dxa"/>
          <w:right w:w="15" w:type="dxa"/>
        </w:tblCellMar>
        <w:tblLook w:val="04A0" w:firstRow="1" w:lastRow="0" w:firstColumn="1" w:lastColumn="0" w:noHBand="0" w:noVBand="1"/>
      </w:tblPr>
      <w:tblGrid>
        <w:gridCol w:w="1436"/>
        <w:gridCol w:w="1238"/>
        <w:gridCol w:w="1557"/>
        <w:gridCol w:w="36"/>
        <w:gridCol w:w="1774"/>
        <w:gridCol w:w="1691"/>
        <w:gridCol w:w="955"/>
        <w:gridCol w:w="1584"/>
        <w:gridCol w:w="1351"/>
        <w:gridCol w:w="36"/>
        <w:gridCol w:w="1292"/>
      </w:tblGrid>
      <w:tr w:rsidR="00C8266B" w:rsidRPr="00F6464E" w14:paraId="6B148CFB" w14:textId="77777777" w:rsidTr="009272DF">
        <w:tc>
          <w:tcPr>
            <w:tcW w:w="1435" w:type="dxa"/>
            <w:tcBorders>
              <w:top w:val="single" w:sz="4" w:space="0" w:color="000000"/>
              <w:left w:val="single" w:sz="4" w:space="0" w:color="000000"/>
              <w:bottom w:val="single" w:sz="4" w:space="0" w:color="000000"/>
              <w:right w:val="single" w:sz="4" w:space="0" w:color="FFFFFF"/>
            </w:tcBorders>
            <w:tcMar>
              <w:top w:w="0" w:type="dxa"/>
              <w:left w:w="108" w:type="dxa"/>
              <w:bottom w:w="0" w:type="dxa"/>
              <w:right w:w="108" w:type="dxa"/>
            </w:tcMar>
            <w:vAlign w:val="center"/>
            <w:hideMark/>
          </w:tcPr>
          <w:p w14:paraId="53C32319" w14:textId="77777777" w:rsidR="00801026" w:rsidRPr="00F6464E" w:rsidRDefault="00801026" w:rsidP="00A4184F">
            <w:pPr>
              <w:spacing w:after="0" w:line="240" w:lineRule="auto"/>
              <w:rPr>
                <w:rFonts w:ascii="Times New Roman" w:eastAsia="Times New Roman" w:hAnsi="Times New Roman" w:cs="Times New Roman"/>
                <w:sz w:val="24"/>
                <w:szCs w:val="24"/>
              </w:rPr>
            </w:pPr>
            <w:r w:rsidRPr="00F6464E">
              <w:rPr>
                <w:rFonts w:ascii="Arial" w:eastAsia="Times New Roman" w:hAnsi="Arial" w:cs="Arial"/>
                <w:color w:val="000000"/>
                <w:sz w:val="20"/>
                <w:szCs w:val="20"/>
              </w:rPr>
              <w:t>Author</w:t>
            </w:r>
          </w:p>
        </w:tc>
        <w:tc>
          <w:tcPr>
            <w:tcW w:w="1103" w:type="dxa"/>
            <w:tcBorders>
              <w:top w:val="single" w:sz="4" w:space="0" w:color="000000"/>
              <w:left w:val="single" w:sz="4" w:space="0" w:color="FFFFFF"/>
              <w:bottom w:val="single" w:sz="4" w:space="0" w:color="000000"/>
              <w:right w:val="single" w:sz="4" w:space="0" w:color="FFFFFF"/>
            </w:tcBorders>
            <w:tcMar>
              <w:top w:w="0" w:type="dxa"/>
              <w:left w:w="108" w:type="dxa"/>
              <w:bottom w:w="0" w:type="dxa"/>
              <w:right w:w="108" w:type="dxa"/>
            </w:tcMar>
            <w:vAlign w:val="center"/>
            <w:hideMark/>
          </w:tcPr>
          <w:p w14:paraId="00265B04" w14:textId="77777777" w:rsidR="00801026" w:rsidRPr="00F6464E" w:rsidRDefault="00801026" w:rsidP="00A4184F">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0"/>
                <w:szCs w:val="20"/>
              </w:rPr>
              <w:t>B</w:t>
            </w:r>
            <w:r>
              <w:rPr>
                <w:rFonts w:eastAsia="Times New Roman"/>
                <w:color w:val="000000"/>
                <w:sz w:val="20"/>
                <w:szCs w:val="20"/>
              </w:rPr>
              <w:t>aseline confounding</w:t>
            </w:r>
          </w:p>
        </w:tc>
        <w:tc>
          <w:tcPr>
            <w:tcW w:w="0" w:type="auto"/>
            <w:tcBorders>
              <w:top w:val="single" w:sz="4" w:space="0" w:color="000000"/>
              <w:left w:val="single" w:sz="4" w:space="0" w:color="FFFFFF"/>
              <w:bottom w:val="single" w:sz="4" w:space="0" w:color="000000"/>
              <w:right w:val="single" w:sz="4" w:space="0" w:color="FFFFFF"/>
            </w:tcBorders>
            <w:tcMar>
              <w:top w:w="0" w:type="dxa"/>
              <w:left w:w="108" w:type="dxa"/>
              <w:bottom w:w="0" w:type="dxa"/>
              <w:right w:w="108" w:type="dxa"/>
            </w:tcMar>
            <w:vAlign w:val="center"/>
            <w:hideMark/>
          </w:tcPr>
          <w:p w14:paraId="5A7E4F44" w14:textId="77777777" w:rsidR="00801026" w:rsidRPr="00F6464E" w:rsidRDefault="00801026" w:rsidP="00A4184F">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0"/>
                <w:szCs w:val="20"/>
              </w:rPr>
              <w:t>Selection of participants</w:t>
            </w:r>
          </w:p>
        </w:tc>
        <w:tc>
          <w:tcPr>
            <w:tcW w:w="0" w:type="auto"/>
            <w:tcBorders>
              <w:top w:val="single" w:sz="4" w:space="0" w:color="000000"/>
              <w:left w:val="single" w:sz="4" w:space="0" w:color="FFFFFF"/>
              <w:bottom w:val="single" w:sz="4" w:space="0" w:color="000000"/>
              <w:right w:val="single" w:sz="4" w:space="0" w:color="FFFFFF"/>
            </w:tcBorders>
          </w:tcPr>
          <w:p w14:paraId="3AB3C0FE" w14:textId="77777777" w:rsidR="00801026" w:rsidRDefault="00801026" w:rsidP="00A4184F">
            <w:pPr>
              <w:spacing w:after="0" w:line="240" w:lineRule="auto"/>
              <w:jc w:val="center"/>
              <w:rPr>
                <w:rFonts w:ascii="Arial" w:eastAsia="Times New Roman" w:hAnsi="Arial" w:cs="Arial"/>
                <w:color w:val="000000"/>
                <w:sz w:val="20"/>
                <w:szCs w:val="20"/>
              </w:rPr>
            </w:pPr>
          </w:p>
        </w:tc>
        <w:tc>
          <w:tcPr>
            <w:tcW w:w="0" w:type="auto"/>
            <w:tcBorders>
              <w:top w:val="single" w:sz="4" w:space="0" w:color="000000"/>
              <w:left w:val="single" w:sz="4" w:space="0" w:color="FFFFFF"/>
              <w:bottom w:val="single" w:sz="4" w:space="0" w:color="000000"/>
              <w:right w:val="single" w:sz="4" w:space="0" w:color="FFFFFF"/>
            </w:tcBorders>
            <w:tcMar>
              <w:top w:w="0" w:type="dxa"/>
              <w:left w:w="108" w:type="dxa"/>
              <w:bottom w:w="0" w:type="dxa"/>
              <w:right w:w="108" w:type="dxa"/>
            </w:tcMar>
            <w:vAlign w:val="center"/>
            <w:hideMark/>
          </w:tcPr>
          <w:p w14:paraId="1CFF979C" w14:textId="77777777" w:rsidR="00801026" w:rsidRPr="00F6464E" w:rsidRDefault="00801026" w:rsidP="00A4184F">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0"/>
                <w:szCs w:val="20"/>
              </w:rPr>
              <w:t>Classification of intervention</w:t>
            </w:r>
          </w:p>
        </w:tc>
        <w:tc>
          <w:tcPr>
            <w:tcW w:w="0" w:type="auto"/>
            <w:tcBorders>
              <w:top w:val="single" w:sz="4" w:space="0" w:color="000000"/>
              <w:left w:val="single" w:sz="4" w:space="0" w:color="FFFFFF"/>
              <w:bottom w:val="single" w:sz="4" w:space="0" w:color="000000"/>
              <w:right w:val="single" w:sz="4" w:space="0" w:color="FFFFFF"/>
            </w:tcBorders>
          </w:tcPr>
          <w:p w14:paraId="1467EC27" w14:textId="77777777" w:rsidR="00801026" w:rsidRPr="00F6464E" w:rsidRDefault="00801026" w:rsidP="00A4184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Deviation from intended intervention</w:t>
            </w:r>
          </w:p>
        </w:tc>
        <w:tc>
          <w:tcPr>
            <w:tcW w:w="0" w:type="auto"/>
            <w:tcBorders>
              <w:top w:val="single" w:sz="4" w:space="0" w:color="000000"/>
              <w:left w:val="single" w:sz="4" w:space="0" w:color="FFFFFF"/>
              <w:bottom w:val="single" w:sz="4" w:space="0" w:color="000000"/>
              <w:right w:val="single" w:sz="4" w:space="0" w:color="FFFFFF"/>
            </w:tcBorders>
          </w:tcPr>
          <w:p w14:paraId="71DB5BA6" w14:textId="77777777" w:rsidR="00801026" w:rsidRPr="00F6464E" w:rsidRDefault="00801026" w:rsidP="00A4184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Missing data</w:t>
            </w:r>
          </w:p>
        </w:tc>
        <w:tc>
          <w:tcPr>
            <w:tcW w:w="0" w:type="auto"/>
            <w:tcBorders>
              <w:top w:val="single" w:sz="4" w:space="0" w:color="000000"/>
              <w:left w:val="single" w:sz="4" w:space="0" w:color="FFFFFF"/>
              <w:bottom w:val="single" w:sz="4" w:space="0" w:color="000000"/>
              <w:right w:val="single" w:sz="4" w:space="0" w:color="FFFFFF"/>
            </w:tcBorders>
          </w:tcPr>
          <w:p w14:paraId="0757D416" w14:textId="77777777" w:rsidR="00801026" w:rsidRPr="00F6464E" w:rsidRDefault="00801026" w:rsidP="00A4184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Measurement of outcomes</w:t>
            </w:r>
          </w:p>
        </w:tc>
        <w:tc>
          <w:tcPr>
            <w:tcW w:w="0" w:type="auto"/>
            <w:tcBorders>
              <w:top w:val="single" w:sz="4" w:space="0" w:color="000000"/>
              <w:left w:val="single" w:sz="4" w:space="0" w:color="FFFFFF"/>
              <w:bottom w:val="single" w:sz="4" w:space="0" w:color="000000"/>
              <w:right w:val="single" w:sz="4" w:space="0" w:color="FFFFFF"/>
            </w:tcBorders>
          </w:tcPr>
          <w:p w14:paraId="4F700F4E" w14:textId="77777777" w:rsidR="00801026" w:rsidRPr="00F6464E" w:rsidRDefault="00801026" w:rsidP="00A4184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Selection of reported results</w:t>
            </w:r>
          </w:p>
        </w:tc>
        <w:tc>
          <w:tcPr>
            <w:tcW w:w="0" w:type="auto"/>
            <w:tcBorders>
              <w:top w:val="single" w:sz="4" w:space="0" w:color="000000"/>
              <w:left w:val="single" w:sz="4" w:space="0" w:color="FFFFFF"/>
              <w:bottom w:val="single" w:sz="4" w:space="0" w:color="000000"/>
              <w:right w:val="single" w:sz="4" w:space="0" w:color="FFFFFF"/>
            </w:tcBorders>
          </w:tcPr>
          <w:p w14:paraId="19080FD6" w14:textId="77777777" w:rsidR="00801026" w:rsidRPr="00F6464E" w:rsidRDefault="00801026" w:rsidP="00A4184F">
            <w:pPr>
              <w:spacing w:after="0" w:line="240" w:lineRule="auto"/>
              <w:jc w:val="center"/>
              <w:rPr>
                <w:rFonts w:ascii="Arial" w:eastAsia="Times New Roman" w:hAnsi="Arial" w:cs="Arial"/>
                <w:color w:val="000000"/>
                <w:sz w:val="20"/>
                <w:szCs w:val="20"/>
              </w:rPr>
            </w:pPr>
          </w:p>
        </w:tc>
        <w:tc>
          <w:tcPr>
            <w:tcW w:w="0" w:type="auto"/>
            <w:tcBorders>
              <w:top w:val="single" w:sz="4" w:space="0" w:color="000000"/>
              <w:left w:val="single" w:sz="4" w:space="0" w:color="FFFFFF"/>
              <w:bottom w:val="single" w:sz="4" w:space="0" w:color="000000"/>
              <w:right w:val="single" w:sz="4" w:space="0" w:color="000000"/>
            </w:tcBorders>
            <w:tcMar>
              <w:top w:w="0" w:type="dxa"/>
              <w:left w:w="108" w:type="dxa"/>
              <w:bottom w:w="0" w:type="dxa"/>
              <w:right w:w="108" w:type="dxa"/>
            </w:tcMar>
            <w:vAlign w:val="center"/>
            <w:hideMark/>
          </w:tcPr>
          <w:p w14:paraId="655438D1" w14:textId="77777777" w:rsidR="00801026" w:rsidRPr="00F6464E" w:rsidRDefault="00801026" w:rsidP="00A4184F">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0"/>
                <w:szCs w:val="20"/>
              </w:rPr>
              <w:t>Overall risk of bias</w:t>
            </w:r>
          </w:p>
        </w:tc>
      </w:tr>
      <w:tr w:rsidR="009272DF" w:rsidRPr="00F6464E" w14:paraId="2053B52A" w14:textId="77777777" w:rsidTr="009272DF">
        <w:trPr>
          <w:trHeight w:val="20"/>
        </w:trPr>
        <w:tc>
          <w:tcPr>
            <w:tcW w:w="1435" w:type="dxa"/>
            <w:tcBorders>
              <w:top w:val="single" w:sz="4" w:space="0" w:color="000000"/>
              <w:left w:val="single" w:sz="4" w:space="0" w:color="000000"/>
              <w:bottom w:val="single" w:sz="4" w:space="0" w:color="000000"/>
              <w:right w:val="single" w:sz="4" w:space="0" w:color="E7E6E6"/>
            </w:tcBorders>
            <w:shd w:val="clear" w:color="auto" w:fill="E7E6E6"/>
            <w:tcMar>
              <w:top w:w="0" w:type="dxa"/>
              <w:left w:w="108" w:type="dxa"/>
              <w:bottom w:w="0" w:type="dxa"/>
              <w:right w:w="108" w:type="dxa"/>
            </w:tcMar>
            <w:hideMark/>
          </w:tcPr>
          <w:p w14:paraId="5497F5E8" w14:textId="2E93530B" w:rsidR="00801026" w:rsidRPr="00C8266B" w:rsidRDefault="00EB1F81" w:rsidP="00C8266B">
            <w:pPr>
              <w:spacing w:after="0" w:line="240" w:lineRule="auto"/>
              <w:rPr>
                <w:rFonts w:ascii="Arial" w:eastAsia="Times New Roman" w:hAnsi="Arial" w:cs="Arial"/>
                <w:sz w:val="20"/>
                <w:szCs w:val="20"/>
              </w:rPr>
            </w:pPr>
            <w:r w:rsidRPr="00C8266B">
              <w:rPr>
                <w:rFonts w:ascii="Arial" w:eastAsia="Times New Roman" w:hAnsi="Arial" w:cs="Arial"/>
                <w:color w:val="000000"/>
                <w:sz w:val="20"/>
                <w:szCs w:val="20"/>
              </w:rPr>
              <w:t>Rogers</w:t>
            </w:r>
            <w:r w:rsidR="00C8266B" w:rsidRPr="00C8266B">
              <w:rPr>
                <w:rFonts w:ascii="Arial" w:eastAsia="Times New Roman" w:hAnsi="Arial" w:cs="Arial"/>
                <w:color w:val="000000"/>
                <w:sz w:val="20"/>
                <w:szCs w:val="20"/>
              </w:rPr>
              <w:t xml:space="preserve"> </w:t>
            </w:r>
          </w:p>
          <w:p w14:paraId="0E7157F9" w14:textId="1439EA4B" w:rsidR="00C8266B" w:rsidRPr="00C8266B" w:rsidRDefault="00C8266B" w:rsidP="00C8266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(2015)</w:t>
            </w:r>
            <w:r w:rsidRPr="00F6464E">
              <w:rPr>
                <w:rFonts w:ascii="Arial" w:eastAsia="Times New Roman" w:hAnsi="Arial" w:cs="Arial"/>
                <w:color w:val="000000"/>
                <w:sz w:val="20"/>
                <w:szCs w:val="20"/>
              </w:rPr>
              <w:t xml:space="preserve"> </w:t>
            </w:r>
          </w:p>
        </w:tc>
        <w:tc>
          <w:tcPr>
            <w:tcW w:w="1103" w:type="dxa"/>
            <w:tcBorders>
              <w:top w:val="single" w:sz="4" w:space="0" w:color="000000"/>
              <w:left w:val="single" w:sz="4" w:space="0" w:color="E7E6E6"/>
              <w:bottom w:val="single" w:sz="4" w:space="0" w:color="000000"/>
              <w:right w:val="single" w:sz="4" w:space="0" w:color="E7E6E6"/>
            </w:tcBorders>
            <w:shd w:val="clear" w:color="auto" w:fill="E7E6E6"/>
            <w:tcMar>
              <w:top w:w="0" w:type="dxa"/>
              <w:left w:w="108" w:type="dxa"/>
              <w:bottom w:w="0" w:type="dxa"/>
              <w:right w:w="108" w:type="dxa"/>
            </w:tcMar>
            <w:vAlign w:val="center"/>
            <w:hideMark/>
          </w:tcPr>
          <w:p w14:paraId="2D489664" w14:textId="524E286F" w:rsidR="00801026" w:rsidRPr="00EB1F81" w:rsidRDefault="00EB1F81" w:rsidP="00EB1F81">
            <w:pPr>
              <w:spacing w:after="0" w:line="240" w:lineRule="auto"/>
              <w:jc w:val="center"/>
              <w:rPr>
                <w:rFonts w:ascii="Times New Roman" w:eastAsia="Times New Roman" w:hAnsi="Times New Roman" w:cs="Times New Roman"/>
                <w:sz w:val="24"/>
                <w:szCs w:val="24"/>
              </w:rPr>
            </w:pPr>
            <w:r w:rsidRPr="00EB1F81">
              <w:rPr>
                <w:rFonts w:ascii="Arial" w:eastAsia="Times New Roman" w:hAnsi="Arial" w:cs="Arial"/>
                <w:color w:val="000000"/>
                <w:sz w:val="20"/>
                <w:szCs w:val="20"/>
              </w:rPr>
              <w:t>Low</w:t>
            </w:r>
          </w:p>
        </w:tc>
        <w:tc>
          <w:tcPr>
            <w:tcW w:w="0" w:type="auto"/>
            <w:tcBorders>
              <w:top w:val="single" w:sz="4" w:space="0" w:color="000000"/>
              <w:left w:val="single" w:sz="4" w:space="0" w:color="E7E6E6"/>
              <w:bottom w:val="single" w:sz="4" w:space="0" w:color="000000"/>
              <w:right w:val="single" w:sz="4" w:space="0" w:color="E7E6E6"/>
            </w:tcBorders>
            <w:shd w:val="clear" w:color="auto" w:fill="E7E6E6"/>
            <w:tcMar>
              <w:top w:w="0" w:type="dxa"/>
              <w:left w:w="108" w:type="dxa"/>
              <w:bottom w:w="0" w:type="dxa"/>
              <w:right w:w="108" w:type="dxa"/>
            </w:tcMar>
            <w:vAlign w:val="center"/>
            <w:hideMark/>
          </w:tcPr>
          <w:p w14:paraId="54BE573D" w14:textId="05C7472F" w:rsidR="00801026" w:rsidRPr="00EB1F81" w:rsidRDefault="00EB1F81" w:rsidP="00EB1F81">
            <w:pPr>
              <w:spacing w:after="0" w:line="240" w:lineRule="auto"/>
              <w:jc w:val="center"/>
              <w:rPr>
                <w:rFonts w:ascii="Times New Roman" w:eastAsia="Times New Roman" w:hAnsi="Times New Roman" w:cs="Times New Roman"/>
                <w:sz w:val="24"/>
                <w:szCs w:val="24"/>
              </w:rPr>
            </w:pPr>
            <w:r w:rsidRPr="00EB1F81">
              <w:rPr>
                <w:rFonts w:ascii="Arial" w:eastAsia="Times New Roman" w:hAnsi="Arial" w:cs="Arial"/>
                <w:color w:val="000000"/>
                <w:sz w:val="20"/>
                <w:szCs w:val="20"/>
              </w:rPr>
              <w:t>Moderate</w:t>
            </w:r>
          </w:p>
        </w:tc>
        <w:tc>
          <w:tcPr>
            <w:tcW w:w="0" w:type="auto"/>
            <w:tcBorders>
              <w:top w:val="single" w:sz="4" w:space="0" w:color="000000"/>
              <w:left w:val="single" w:sz="4" w:space="0" w:color="E7E6E6"/>
              <w:bottom w:val="single" w:sz="4" w:space="0" w:color="000000"/>
              <w:right w:val="single" w:sz="4" w:space="0" w:color="E7E6E6"/>
            </w:tcBorders>
            <w:shd w:val="clear" w:color="auto" w:fill="E7E6E6"/>
            <w:vAlign w:val="center"/>
          </w:tcPr>
          <w:p w14:paraId="2525A1FE" w14:textId="77777777" w:rsidR="00801026" w:rsidRPr="00EB1F81" w:rsidRDefault="00801026" w:rsidP="00EB1F81">
            <w:pPr>
              <w:spacing w:after="0" w:line="240" w:lineRule="auto"/>
              <w:jc w:val="center"/>
              <w:rPr>
                <w:rFonts w:ascii="Arial" w:eastAsia="Times New Roman" w:hAnsi="Arial" w:cs="Arial"/>
                <w:color w:val="000000"/>
                <w:sz w:val="20"/>
                <w:szCs w:val="20"/>
              </w:rPr>
            </w:pPr>
          </w:p>
        </w:tc>
        <w:tc>
          <w:tcPr>
            <w:tcW w:w="0" w:type="auto"/>
            <w:tcBorders>
              <w:top w:val="single" w:sz="4" w:space="0" w:color="000000"/>
              <w:left w:val="single" w:sz="4" w:space="0" w:color="E7E6E6"/>
              <w:bottom w:val="single" w:sz="4" w:space="0" w:color="000000"/>
              <w:right w:val="single" w:sz="4" w:space="0" w:color="E7E6E6"/>
            </w:tcBorders>
            <w:shd w:val="clear" w:color="auto" w:fill="E7E6E6"/>
            <w:tcMar>
              <w:top w:w="0" w:type="dxa"/>
              <w:left w:w="108" w:type="dxa"/>
              <w:bottom w:w="0" w:type="dxa"/>
              <w:right w:w="108" w:type="dxa"/>
            </w:tcMar>
            <w:vAlign w:val="center"/>
            <w:hideMark/>
          </w:tcPr>
          <w:p w14:paraId="2FC45727" w14:textId="334A76F2" w:rsidR="00801026" w:rsidRPr="00EB1F81" w:rsidRDefault="00EB1F81" w:rsidP="00EB1F81">
            <w:pPr>
              <w:spacing w:after="0" w:line="240" w:lineRule="auto"/>
              <w:jc w:val="center"/>
              <w:rPr>
                <w:rFonts w:ascii="Times New Roman" w:eastAsia="Times New Roman" w:hAnsi="Times New Roman" w:cs="Times New Roman"/>
                <w:sz w:val="24"/>
                <w:szCs w:val="24"/>
              </w:rPr>
            </w:pPr>
            <w:r w:rsidRPr="00EB1F81">
              <w:rPr>
                <w:rFonts w:ascii="Arial" w:eastAsia="Times New Roman" w:hAnsi="Arial" w:cs="Arial"/>
                <w:color w:val="000000"/>
                <w:sz w:val="20"/>
                <w:szCs w:val="20"/>
              </w:rPr>
              <w:t>Moderate</w:t>
            </w:r>
          </w:p>
        </w:tc>
        <w:tc>
          <w:tcPr>
            <w:tcW w:w="0" w:type="auto"/>
            <w:tcBorders>
              <w:top w:val="single" w:sz="4" w:space="0" w:color="000000"/>
              <w:left w:val="single" w:sz="4" w:space="0" w:color="E7E6E6"/>
              <w:bottom w:val="single" w:sz="4" w:space="0" w:color="000000"/>
              <w:right w:val="single" w:sz="4" w:space="0" w:color="E7E6E6"/>
            </w:tcBorders>
            <w:shd w:val="clear" w:color="auto" w:fill="E7E6E6"/>
            <w:vAlign w:val="center"/>
          </w:tcPr>
          <w:p w14:paraId="1A5050C2" w14:textId="3EC10331" w:rsidR="00801026"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Low</w:t>
            </w:r>
          </w:p>
        </w:tc>
        <w:tc>
          <w:tcPr>
            <w:tcW w:w="0" w:type="auto"/>
            <w:tcBorders>
              <w:top w:val="single" w:sz="4" w:space="0" w:color="000000"/>
              <w:left w:val="single" w:sz="4" w:space="0" w:color="E7E6E6"/>
              <w:bottom w:val="single" w:sz="4" w:space="0" w:color="000000"/>
              <w:right w:val="single" w:sz="4" w:space="0" w:color="E7E6E6"/>
            </w:tcBorders>
            <w:shd w:val="clear" w:color="auto" w:fill="E7E6E6"/>
            <w:vAlign w:val="center"/>
          </w:tcPr>
          <w:p w14:paraId="1636D0EF" w14:textId="11C76EB6" w:rsidR="00801026"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Moderate</w:t>
            </w:r>
          </w:p>
        </w:tc>
        <w:tc>
          <w:tcPr>
            <w:tcW w:w="0" w:type="auto"/>
            <w:tcBorders>
              <w:top w:val="single" w:sz="4" w:space="0" w:color="000000"/>
              <w:left w:val="single" w:sz="4" w:space="0" w:color="E7E6E6"/>
              <w:bottom w:val="single" w:sz="4" w:space="0" w:color="000000"/>
              <w:right w:val="single" w:sz="4" w:space="0" w:color="E7E6E6"/>
            </w:tcBorders>
            <w:shd w:val="clear" w:color="auto" w:fill="E7E6E6"/>
            <w:vAlign w:val="center"/>
          </w:tcPr>
          <w:p w14:paraId="4FFA2BFA" w14:textId="088F9555" w:rsidR="00801026"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Low</w:t>
            </w:r>
          </w:p>
        </w:tc>
        <w:tc>
          <w:tcPr>
            <w:tcW w:w="0" w:type="auto"/>
            <w:tcBorders>
              <w:top w:val="single" w:sz="4" w:space="0" w:color="000000"/>
              <w:left w:val="single" w:sz="4" w:space="0" w:color="E7E6E6"/>
              <w:bottom w:val="single" w:sz="4" w:space="0" w:color="000000"/>
              <w:right w:val="single" w:sz="4" w:space="0" w:color="E7E6E6"/>
            </w:tcBorders>
            <w:shd w:val="clear" w:color="auto" w:fill="E7E6E6"/>
            <w:vAlign w:val="center"/>
          </w:tcPr>
          <w:p w14:paraId="4B75F6C7" w14:textId="4B3848CE" w:rsidR="00801026"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Moderate</w:t>
            </w:r>
          </w:p>
        </w:tc>
        <w:tc>
          <w:tcPr>
            <w:tcW w:w="0" w:type="auto"/>
            <w:tcBorders>
              <w:top w:val="single" w:sz="4" w:space="0" w:color="000000"/>
              <w:left w:val="single" w:sz="4" w:space="0" w:color="E7E6E6"/>
              <w:bottom w:val="single" w:sz="4" w:space="0" w:color="000000"/>
              <w:right w:val="single" w:sz="4" w:space="0" w:color="E7E6E6"/>
            </w:tcBorders>
            <w:shd w:val="clear" w:color="auto" w:fill="E7E6E6"/>
            <w:vAlign w:val="center"/>
          </w:tcPr>
          <w:p w14:paraId="07890BC9" w14:textId="77777777" w:rsidR="00801026" w:rsidRPr="00EB1F81" w:rsidRDefault="00801026" w:rsidP="00EB1F81">
            <w:pPr>
              <w:spacing w:after="0" w:line="240" w:lineRule="auto"/>
              <w:jc w:val="center"/>
              <w:rPr>
                <w:rFonts w:ascii="Arial" w:eastAsia="Times New Roman" w:hAnsi="Arial" w:cs="Arial"/>
                <w:color w:val="000000"/>
                <w:sz w:val="20"/>
                <w:szCs w:val="20"/>
              </w:rPr>
            </w:pPr>
          </w:p>
        </w:tc>
        <w:tc>
          <w:tcPr>
            <w:tcW w:w="0" w:type="auto"/>
            <w:tcBorders>
              <w:top w:val="single" w:sz="4" w:space="0" w:color="000000"/>
              <w:left w:val="single" w:sz="4" w:space="0" w:color="E7E6E6"/>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2F95C92E" w14:textId="452BDD8E" w:rsidR="00801026" w:rsidRPr="00EB1F81" w:rsidRDefault="00EB1F81" w:rsidP="00EB1F81">
            <w:pPr>
              <w:spacing w:after="0" w:line="240" w:lineRule="auto"/>
              <w:jc w:val="center"/>
              <w:rPr>
                <w:rFonts w:ascii="Times New Roman" w:eastAsia="Times New Roman" w:hAnsi="Times New Roman" w:cs="Times New Roman"/>
                <w:sz w:val="24"/>
                <w:szCs w:val="24"/>
              </w:rPr>
            </w:pPr>
            <w:r w:rsidRPr="00EB1F81">
              <w:rPr>
                <w:rFonts w:ascii="Arial" w:eastAsia="Times New Roman" w:hAnsi="Arial" w:cs="Arial"/>
                <w:color w:val="000000"/>
                <w:sz w:val="20"/>
                <w:szCs w:val="20"/>
              </w:rPr>
              <w:t>Moderate</w:t>
            </w:r>
          </w:p>
        </w:tc>
      </w:tr>
      <w:tr w:rsidR="00C8266B" w:rsidRPr="00F6464E" w14:paraId="34F92DEC" w14:textId="77777777" w:rsidTr="009272DF">
        <w:tc>
          <w:tcPr>
            <w:tcW w:w="1435" w:type="dxa"/>
            <w:tcBorders>
              <w:top w:val="single" w:sz="4" w:space="0" w:color="000000"/>
              <w:left w:val="single" w:sz="4" w:space="0" w:color="000000"/>
              <w:bottom w:val="single" w:sz="4" w:space="0" w:color="000000"/>
              <w:right w:val="single" w:sz="4" w:space="0" w:color="FFFFFF"/>
            </w:tcBorders>
            <w:tcMar>
              <w:top w:w="0" w:type="dxa"/>
              <w:left w:w="108" w:type="dxa"/>
              <w:bottom w:w="0" w:type="dxa"/>
              <w:right w:w="108" w:type="dxa"/>
            </w:tcMar>
            <w:hideMark/>
          </w:tcPr>
          <w:p w14:paraId="37422361" w14:textId="64E5A4F6" w:rsidR="00801026" w:rsidRDefault="00EB1F81" w:rsidP="00C8266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Rappo</w:t>
            </w:r>
            <w:r w:rsidR="00C8266B">
              <w:rPr>
                <w:rFonts w:ascii="Arial" w:eastAsia="Times New Roman" w:hAnsi="Arial" w:cs="Arial"/>
                <w:color w:val="000000"/>
                <w:sz w:val="20"/>
                <w:szCs w:val="20"/>
              </w:rPr>
              <w:t xml:space="preserve"> </w:t>
            </w:r>
          </w:p>
          <w:p w14:paraId="4659E2BA" w14:textId="4A1973F4" w:rsidR="00C8266B" w:rsidRPr="00C8266B" w:rsidRDefault="00C8266B" w:rsidP="00C8266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(2016)</w:t>
            </w:r>
          </w:p>
        </w:tc>
        <w:tc>
          <w:tcPr>
            <w:tcW w:w="1103" w:type="dxa"/>
            <w:tcBorders>
              <w:top w:val="single" w:sz="4" w:space="0" w:color="000000"/>
              <w:left w:val="single" w:sz="4" w:space="0" w:color="FFFFFF"/>
              <w:bottom w:val="single" w:sz="4" w:space="0" w:color="000000"/>
              <w:right w:val="single" w:sz="4" w:space="0" w:color="FFFFFF"/>
            </w:tcBorders>
            <w:tcMar>
              <w:top w:w="0" w:type="dxa"/>
              <w:left w:w="108" w:type="dxa"/>
              <w:bottom w:w="0" w:type="dxa"/>
              <w:right w:w="108" w:type="dxa"/>
            </w:tcMar>
            <w:vAlign w:val="center"/>
            <w:hideMark/>
          </w:tcPr>
          <w:p w14:paraId="015BC494" w14:textId="0B6DF9A6" w:rsidR="00801026" w:rsidRPr="00EB1F81" w:rsidRDefault="00EB1F81" w:rsidP="00EB1F81">
            <w:pPr>
              <w:spacing w:after="0" w:line="240" w:lineRule="auto"/>
              <w:jc w:val="center"/>
              <w:rPr>
                <w:rFonts w:ascii="Times New Roman" w:eastAsia="Times New Roman" w:hAnsi="Times New Roman" w:cs="Times New Roman"/>
                <w:sz w:val="24"/>
                <w:szCs w:val="24"/>
              </w:rPr>
            </w:pPr>
            <w:r w:rsidRPr="00EB1F81">
              <w:rPr>
                <w:rFonts w:ascii="Arial" w:eastAsia="Times New Roman" w:hAnsi="Arial" w:cs="Arial"/>
                <w:color w:val="000000"/>
                <w:sz w:val="20"/>
                <w:szCs w:val="20"/>
              </w:rPr>
              <w:t>Moderate</w:t>
            </w:r>
          </w:p>
        </w:tc>
        <w:tc>
          <w:tcPr>
            <w:tcW w:w="0" w:type="auto"/>
            <w:tcBorders>
              <w:top w:val="single" w:sz="4" w:space="0" w:color="000000"/>
              <w:left w:val="single" w:sz="4" w:space="0" w:color="FFFFFF"/>
              <w:bottom w:val="single" w:sz="4" w:space="0" w:color="000000"/>
              <w:right w:val="single" w:sz="4" w:space="0" w:color="FFFFFF"/>
            </w:tcBorders>
            <w:tcMar>
              <w:top w:w="0" w:type="dxa"/>
              <w:left w:w="108" w:type="dxa"/>
              <w:bottom w:w="0" w:type="dxa"/>
              <w:right w:w="108" w:type="dxa"/>
            </w:tcMar>
            <w:vAlign w:val="center"/>
            <w:hideMark/>
          </w:tcPr>
          <w:p w14:paraId="38910E6C" w14:textId="51503D1A" w:rsidR="00801026" w:rsidRPr="00EB1F81" w:rsidRDefault="00EB1F81" w:rsidP="00EB1F81">
            <w:pPr>
              <w:spacing w:after="0" w:line="240" w:lineRule="auto"/>
              <w:jc w:val="center"/>
              <w:rPr>
                <w:rFonts w:ascii="Times New Roman" w:eastAsia="Times New Roman" w:hAnsi="Times New Roman" w:cs="Times New Roman"/>
                <w:sz w:val="24"/>
                <w:szCs w:val="24"/>
              </w:rPr>
            </w:pPr>
            <w:r w:rsidRPr="00EB1F81">
              <w:rPr>
                <w:rFonts w:ascii="Times New Roman" w:eastAsia="Times New Roman" w:hAnsi="Times New Roman" w:cs="Times New Roman"/>
                <w:sz w:val="24"/>
                <w:szCs w:val="24"/>
              </w:rPr>
              <w:t>High</w:t>
            </w:r>
          </w:p>
        </w:tc>
        <w:tc>
          <w:tcPr>
            <w:tcW w:w="0" w:type="auto"/>
            <w:tcBorders>
              <w:top w:val="single" w:sz="4" w:space="0" w:color="000000"/>
              <w:left w:val="single" w:sz="4" w:space="0" w:color="FFFFFF"/>
              <w:bottom w:val="single" w:sz="4" w:space="0" w:color="000000"/>
              <w:right w:val="single" w:sz="4" w:space="0" w:color="FFFFFF"/>
            </w:tcBorders>
            <w:vAlign w:val="center"/>
          </w:tcPr>
          <w:p w14:paraId="2FE328F7" w14:textId="77777777" w:rsidR="00801026" w:rsidRPr="00EB1F81" w:rsidRDefault="00801026" w:rsidP="00EB1F81">
            <w:pPr>
              <w:spacing w:after="0" w:line="240" w:lineRule="auto"/>
              <w:jc w:val="center"/>
              <w:rPr>
                <w:rFonts w:ascii="Arial" w:eastAsia="Times New Roman" w:hAnsi="Arial" w:cs="Arial"/>
                <w:color w:val="000000"/>
                <w:sz w:val="20"/>
                <w:szCs w:val="20"/>
              </w:rPr>
            </w:pPr>
          </w:p>
        </w:tc>
        <w:tc>
          <w:tcPr>
            <w:tcW w:w="0" w:type="auto"/>
            <w:tcBorders>
              <w:top w:val="single" w:sz="4" w:space="0" w:color="000000"/>
              <w:left w:val="single" w:sz="4" w:space="0" w:color="FFFFFF"/>
              <w:bottom w:val="single" w:sz="4" w:space="0" w:color="000000"/>
              <w:right w:val="single" w:sz="4" w:space="0" w:color="FFFFFF"/>
            </w:tcBorders>
            <w:tcMar>
              <w:top w:w="0" w:type="dxa"/>
              <w:left w:w="108" w:type="dxa"/>
              <w:bottom w:w="0" w:type="dxa"/>
              <w:right w:w="108" w:type="dxa"/>
            </w:tcMar>
            <w:vAlign w:val="center"/>
            <w:hideMark/>
          </w:tcPr>
          <w:p w14:paraId="38A767F8" w14:textId="4814A26B" w:rsidR="00801026" w:rsidRPr="00EB1F81" w:rsidRDefault="00EB1F81" w:rsidP="00EB1F81">
            <w:pPr>
              <w:spacing w:after="0" w:line="240" w:lineRule="auto"/>
              <w:jc w:val="center"/>
              <w:rPr>
                <w:rFonts w:ascii="Times New Roman" w:eastAsia="Times New Roman" w:hAnsi="Times New Roman" w:cs="Times New Roman"/>
                <w:sz w:val="24"/>
                <w:szCs w:val="24"/>
              </w:rPr>
            </w:pPr>
            <w:r w:rsidRPr="00EB1F81">
              <w:rPr>
                <w:rFonts w:ascii="Arial" w:eastAsia="Times New Roman" w:hAnsi="Arial" w:cs="Arial"/>
                <w:color w:val="000000"/>
                <w:sz w:val="20"/>
                <w:szCs w:val="20"/>
              </w:rPr>
              <w:t>Low</w:t>
            </w:r>
          </w:p>
        </w:tc>
        <w:tc>
          <w:tcPr>
            <w:tcW w:w="0" w:type="auto"/>
            <w:tcBorders>
              <w:top w:val="single" w:sz="4" w:space="0" w:color="000000"/>
              <w:left w:val="single" w:sz="4" w:space="0" w:color="FFFFFF"/>
              <w:bottom w:val="single" w:sz="4" w:space="0" w:color="000000"/>
              <w:right w:val="single" w:sz="4" w:space="0" w:color="FFFFFF"/>
            </w:tcBorders>
            <w:vAlign w:val="center"/>
          </w:tcPr>
          <w:p w14:paraId="094C5F93" w14:textId="4B695446" w:rsidR="00801026"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Low</w:t>
            </w:r>
          </w:p>
        </w:tc>
        <w:tc>
          <w:tcPr>
            <w:tcW w:w="0" w:type="auto"/>
            <w:tcBorders>
              <w:top w:val="single" w:sz="4" w:space="0" w:color="000000"/>
              <w:left w:val="single" w:sz="4" w:space="0" w:color="FFFFFF"/>
              <w:bottom w:val="single" w:sz="4" w:space="0" w:color="000000"/>
              <w:right w:val="single" w:sz="4" w:space="0" w:color="FFFFFF"/>
            </w:tcBorders>
            <w:vAlign w:val="center"/>
          </w:tcPr>
          <w:p w14:paraId="51FB5302" w14:textId="6ACD36DE" w:rsidR="00801026"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Moderate</w:t>
            </w:r>
          </w:p>
        </w:tc>
        <w:tc>
          <w:tcPr>
            <w:tcW w:w="0" w:type="auto"/>
            <w:tcBorders>
              <w:top w:val="single" w:sz="4" w:space="0" w:color="000000"/>
              <w:left w:val="single" w:sz="4" w:space="0" w:color="FFFFFF"/>
              <w:bottom w:val="single" w:sz="4" w:space="0" w:color="000000"/>
              <w:right w:val="single" w:sz="4" w:space="0" w:color="FFFFFF"/>
            </w:tcBorders>
            <w:vAlign w:val="center"/>
          </w:tcPr>
          <w:p w14:paraId="31AC4DF1" w14:textId="3DFDC70C" w:rsidR="00801026"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Moderate</w:t>
            </w:r>
          </w:p>
        </w:tc>
        <w:tc>
          <w:tcPr>
            <w:tcW w:w="0" w:type="auto"/>
            <w:tcBorders>
              <w:top w:val="single" w:sz="4" w:space="0" w:color="000000"/>
              <w:left w:val="single" w:sz="4" w:space="0" w:color="FFFFFF"/>
              <w:bottom w:val="single" w:sz="4" w:space="0" w:color="000000"/>
              <w:right w:val="single" w:sz="4" w:space="0" w:color="FFFFFF"/>
            </w:tcBorders>
            <w:vAlign w:val="center"/>
          </w:tcPr>
          <w:p w14:paraId="3A36E4B4" w14:textId="77777777" w:rsidR="00801026" w:rsidRPr="00EB1F81" w:rsidRDefault="00801026"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Low</w:t>
            </w:r>
          </w:p>
        </w:tc>
        <w:tc>
          <w:tcPr>
            <w:tcW w:w="0" w:type="auto"/>
            <w:tcBorders>
              <w:top w:val="single" w:sz="4" w:space="0" w:color="000000"/>
              <w:left w:val="single" w:sz="4" w:space="0" w:color="FFFFFF"/>
              <w:bottom w:val="single" w:sz="4" w:space="0" w:color="000000"/>
              <w:right w:val="single" w:sz="4" w:space="0" w:color="FFFFFF"/>
            </w:tcBorders>
            <w:vAlign w:val="center"/>
          </w:tcPr>
          <w:p w14:paraId="66F0922C" w14:textId="77777777" w:rsidR="00801026" w:rsidRPr="00EB1F81" w:rsidRDefault="00801026" w:rsidP="00EB1F81">
            <w:pPr>
              <w:spacing w:after="0" w:line="240" w:lineRule="auto"/>
              <w:jc w:val="center"/>
              <w:rPr>
                <w:rFonts w:ascii="Arial" w:eastAsia="Times New Roman" w:hAnsi="Arial" w:cs="Arial"/>
                <w:color w:val="000000"/>
                <w:sz w:val="20"/>
                <w:szCs w:val="20"/>
              </w:rPr>
            </w:pPr>
          </w:p>
        </w:tc>
        <w:tc>
          <w:tcPr>
            <w:tcW w:w="0" w:type="auto"/>
            <w:tcBorders>
              <w:top w:val="single" w:sz="4" w:space="0" w:color="000000"/>
              <w:left w:val="single" w:sz="4" w:space="0" w:color="FFFFFF"/>
              <w:bottom w:val="single" w:sz="4" w:space="0" w:color="000000"/>
              <w:right w:val="single" w:sz="4" w:space="0" w:color="000000"/>
            </w:tcBorders>
            <w:tcMar>
              <w:top w:w="0" w:type="dxa"/>
              <w:left w:w="108" w:type="dxa"/>
              <w:bottom w:w="0" w:type="dxa"/>
              <w:right w:w="108" w:type="dxa"/>
            </w:tcMar>
            <w:vAlign w:val="center"/>
            <w:hideMark/>
          </w:tcPr>
          <w:p w14:paraId="36249872" w14:textId="751DEF79" w:rsidR="00801026" w:rsidRPr="00EB1F81" w:rsidRDefault="00EB1F81" w:rsidP="00EB1F81">
            <w:pPr>
              <w:spacing w:after="0" w:line="240" w:lineRule="auto"/>
              <w:jc w:val="center"/>
              <w:rPr>
                <w:rFonts w:ascii="Times New Roman" w:eastAsia="Times New Roman" w:hAnsi="Times New Roman" w:cs="Times New Roman"/>
                <w:sz w:val="24"/>
                <w:szCs w:val="24"/>
              </w:rPr>
            </w:pPr>
            <w:r w:rsidRPr="00EB1F81">
              <w:rPr>
                <w:rFonts w:ascii="Arial" w:eastAsia="Times New Roman" w:hAnsi="Arial" w:cs="Arial"/>
                <w:color w:val="000000"/>
                <w:sz w:val="20"/>
                <w:szCs w:val="20"/>
              </w:rPr>
              <w:t>High</w:t>
            </w:r>
          </w:p>
        </w:tc>
      </w:tr>
      <w:tr w:rsidR="00C8266B" w:rsidRPr="00F6464E" w14:paraId="78473C05" w14:textId="77777777" w:rsidTr="009272DF">
        <w:tc>
          <w:tcPr>
            <w:tcW w:w="1435" w:type="dxa"/>
            <w:tcBorders>
              <w:top w:val="single" w:sz="4" w:space="0" w:color="000000"/>
              <w:left w:val="single" w:sz="4" w:space="0" w:color="000000"/>
              <w:bottom w:val="single" w:sz="4" w:space="0" w:color="000000"/>
              <w:right w:val="single" w:sz="4" w:space="0" w:color="E7E6E6"/>
            </w:tcBorders>
            <w:shd w:val="clear" w:color="auto" w:fill="E7E6E6"/>
            <w:tcMar>
              <w:top w:w="0" w:type="dxa"/>
              <w:left w:w="108" w:type="dxa"/>
              <w:bottom w:w="0" w:type="dxa"/>
              <w:right w:w="108" w:type="dxa"/>
            </w:tcMar>
            <w:hideMark/>
          </w:tcPr>
          <w:p w14:paraId="406B9B44" w14:textId="7D1A31A1" w:rsidR="00801026" w:rsidRPr="00C8266B" w:rsidRDefault="00EB1F81" w:rsidP="00C8266B">
            <w:pPr>
              <w:spacing w:after="0" w:line="240" w:lineRule="auto"/>
              <w:rPr>
                <w:rFonts w:ascii="Arial" w:eastAsia="Times New Roman" w:hAnsi="Arial" w:cs="Arial"/>
                <w:sz w:val="20"/>
                <w:szCs w:val="20"/>
              </w:rPr>
            </w:pPr>
            <w:r w:rsidRPr="00C8266B">
              <w:rPr>
                <w:rFonts w:ascii="Arial" w:eastAsia="Times New Roman" w:hAnsi="Arial" w:cs="Arial"/>
                <w:color w:val="000000"/>
                <w:sz w:val="20"/>
                <w:szCs w:val="20"/>
              </w:rPr>
              <w:t>Keske</w:t>
            </w:r>
          </w:p>
          <w:p w14:paraId="56638EC6" w14:textId="4FFF85BF" w:rsidR="00C8266B" w:rsidRPr="00F6464E" w:rsidRDefault="00C8266B" w:rsidP="00C8266B">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(2018)</w:t>
            </w:r>
          </w:p>
        </w:tc>
        <w:tc>
          <w:tcPr>
            <w:tcW w:w="1103" w:type="dxa"/>
            <w:tcBorders>
              <w:top w:val="single" w:sz="4" w:space="0" w:color="000000"/>
              <w:left w:val="single" w:sz="4" w:space="0" w:color="E7E6E6"/>
              <w:bottom w:val="single" w:sz="4" w:space="0" w:color="000000"/>
              <w:right w:val="single" w:sz="4" w:space="0" w:color="E7E6E6"/>
            </w:tcBorders>
            <w:shd w:val="clear" w:color="auto" w:fill="E7E6E6"/>
            <w:tcMar>
              <w:top w:w="0" w:type="dxa"/>
              <w:left w:w="108" w:type="dxa"/>
              <w:bottom w:w="0" w:type="dxa"/>
              <w:right w:w="108" w:type="dxa"/>
            </w:tcMar>
            <w:vAlign w:val="center"/>
            <w:hideMark/>
          </w:tcPr>
          <w:p w14:paraId="44692C2E" w14:textId="52D3DDCA" w:rsidR="00801026" w:rsidRPr="00EB1F81" w:rsidRDefault="00EB1F81" w:rsidP="00EB1F81">
            <w:pPr>
              <w:spacing w:after="0" w:line="240" w:lineRule="auto"/>
              <w:jc w:val="center"/>
              <w:rPr>
                <w:rFonts w:ascii="Times New Roman" w:eastAsia="Times New Roman" w:hAnsi="Times New Roman" w:cs="Times New Roman"/>
                <w:sz w:val="24"/>
                <w:szCs w:val="24"/>
              </w:rPr>
            </w:pPr>
            <w:r w:rsidRPr="00EB1F81">
              <w:rPr>
                <w:rFonts w:ascii="Arial" w:eastAsia="Times New Roman" w:hAnsi="Arial" w:cs="Arial"/>
                <w:color w:val="000000"/>
                <w:sz w:val="20"/>
                <w:szCs w:val="20"/>
              </w:rPr>
              <w:t>High</w:t>
            </w:r>
          </w:p>
        </w:tc>
        <w:tc>
          <w:tcPr>
            <w:tcW w:w="0" w:type="auto"/>
            <w:tcBorders>
              <w:top w:val="single" w:sz="4" w:space="0" w:color="000000"/>
              <w:left w:val="single" w:sz="4" w:space="0" w:color="E7E6E6"/>
              <w:bottom w:val="single" w:sz="4" w:space="0" w:color="000000"/>
              <w:right w:val="single" w:sz="4" w:space="0" w:color="E7E6E6"/>
            </w:tcBorders>
            <w:shd w:val="clear" w:color="auto" w:fill="E7E6E6"/>
            <w:tcMar>
              <w:top w:w="0" w:type="dxa"/>
              <w:left w:w="108" w:type="dxa"/>
              <w:bottom w:w="0" w:type="dxa"/>
              <w:right w:w="108" w:type="dxa"/>
            </w:tcMar>
            <w:vAlign w:val="center"/>
            <w:hideMark/>
          </w:tcPr>
          <w:p w14:paraId="11D0A9EB" w14:textId="77B2AD52" w:rsidR="00801026" w:rsidRPr="00EB1F81" w:rsidRDefault="00EB1F81" w:rsidP="00EB1F81">
            <w:pPr>
              <w:spacing w:after="0" w:line="240" w:lineRule="auto"/>
              <w:jc w:val="center"/>
              <w:rPr>
                <w:rFonts w:ascii="Times New Roman" w:eastAsia="Times New Roman" w:hAnsi="Times New Roman" w:cs="Times New Roman"/>
                <w:sz w:val="24"/>
                <w:szCs w:val="24"/>
              </w:rPr>
            </w:pPr>
            <w:r w:rsidRPr="00EB1F81">
              <w:rPr>
                <w:rFonts w:ascii="Times New Roman" w:eastAsia="Times New Roman" w:hAnsi="Times New Roman" w:cs="Times New Roman"/>
                <w:sz w:val="24"/>
                <w:szCs w:val="24"/>
              </w:rPr>
              <w:t>Low</w:t>
            </w:r>
          </w:p>
        </w:tc>
        <w:tc>
          <w:tcPr>
            <w:tcW w:w="0" w:type="auto"/>
            <w:tcBorders>
              <w:top w:val="single" w:sz="4" w:space="0" w:color="000000"/>
              <w:left w:val="single" w:sz="4" w:space="0" w:color="E7E6E6"/>
              <w:bottom w:val="single" w:sz="4" w:space="0" w:color="000000"/>
              <w:right w:val="single" w:sz="4" w:space="0" w:color="E7E6E6"/>
            </w:tcBorders>
            <w:shd w:val="clear" w:color="auto" w:fill="E7E6E6"/>
            <w:vAlign w:val="center"/>
          </w:tcPr>
          <w:p w14:paraId="0D13619C" w14:textId="77777777" w:rsidR="00801026" w:rsidRPr="00EB1F81" w:rsidRDefault="00801026" w:rsidP="00EB1F81">
            <w:pPr>
              <w:spacing w:after="0" w:line="240" w:lineRule="auto"/>
              <w:jc w:val="center"/>
              <w:rPr>
                <w:rFonts w:ascii="Arial" w:eastAsia="Times New Roman" w:hAnsi="Arial" w:cs="Arial"/>
                <w:color w:val="000000"/>
                <w:sz w:val="20"/>
                <w:szCs w:val="20"/>
              </w:rPr>
            </w:pPr>
          </w:p>
        </w:tc>
        <w:tc>
          <w:tcPr>
            <w:tcW w:w="0" w:type="auto"/>
            <w:tcBorders>
              <w:top w:val="single" w:sz="4" w:space="0" w:color="000000"/>
              <w:left w:val="single" w:sz="4" w:space="0" w:color="E7E6E6"/>
              <w:bottom w:val="single" w:sz="4" w:space="0" w:color="000000"/>
              <w:right w:val="single" w:sz="4" w:space="0" w:color="E7E6E6"/>
            </w:tcBorders>
            <w:shd w:val="clear" w:color="auto" w:fill="E7E6E6"/>
            <w:tcMar>
              <w:top w:w="0" w:type="dxa"/>
              <w:left w:w="108" w:type="dxa"/>
              <w:bottom w:w="0" w:type="dxa"/>
              <w:right w:w="108" w:type="dxa"/>
            </w:tcMar>
            <w:vAlign w:val="center"/>
            <w:hideMark/>
          </w:tcPr>
          <w:p w14:paraId="3B944ADB" w14:textId="455A210F" w:rsidR="00801026" w:rsidRPr="00EB1F81" w:rsidRDefault="00EB1F81" w:rsidP="00EB1F81">
            <w:pPr>
              <w:spacing w:after="0" w:line="240" w:lineRule="auto"/>
              <w:jc w:val="center"/>
              <w:rPr>
                <w:rFonts w:ascii="Times New Roman" w:eastAsia="Times New Roman" w:hAnsi="Times New Roman" w:cs="Times New Roman"/>
                <w:sz w:val="24"/>
                <w:szCs w:val="24"/>
              </w:rPr>
            </w:pPr>
            <w:r w:rsidRPr="00EB1F81">
              <w:rPr>
                <w:rFonts w:ascii="Arial" w:eastAsia="Times New Roman" w:hAnsi="Arial" w:cs="Arial"/>
                <w:color w:val="000000"/>
                <w:sz w:val="20"/>
                <w:szCs w:val="20"/>
              </w:rPr>
              <w:t>Low</w:t>
            </w:r>
          </w:p>
        </w:tc>
        <w:tc>
          <w:tcPr>
            <w:tcW w:w="0" w:type="auto"/>
            <w:tcBorders>
              <w:top w:val="single" w:sz="4" w:space="0" w:color="000000"/>
              <w:left w:val="single" w:sz="4" w:space="0" w:color="E7E6E6"/>
              <w:bottom w:val="single" w:sz="4" w:space="0" w:color="000000"/>
              <w:right w:val="single" w:sz="4" w:space="0" w:color="E7E6E6"/>
            </w:tcBorders>
            <w:shd w:val="clear" w:color="auto" w:fill="E7E6E6"/>
            <w:vAlign w:val="center"/>
          </w:tcPr>
          <w:p w14:paraId="43087B57" w14:textId="0263BBFA" w:rsidR="00801026"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Low</w:t>
            </w:r>
          </w:p>
        </w:tc>
        <w:tc>
          <w:tcPr>
            <w:tcW w:w="0" w:type="auto"/>
            <w:tcBorders>
              <w:top w:val="single" w:sz="4" w:space="0" w:color="000000"/>
              <w:left w:val="single" w:sz="4" w:space="0" w:color="E7E6E6"/>
              <w:bottom w:val="single" w:sz="4" w:space="0" w:color="000000"/>
              <w:right w:val="single" w:sz="4" w:space="0" w:color="E7E6E6"/>
            </w:tcBorders>
            <w:shd w:val="clear" w:color="auto" w:fill="E7E6E6"/>
            <w:vAlign w:val="center"/>
          </w:tcPr>
          <w:p w14:paraId="377092E5" w14:textId="45017D36" w:rsidR="00801026"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Moderate</w:t>
            </w:r>
          </w:p>
        </w:tc>
        <w:tc>
          <w:tcPr>
            <w:tcW w:w="0" w:type="auto"/>
            <w:tcBorders>
              <w:top w:val="single" w:sz="4" w:space="0" w:color="000000"/>
              <w:left w:val="single" w:sz="4" w:space="0" w:color="E7E6E6"/>
              <w:bottom w:val="single" w:sz="4" w:space="0" w:color="000000"/>
              <w:right w:val="single" w:sz="4" w:space="0" w:color="E7E6E6"/>
            </w:tcBorders>
            <w:shd w:val="clear" w:color="auto" w:fill="E7E6E6"/>
            <w:vAlign w:val="center"/>
          </w:tcPr>
          <w:p w14:paraId="74C0304F" w14:textId="49AC8F06" w:rsidR="00801026"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Moderate</w:t>
            </w:r>
          </w:p>
        </w:tc>
        <w:tc>
          <w:tcPr>
            <w:tcW w:w="0" w:type="auto"/>
            <w:tcBorders>
              <w:top w:val="single" w:sz="4" w:space="0" w:color="000000"/>
              <w:left w:val="single" w:sz="4" w:space="0" w:color="E7E6E6"/>
              <w:bottom w:val="single" w:sz="4" w:space="0" w:color="000000"/>
              <w:right w:val="single" w:sz="4" w:space="0" w:color="E7E6E6"/>
            </w:tcBorders>
            <w:shd w:val="clear" w:color="auto" w:fill="E7E6E6"/>
            <w:vAlign w:val="center"/>
          </w:tcPr>
          <w:p w14:paraId="0C0A2DBB" w14:textId="604504AC" w:rsidR="00801026"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Low</w:t>
            </w:r>
          </w:p>
        </w:tc>
        <w:tc>
          <w:tcPr>
            <w:tcW w:w="0" w:type="auto"/>
            <w:tcBorders>
              <w:top w:val="single" w:sz="4" w:space="0" w:color="000000"/>
              <w:left w:val="single" w:sz="4" w:space="0" w:color="E7E6E6"/>
              <w:bottom w:val="single" w:sz="4" w:space="0" w:color="000000"/>
              <w:right w:val="single" w:sz="4" w:space="0" w:color="E7E6E6"/>
            </w:tcBorders>
            <w:shd w:val="clear" w:color="auto" w:fill="E7E6E6"/>
            <w:vAlign w:val="center"/>
          </w:tcPr>
          <w:p w14:paraId="7D89091D" w14:textId="77777777" w:rsidR="00801026" w:rsidRPr="00EB1F81" w:rsidRDefault="00801026" w:rsidP="00EB1F81">
            <w:pPr>
              <w:spacing w:after="0" w:line="240" w:lineRule="auto"/>
              <w:jc w:val="center"/>
              <w:rPr>
                <w:rFonts w:ascii="Arial" w:eastAsia="Times New Roman" w:hAnsi="Arial" w:cs="Arial"/>
                <w:color w:val="000000"/>
                <w:sz w:val="20"/>
                <w:szCs w:val="20"/>
              </w:rPr>
            </w:pPr>
          </w:p>
        </w:tc>
        <w:tc>
          <w:tcPr>
            <w:tcW w:w="0" w:type="auto"/>
            <w:tcBorders>
              <w:top w:val="single" w:sz="4" w:space="0" w:color="000000"/>
              <w:left w:val="single" w:sz="4" w:space="0" w:color="E7E6E6"/>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0D2FA7DB" w14:textId="3C43A3E8" w:rsidR="00801026" w:rsidRPr="00EB1F81" w:rsidRDefault="00EB1F81" w:rsidP="00EB1F81">
            <w:pPr>
              <w:spacing w:after="0" w:line="240" w:lineRule="auto"/>
              <w:jc w:val="center"/>
              <w:rPr>
                <w:rFonts w:ascii="Times New Roman" w:eastAsia="Times New Roman" w:hAnsi="Times New Roman" w:cs="Times New Roman"/>
                <w:sz w:val="24"/>
                <w:szCs w:val="24"/>
              </w:rPr>
            </w:pPr>
            <w:r w:rsidRPr="00EB1F81">
              <w:rPr>
                <w:rFonts w:ascii="Arial" w:eastAsia="Times New Roman" w:hAnsi="Arial" w:cs="Arial"/>
                <w:color w:val="000000"/>
                <w:sz w:val="20"/>
                <w:szCs w:val="20"/>
              </w:rPr>
              <w:t>High</w:t>
            </w:r>
          </w:p>
        </w:tc>
      </w:tr>
      <w:tr w:rsidR="00C8266B" w:rsidRPr="004339C8" w14:paraId="165D1BA9" w14:textId="77777777" w:rsidTr="0040671C">
        <w:tc>
          <w:tcPr>
            <w:tcW w:w="1435" w:type="dxa"/>
            <w:tcBorders>
              <w:top w:val="single" w:sz="4" w:space="0" w:color="000000"/>
              <w:left w:val="single" w:sz="4" w:space="0" w:color="000000"/>
              <w:bottom w:val="single" w:sz="4" w:space="0" w:color="000000"/>
              <w:right w:val="single" w:sz="4" w:space="0" w:color="E7E6E6"/>
            </w:tcBorders>
            <w:shd w:val="clear" w:color="auto" w:fill="FFFFFF" w:themeFill="background1"/>
            <w:tcMar>
              <w:top w:w="0" w:type="dxa"/>
              <w:left w:w="108" w:type="dxa"/>
              <w:bottom w:w="0" w:type="dxa"/>
              <w:right w:w="108" w:type="dxa"/>
            </w:tcMar>
          </w:tcPr>
          <w:p w14:paraId="468A4DD9" w14:textId="70EED8B5" w:rsidR="00EB1F81" w:rsidRDefault="00EB1F81" w:rsidP="00C8266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Xu </w:t>
            </w:r>
          </w:p>
          <w:p w14:paraId="5FD6863F" w14:textId="2CF00A67" w:rsidR="00C8266B" w:rsidRPr="004339C8" w:rsidRDefault="00C8266B" w:rsidP="00C8266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(2013)</w:t>
            </w:r>
          </w:p>
        </w:tc>
        <w:tc>
          <w:tcPr>
            <w:tcW w:w="1103" w:type="dxa"/>
            <w:tcBorders>
              <w:top w:val="single" w:sz="4" w:space="0" w:color="000000"/>
              <w:left w:val="single" w:sz="4" w:space="0" w:color="E7E6E6"/>
              <w:bottom w:val="single" w:sz="4" w:space="0" w:color="000000"/>
              <w:right w:val="single" w:sz="4" w:space="0" w:color="E7E6E6"/>
            </w:tcBorders>
            <w:shd w:val="clear" w:color="auto" w:fill="FFFFFF" w:themeFill="background1"/>
            <w:tcMar>
              <w:top w:w="0" w:type="dxa"/>
              <w:left w:w="108" w:type="dxa"/>
              <w:bottom w:w="0" w:type="dxa"/>
              <w:right w:w="108" w:type="dxa"/>
            </w:tcMar>
            <w:vAlign w:val="center"/>
          </w:tcPr>
          <w:p w14:paraId="43E91799" w14:textId="267EB21F" w:rsidR="00801026"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Moderate</w:t>
            </w:r>
          </w:p>
        </w:tc>
        <w:tc>
          <w:tcPr>
            <w:tcW w:w="0" w:type="auto"/>
            <w:tcBorders>
              <w:top w:val="single" w:sz="4" w:space="0" w:color="000000"/>
              <w:left w:val="single" w:sz="4" w:space="0" w:color="E7E6E6"/>
              <w:bottom w:val="single" w:sz="4" w:space="0" w:color="000000"/>
              <w:right w:val="single" w:sz="4" w:space="0" w:color="E7E6E6"/>
            </w:tcBorders>
            <w:shd w:val="clear" w:color="auto" w:fill="FFFFFF" w:themeFill="background1"/>
            <w:tcMar>
              <w:top w:w="0" w:type="dxa"/>
              <w:left w:w="108" w:type="dxa"/>
              <w:bottom w:w="0" w:type="dxa"/>
              <w:right w:w="108" w:type="dxa"/>
            </w:tcMar>
            <w:vAlign w:val="center"/>
          </w:tcPr>
          <w:p w14:paraId="603B13F5" w14:textId="0B1F5FAF" w:rsidR="00801026" w:rsidRPr="00EB1F81" w:rsidRDefault="00EB1F81" w:rsidP="00EB1F81">
            <w:pPr>
              <w:spacing w:after="0" w:line="240" w:lineRule="auto"/>
              <w:jc w:val="center"/>
              <w:rPr>
                <w:rFonts w:ascii="Times New Roman" w:eastAsia="Times New Roman" w:hAnsi="Times New Roman" w:cs="Times New Roman"/>
                <w:sz w:val="24"/>
                <w:szCs w:val="24"/>
              </w:rPr>
            </w:pPr>
            <w:r w:rsidRPr="00EB1F81">
              <w:rPr>
                <w:rFonts w:ascii="Times New Roman" w:eastAsia="Times New Roman" w:hAnsi="Times New Roman" w:cs="Times New Roman"/>
                <w:sz w:val="24"/>
                <w:szCs w:val="24"/>
              </w:rPr>
              <w:t>Low</w:t>
            </w:r>
          </w:p>
        </w:tc>
        <w:tc>
          <w:tcPr>
            <w:tcW w:w="0" w:type="auto"/>
            <w:tcBorders>
              <w:top w:val="single" w:sz="4" w:space="0" w:color="000000"/>
              <w:left w:val="single" w:sz="4" w:space="0" w:color="E7E6E6"/>
              <w:bottom w:val="single" w:sz="4" w:space="0" w:color="000000"/>
              <w:right w:val="single" w:sz="4" w:space="0" w:color="E7E6E6"/>
            </w:tcBorders>
            <w:shd w:val="clear" w:color="auto" w:fill="FFFFFF" w:themeFill="background1"/>
            <w:vAlign w:val="center"/>
          </w:tcPr>
          <w:p w14:paraId="557993DD" w14:textId="77777777" w:rsidR="00801026" w:rsidRPr="00EB1F81" w:rsidRDefault="00801026" w:rsidP="00EB1F81">
            <w:pPr>
              <w:spacing w:after="0" w:line="240" w:lineRule="auto"/>
              <w:jc w:val="center"/>
              <w:rPr>
                <w:rFonts w:ascii="Arial" w:eastAsia="Times New Roman" w:hAnsi="Arial" w:cs="Arial"/>
                <w:color w:val="000000"/>
                <w:sz w:val="20"/>
                <w:szCs w:val="20"/>
              </w:rPr>
            </w:pPr>
          </w:p>
        </w:tc>
        <w:tc>
          <w:tcPr>
            <w:tcW w:w="0" w:type="auto"/>
            <w:tcBorders>
              <w:top w:val="single" w:sz="4" w:space="0" w:color="000000"/>
              <w:left w:val="single" w:sz="4" w:space="0" w:color="E7E6E6"/>
              <w:bottom w:val="single" w:sz="4" w:space="0" w:color="000000"/>
              <w:right w:val="single" w:sz="4" w:space="0" w:color="E7E6E6"/>
            </w:tcBorders>
            <w:shd w:val="clear" w:color="auto" w:fill="FFFFFF" w:themeFill="background1"/>
            <w:tcMar>
              <w:top w:w="0" w:type="dxa"/>
              <w:left w:w="108" w:type="dxa"/>
              <w:bottom w:w="0" w:type="dxa"/>
              <w:right w:w="108" w:type="dxa"/>
            </w:tcMar>
            <w:vAlign w:val="center"/>
          </w:tcPr>
          <w:p w14:paraId="342A7AC6" w14:textId="18085E4B" w:rsidR="00801026"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Low</w:t>
            </w:r>
          </w:p>
        </w:tc>
        <w:tc>
          <w:tcPr>
            <w:tcW w:w="0" w:type="auto"/>
            <w:tcBorders>
              <w:top w:val="single" w:sz="4" w:space="0" w:color="000000"/>
              <w:left w:val="single" w:sz="4" w:space="0" w:color="E7E6E6"/>
              <w:bottom w:val="single" w:sz="4" w:space="0" w:color="000000"/>
              <w:right w:val="single" w:sz="4" w:space="0" w:color="E7E6E6"/>
            </w:tcBorders>
            <w:shd w:val="clear" w:color="auto" w:fill="FFFFFF" w:themeFill="background1"/>
            <w:vAlign w:val="center"/>
          </w:tcPr>
          <w:p w14:paraId="5CB4D093" w14:textId="495DE197" w:rsidR="00801026"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Low</w:t>
            </w:r>
          </w:p>
        </w:tc>
        <w:tc>
          <w:tcPr>
            <w:tcW w:w="0" w:type="auto"/>
            <w:tcBorders>
              <w:top w:val="single" w:sz="4" w:space="0" w:color="000000"/>
              <w:left w:val="single" w:sz="4" w:space="0" w:color="E7E6E6"/>
              <w:bottom w:val="single" w:sz="4" w:space="0" w:color="000000"/>
              <w:right w:val="single" w:sz="4" w:space="0" w:color="E7E6E6"/>
            </w:tcBorders>
            <w:shd w:val="clear" w:color="auto" w:fill="FFFFFF" w:themeFill="background1"/>
            <w:vAlign w:val="center"/>
          </w:tcPr>
          <w:p w14:paraId="1FB27EA8" w14:textId="2ED07165" w:rsidR="00801026"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Moderate</w:t>
            </w:r>
          </w:p>
        </w:tc>
        <w:tc>
          <w:tcPr>
            <w:tcW w:w="0" w:type="auto"/>
            <w:tcBorders>
              <w:top w:val="single" w:sz="4" w:space="0" w:color="000000"/>
              <w:left w:val="single" w:sz="4" w:space="0" w:color="E7E6E6"/>
              <w:bottom w:val="single" w:sz="4" w:space="0" w:color="000000"/>
              <w:right w:val="single" w:sz="4" w:space="0" w:color="E7E6E6"/>
            </w:tcBorders>
            <w:shd w:val="clear" w:color="auto" w:fill="FFFFFF" w:themeFill="background1"/>
            <w:vAlign w:val="center"/>
          </w:tcPr>
          <w:p w14:paraId="1DB1B20C" w14:textId="015BB1F2" w:rsidR="00801026"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Moderate</w:t>
            </w:r>
          </w:p>
        </w:tc>
        <w:tc>
          <w:tcPr>
            <w:tcW w:w="0" w:type="auto"/>
            <w:tcBorders>
              <w:top w:val="single" w:sz="4" w:space="0" w:color="000000"/>
              <w:left w:val="single" w:sz="4" w:space="0" w:color="E7E6E6"/>
              <w:bottom w:val="single" w:sz="4" w:space="0" w:color="000000"/>
              <w:right w:val="single" w:sz="4" w:space="0" w:color="E7E6E6"/>
            </w:tcBorders>
            <w:shd w:val="clear" w:color="auto" w:fill="FFFFFF" w:themeFill="background1"/>
            <w:vAlign w:val="center"/>
          </w:tcPr>
          <w:p w14:paraId="450846FB" w14:textId="280BAC01" w:rsidR="00801026"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Low</w:t>
            </w:r>
          </w:p>
        </w:tc>
        <w:tc>
          <w:tcPr>
            <w:tcW w:w="0" w:type="auto"/>
            <w:tcBorders>
              <w:top w:val="single" w:sz="4" w:space="0" w:color="000000"/>
              <w:left w:val="single" w:sz="4" w:space="0" w:color="E7E6E6"/>
              <w:bottom w:val="single" w:sz="4" w:space="0" w:color="000000"/>
              <w:right w:val="single" w:sz="4" w:space="0" w:color="E7E6E6"/>
            </w:tcBorders>
            <w:shd w:val="clear" w:color="auto" w:fill="FFFFFF" w:themeFill="background1"/>
            <w:vAlign w:val="center"/>
          </w:tcPr>
          <w:p w14:paraId="6997F61B" w14:textId="77777777" w:rsidR="00801026" w:rsidRPr="00EB1F81" w:rsidRDefault="00801026" w:rsidP="00EB1F81">
            <w:pPr>
              <w:spacing w:after="0" w:line="240" w:lineRule="auto"/>
              <w:jc w:val="center"/>
              <w:rPr>
                <w:rFonts w:ascii="Arial" w:eastAsia="Times New Roman" w:hAnsi="Arial" w:cs="Arial"/>
                <w:color w:val="000000"/>
                <w:sz w:val="20"/>
                <w:szCs w:val="20"/>
              </w:rPr>
            </w:pPr>
          </w:p>
        </w:tc>
        <w:tc>
          <w:tcPr>
            <w:tcW w:w="0" w:type="auto"/>
            <w:tcBorders>
              <w:top w:val="single" w:sz="4" w:space="0" w:color="000000"/>
              <w:left w:val="single" w:sz="4" w:space="0" w:color="E7E6E6"/>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5C94B5E" w14:textId="30D8A896" w:rsidR="00801026"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Moderate</w:t>
            </w:r>
          </w:p>
        </w:tc>
      </w:tr>
      <w:tr w:rsidR="00C8266B" w:rsidRPr="004339C8" w14:paraId="08854200" w14:textId="77777777" w:rsidTr="009272DF">
        <w:tc>
          <w:tcPr>
            <w:tcW w:w="1435" w:type="dxa"/>
            <w:tcBorders>
              <w:top w:val="single" w:sz="4" w:space="0" w:color="000000"/>
              <w:left w:val="single" w:sz="4" w:space="0" w:color="000000"/>
              <w:bottom w:val="single" w:sz="4" w:space="0" w:color="000000"/>
              <w:right w:val="single" w:sz="4" w:space="0" w:color="E7E6E6"/>
            </w:tcBorders>
            <w:shd w:val="clear" w:color="auto" w:fill="E7E6E6"/>
            <w:tcMar>
              <w:top w:w="0" w:type="dxa"/>
              <w:left w:w="108" w:type="dxa"/>
              <w:bottom w:w="0" w:type="dxa"/>
              <w:right w:w="108" w:type="dxa"/>
            </w:tcMar>
          </w:tcPr>
          <w:p w14:paraId="633E81D9" w14:textId="15FC9543" w:rsidR="00C8266B" w:rsidRDefault="00EB1F81" w:rsidP="00C8266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Timbrook</w:t>
            </w:r>
            <w:r w:rsidR="009272DF">
              <w:rPr>
                <w:rFonts w:ascii="Arial" w:eastAsia="Times New Roman" w:hAnsi="Arial" w:cs="Arial"/>
                <w:color w:val="000000"/>
                <w:sz w:val="20"/>
                <w:szCs w:val="20"/>
              </w:rPr>
              <w:t xml:space="preserve"> </w:t>
            </w:r>
          </w:p>
          <w:p w14:paraId="305E160A" w14:textId="51492FBF" w:rsidR="009272DF" w:rsidRDefault="009272DF" w:rsidP="00C8266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9272DF">
              <w:rPr>
                <w:rFonts w:ascii="Arial" w:eastAsia="Times New Roman" w:hAnsi="Arial" w:cs="Arial"/>
                <w:color w:val="000000"/>
                <w:sz w:val="20"/>
                <w:szCs w:val="20"/>
              </w:rPr>
              <w:t>2015</w:t>
            </w:r>
            <w:r>
              <w:rPr>
                <w:rFonts w:ascii="Arial" w:eastAsia="Times New Roman" w:hAnsi="Arial" w:cs="Arial"/>
                <w:color w:val="000000"/>
                <w:sz w:val="20"/>
                <w:szCs w:val="20"/>
              </w:rPr>
              <w:t>)</w:t>
            </w:r>
          </w:p>
        </w:tc>
        <w:tc>
          <w:tcPr>
            <w:tcW w:w="1103" w:type="dxa"/>
            <w:tcBorders>
              <w:top w:val="single" w:sz="4" w:space="0" w:color="000000"/>
              <w:left w:val="single" w:sz="4" w:space="0" w:color="E7E6E6"/>
              <w:bottom w:val="single" w:sz="4" w:space="0" w:color="000000"/>
              <w:right w:val="single" w:sz="4" w:space="0" w:color="E7E6E6"/>
            </w:tcBorders>
            <w:shd w:val="clear" w:color="auto" w:fill="E7E6E6"/>
            <w:tcMar>
              <w:top w:w="0" w:type="dxa"/>
              <w:left w:w="108" w:type="dxa"/>
              <w:bottom w:w="0" w:type="dxa"/>
              <w:right w:w="108" w:type="dxa"/>
            </w:tcMar>
            <w:vAlign w:val="center"/>
          </w:tcPr>
          <w:p w14:paraId="2480395A" w14:textId="1DBEC883" w:rsidR="00EB1F81"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Moderate</w:t>
            </w:r>
          </w:p>
        </w:tc>
        <w:tc>
          <w:tcPr>
            <w:tcW w:w="0" w:type="auto"/>
            <w:tcBorders>
              <w:top w:val="single" w:sz="4" w:space="0" w:color="000000"/>
              <w:left w:val="single" w:sz="4" w:space="0" w:color="E7E6E6"/>
              <w:bottom w:val="single" w:sz="4" w:space="0" w:color="000000"/>
              <w:right w:val="single" w:sz="4" w:space="0" w:color="E7E6E6"/>
            </w:tcBorders>
            <w:shd w:val="clear" w:color="auto" w:fill="E7E6E6"/>
            <w:tcMar>
              <w:top w:w="0" w:type="dxa"/>
              <w:left w:w="108" w:type="dxa"/>
              <w:bottom w:w="0" w:type="dxa"/>
              <w:right w:w="108" w:type="dxa"/>
            </w:tcMar>
            <w:vAlign w:val="center"/>
          </w:tcPr>
          <w:p w14:paraId="6625029E" w14:textId="11C8C532" w:rsidR="00EB1F81" w:rsidRPr="00EB1F81" w:rsidRDefault="00EB1F81" w:rsidP="00EB1F81">
            <w:pPr>
              <w:spacing w:after="0" w:line="240" w:lineRule="auto"/>
              <w:jc w:val="center"/>
              <w:rPr>
                <w:rFonts w:ascii="Times New Roman" w:eastAsia="Times New Roman" w:hAnsi="Times New Roman" w:cs="Times New Roman"/>
                <w:sz w:val="24"/>
                <w:szCs w:val="24"/>
              </w:rPr>
            </w:pPr>
            <w:r w:rsidRPr="00EB1F81">
              <w:rPr>
                <w:rFonts w:ascii="Times New Roman" w:eastAsia="Times New Roman" w:hAnsi="Times New Roman" w:cs="Times New Roman"/>
                <w:sz w:val="24"/>
                <w:szCs w:val="24"/>
              </w:rPr>
              <w:t>Moderate</w:t>
            </w:r>
          </w:p>
        </w:tc>
        <w:tc>
          <w:tcPr>
            <w:tcW w:w="0" w:type="auto"/>
            <w:tcBorders>
              <w:top w:val="single" w:sz="4" w:space="0" w:color="000000"/>
              <w:left w:val="single" w:sz="4" w:space="0" w:color="E7E6E6"/>
              <w:bottom w:val="single" w:sz="4" w:space="0" w:color="000000"/>
              <w:right w:val="single" w:sz="4" w:space="0" w:color="E7E6E6"/>
            </w:tcBorders>
            <w:shd w:val="clear" w:color="auto" w:fill="E7E6E6"/>
            <w:vAlign w:val="center"/>
          </w:tcPr>
          <w:p w14:paraId="34E247D5" w14:textId="77777777" w:rsidR="00EB1F81" w:rsidRPr="00EB1F81" w:rsidRDefault="00EB1F81" w:rsidP="00EB1F81">
            <w:pPr>
              <w:spacing w:after="0" w:line="240" w:lineRule="auto"/>
              <w:jc w:val="center"/>
              <w:rPr>
                <w:rFonts w:ascii="Arial" w:eastAsia="Times New Roman" w:hAnsi="Arial" w:cs="Arial"/>
                <w:color w:val="000000"/>
                <w:sz w:val="20"/>
                <w:szCs w:val="20"/>
              </w:rPr>
            </w:pPr>
          </w:p>
        </w:tc>
        <w:tc>
          <w:tcPr>
            <w:tcW w:w="0" w:type="auto"/>
            <w:tcBorders>
              <w:top w:val="single" w:sz="4" w:space="0" w:color="000000"/>
              <w:left w:val="single" w:sz="4" w:space="0" w:color="E7E6E6"/>
              <w:bottom w:val="single" w:sz="4" w:space="0" w:color="000000"/>
              <w:right w:val="single" w:sz="4" w:space="0" w:color="E7E6E6"/>
            </w:tcBorders>
            <w:shd w:val="clear" w:color="auto" w:fill="E7E6E6"/>
            <w:tcMar>
              <w:top w:w="0" w:type="dxa"/>
              <w:left w:w="108" w:type="dxa"/>
              <w:bottom w:w="0" w:type="dxa"/>
              <w:right w:w="108" w:type="dxa"/>
            </w:tcMar>
            <w:vAlign w:val="center"/>
          </w:tcPr>
          <w:p w14:paraId="67EA8773" w14:textId="74E05FF6" w:rsidR="00EB1F81"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Moderate</w:t>
            </w:r>
          </w:p>
        </w:tc>
        <w:tc>
          <w:tcPr>
            <w:tcW w:w="0" w:type="auto"/>
            <w:tcBorders>
              <w:top w:val="single" w:sz="4" w:space="0" w:color="000000"/>
              <w:left w:val="single" w:sz="4" w:space="0" w:color="E7E6E6"/>
              <w:bottom w:val="single" w:sz="4" w:space="0" w:color="000000"/>
              <w:right w:val="single" w:sz="4" w:space="0" w:color="E7E6E6"/>
            </w:tcBorders>
            <w:shd w:val="clear" w:color="auto" w:fill="E7E6E6"/>
            <w:vAlign w:val="center"/>
          </w:tcPr>
          <w:p w14:paraId="2B5B3526" w14:textId="08E3BD3A" w:rsidR="00EB1F81"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Low</w:t>
            </w:r>
          </w:p>
        </w:tc>
        <w:tc>
          <w:tcPr>
            <w:tcW w:w="0" w:type="auto"/>
            <w:tcBorders>
              <w:top w:val="single" w:sz="4" w:space="0" w:color="000000"/>
              <w:left w:val="single" w:sz="4" w:space="0" w:color="E7E6E6"/>
              <w:bottom w:val="single" w:sz="4" w:space="0" w:color="000000"/>
              <w:right w:val="single" w:sz="4" w:space="0" w:color="E7E6E6"/>
            </w:tcBorders>
            <w:shd w:val="clear" w:color="auto" w:fill="E7E6E6"/>
            <w:vAlign w:val="center"/>
          </w:tcPr>
          <w:p w14:paraId="6512BBA2" w14:textId="3BD07F4F" w:rsidR="00EB1F81"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Moderate</w:t>
            </w:r>
          </w:p>
        </w:tc>
        <w:tc>
          <w:tcPr>
            <w:tcW w:w="0" w:type="auto"/>
            <w:tcBorders>
              <w:top w:val="single" w:sz="4" w:space="0" w:color="000000"/>
              <w:left w:val="single" w:sz="4" w:space="0" w:color="E7E6E6"/>
              <w:bottom w:val="single" w:sz="4" w:space="0" w:color="000000"/>
              <w:right w:val="single" w:sz="4" w:space="0" w:color="E7E6E6"/>
            </w:tcBorders>
            <w:shd w:val="clear" w:color="auto" w:fill="E7E6E6"/>
            <w:vAlign w:val="center"/>
          </w:tcPr>
          <w:p w14:paraId="1AB524F9" w14:textId="071F7A4B" w:rsidR="00EB1F81"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Moderate</w:t>
            </w:r>
          </w:p>
        </w:tc>
        <w:tc>
          <w:tcPr>
            <w:tcW w:w="0" w:type="auto"/>
            <w:tcBorders>
              <w:top w:val="single" w:sz="4" w:space="0" w:color="000000"/>
              <w:left w:val="single" w:sz="4" w:space="0" w:color="E7E6E6"/>
              <w:bottom w:val="single" w:sz="4" w:space="0" w:color="000000"/>
              <w:right w:val="single" w:sz="4" w:space="0" w:color="E7E6E6"/>
            </w:tcBorders>
            <w:shd w:val="clear" w:color="auto" w:fill="E7E6E6"/>
            <w:vAlign w:val="center"/>
          </w:tcPr>
          <w:p w14:paraId="3258263F" w14:textId="36858158" w:rsidR="00EB1F81"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Low</w:t>
            </w:r>
          </w:p>
        </w:tc>
        <w:tc>
          <w:tcPr>
            <w:tcW w:w="0" w:type="auto"/>
            <w:tcBorders>
              <w:top w:val="single" w:sz="4" w:space="0" w:color="000000"/>
              <w:left w:val="single" w:sz="4" w:space="0" w:color="E7E6E6"/>
              <w:bottom w:val="single" w:sz="4" w:space="0" w:color="000000"/>
              <w:right w:val="single" w:sz="4" w:space="0" w:color="E7E6E6"/>
            </w:tcBorders>
            <w:shd w:val="clear" w:color="auto" w:fill="E7E6E6"/>
            <w:vAlign w:val="center"/>
          </w:tcPr>
          <w:p w14:paraId="7AC004CB" w14:textId="77777777" w:rsidR="00EB1F81" w:rsidRPr="00EB1F81" w:rsidRDefault="00EB1F81" w:rsidP="00EB1F81">
            <w:pPr>
              <w:spacing w:after="0" w:line="240" w:lineRule="auto"/>
              <w:jc w:val="center"/>
              <w:rPr>
                <w:rFonts w:ascii="Arial" w:eastAsia="Times New Roman" w:hAnsi="Arial" w:cs="Arial"/>
                <w:color w:val="000000"/>
                <w:sz w:val="20"/>
                <w:szCs w:val="20"/>
              </w:rPr>
            </w:pPr>
          </w:p>
        </w:tc>
        <w:tc>
          <w:tcPr>
            <w:tcW w:w="0" w:type="auto"/>
            <w:tcBorders>
              <w:top w:val="single" w:sz="4" w:space="0" w:color="000000"/>
              <w:left w:val="single" w:sz="4" w:space="0" w:color="E7E6E6"/>
              <w:bottom w:val="single" w:sz="4" w:space="0" w:color="000000"/>
              <w:right w:val="single" w:sz="4" w:space="0" w:color="000000"/>
            </w:tcBorders>
            <w:shd w:val="clear" w:color="auto" w:fill="E7E6E6"/>
            <w:tcMar>
              <w:top w:w="0" w:type="dxa"/>
              <w:left w:w="108" w:type="dxa"/>
              <w:bottom w:w="0" w:type="dxa"/>
              <w:right w:w="108" w:type="dxa"/>
            </w:tcMar>
            <w:vAlign w:val="center"/>
          </w:tcPr>
          <w:p w14:paraId="3384CBA5" w14:textId="15E59F8B" w:rsidR="00EB1F81"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Moderate</w:t>
            </w:r>
          </w:p>
        </w:tc>
      </w:tr>
      <w:tr w:rsidR="009272DF" w:rsidRPr="004339C8" w14:paraId="3F9D3252" w14:textId="77777777" w:rsidTr="0040671C">
        <w:tc>
          <w:tcPr>
            <w:tcW w:w="1435" w:type="dxa"/>
            <w:tcBorders>
              <w:top w:val="single" w:sz="4" w:space="0" w:color="000000"/>
              <w:left w:val="single" w:sz="4" w:space="0" w:color="000000"/>
              <w:bottom w:val="single" w:sz="4" w:space="0" w:color="000000"/>
              <w:right w:val="single" w:sz="4" w:space="0" w:color="E7E6E6"/>
            </w:tcBorders>
            <w:shd w:val="clear" w:color="auto" w:fill="FFFFFF" w:themeFill="background1"/>
            <w:tcMar>
              <w:top w:w="0" w:type="dxa"/>
              <w:left w:w="108" w:type="dxa"/>
              <w:bottom w:w="0" w:type="dxa"/>
              <w:right w:w="108" w:type="dxa"/>
            </w:tcMar>
          </w:tcPr>
          <w:p w14:paraId="3CA6005C" w14:textId="15F6E869" w:rsidR="00C8266B" w:rsidRDefault="00EB1F81" w:rsidP="00A4184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Pettit </w:t>
            </w:r>
          </w:p>
          <w:p w14:paraId="3E510ADE" w14:textId="25FE6C77" w:rsidR="009272DF" w:rsidRDefault="009272DF" w:rsidP="00A4184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9272DF">
              <w:rPr>
                <w:rFonts w:ascii="Arial" w:eastAsia="Times New Roman" w:hAnsi="Arial" w:cs="Arial"/>
                <w:color w:val="000000"/>
                <w:sz w:val="20"/>
                <w:szCs w:val="20"/>
              </w:rPr>
              <w:t>2015</w:t>
            </w:r>
            <w:r>
              <w:rPr>
                <w:rFonts w:ascii="Arial" w:eastAsia="Times New Roman" w:hAnsi="Arial" w:cs="Arial"/>
                <w:color w:val="000000"/>
                <w:sz w:val="20"/>
                <w:szCs w:val="20"/>
              </w:rPr>
              <w:t>)</w:t>
            </w:r>
          </w:p>
        </w:tc>
        <w:tc>
          <w:tcPr>
            <w:tcW w:w="1103" w:type="dxa"/>
            <w:tcBorders>
              <w:top w:val="single" w:sz="4" w:space="0" w:color="000000"/>
              <w:left w:val="single" w:sz="4" w:space="0" w:color="E7E6E6"/>
              <w:bottom w:val="single" w:sz="4" w:space="0" w:color="000000"/>
              <w:right w:val="single" w:sz="4" w:space="0" w:color="E7E6E6"/>
            </w:tcBorders>
            <w:shd w:val="clear" w:color="auto" w:fill="FFFFFF" w:themeFill="background1"/>
            <w:tcMar>
              <w:top w:w="0" w:type="dxa"/>
              <w:left w:w="108" w:type="dxa"/>
              <w:bottom w:w="0" w:type="dxa"/>
              <w:right w:w="108" w:type="dxa"/>
            </w:tcMar>
            <w:vAlign w:val="center"/>
          </w:tcPr>
          <w:p w14:paraId="461AC2BC" w14:textId="38E415ED" w:rsidR="00EB1F81"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High</w:t>
            </w:r>
          </w:p>
        </w:tc>
        <w:tc>
          <w:tcPr>
            <w:tcW w:w="0" w:type="auto"/>
            <w:tcBorders>
              <w:top w:val="single" w:sz="4" w:space="0" w:color="000000"/>
              <w:left w:val="single" w:sz="4" w:space="0" w:color="E7E6E6"/>
              <w:bottom w:val="single" w:sz="4" w:space="0" w:color="000000"/>
              <w:right w:val="single" w:sz="4" w:space="0" w:color="E7E6E6"/>
            </w:tcBorders>
            <w:shd w:val="clear" w:color="auto" w:fill="FFFFFF" w:themeFill="background1"/>
            <w:tcMar>
              <w:top w:w="0" w:type="dxa"/>
              <w:left w:w="108" w:type="dxa"/>
              <w:bottom w:w="0" w:type="dxa"/>
              <w:right w:w="108" w:type="dxa"/>
            </w:tcMar>
            <w:vAlign w:val="center"/>
          </w:tcPr>
          <w:p w14:paraId="0BAD8935" w14:textId="37CB3412" w:rsidR="00EB1F81" w:rsidRPr="00EB1F81" w:rsidRDefault="00EB1F81" w:rsidP="00EB1F81">
            <w:pPr>
              <w:spacing w:after="0" w:line="240" w:lineRule="auto"/>
              <w:jc w:val="center"/>
              <w:rPr>
                <w:rFonts w:ascii="Times New Roman" w:eastAsia="Times New Roman" w:hAnsi="Times New Roman" w:cs="Times New Roman"/>
                <w:sz w:val="24"/>
                <w:szCs w:val="24"/>
              </w:rPr>
            </w:pPr>
            <w:r w:rsidRPr="00EB1F81">
              <w:rPr>
                <w:rFonts w:ascii="Times New Roman" w:eastAsia="Times New Roman" w:hAnsi="Times New Roman" w:cs="Times New Roman"/>
                <w:sz w:val="24"/>
                <w:szCs w:val="24"/>
              </w:rPr>
              <w:t>Low</w:t>
            </w:r>
          </w:p>
        </w:tc>
        <w:tc>
          <w:tcPr>
            <w:tcW w:w="0" w:type="auto"/>
            <w:tcBorders>
              <w:top w:val="single" w:sz="4" w:space="0" w:color="000000"/>
              <w:left w:val="single" w:sz="4" w:space="0" w:color="E7E6E6"/>
              <w:bottom w:val="single" w:sz="4" w:space="0" w:color="000000"/>
              <w:right w:val="single" w:sz="4" w:space="0" w:color="E7E6E6"/>
            </w:tcBorders>
            <w:shd w:val="clear" w:color="auto" w:fill="FFFFFF" w:themeFill="background1"/>
            <w:vAlign w:val="center"/>
          </w:tcPr>
          <w:p w14:paraId="1B7560BE" w14:textId="77777777" w:rsidR="00EB1F81" w:rsidRPr="00EB1F81" w:rsidRDefault="00EB1F81" w:rsidP="00EB1F81">
            <w:pPr>
              <w:spacing w:after="0" w:line="240" w:lineRule="auto"/>
              <w:jc w:val="center"/>
              <w:rPr>
                <w:rFonts w:ascii="Arial" w:eastAsia="Times New Roman" w:hAnsi="Arial" w:cs="Arial"/>
                <w:color w:val="000000"/>
                <w:sz w:val="20"/>
                <w:szCs w:val="20"/>
              </w:rPr>
            </w:pPr>
          </w:p>
        </w:tc>
        <w:tc>
          <w:tcPr>
            <w:tcW w:w="0" w:type="auto"/>
            <w:tcBorders>
              <w:top w:val="single" w:sz="4" w:space="0" w:color="000000"/>
              <w:left w:val="single" w:sz="4" w:space="0" w:color="E7E6E6"/>
              <w:bottom w:val="single" w:sz="4" w:space="0" w:color="000000"/>
              <w:right w:val="single" w:sz="4" w:space="0" w:color="E7E6E6"/>
            </w:tcBorders>
            <w:shd w:val="clear" w:color="auto" w:fill="FFFFFF" w:themeFill="background1"/>
            <w:tcMar>
              <w:top w:w="0" w:type="dxa"/>
              <w:left w:w="108" w:type="dxa"/>
              <w:bottom w:w="0" w:type="dxa"/>
              <w:right w:w="108" w:type="dxa"/>
            </w:tcMar>
            <w:vAlign w:val="center"/>
          </w:tcPr>
          <w:p w14:paraId="010D0C21" w14:textId="1172FAB5" w:rsidR="00EB1F81"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Low</w:t>
            </w:r>
          </w:p>
        </w:tc>
        <w:tc>
          <w:tcPr>
            <w:tcW w:w="0" w:type="auto"/>
            <w:tcBorders>
              <w:top w:val="single" w:sz="4" w:space="0" w:color="000000"/>
              <w:left w:val="single" w:sz="4" w:space="0" w:color="E7E6E6"/>
              <w:bottom w:val="single" w:sz="4" w:space="0" w:color="000000"/>
              <w:right w:val="single" w:sz="4" w:space="0" w:color="E7E6E6"/>
            </w:tcBorders>
            <w:shd w:val="clear" w:color="auto" w:fill="FFFFFF" w:themeFill="background1"/>
            <w:vAlign w:val="center"/>
          </w:tcPr>
          <w:p w14:paraId="6C96FCD1" w14:textId="3AEF0AD1" w:rsidR="00EB1F81"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Low</w:t>
            </w:r>
          </w:p>
        </w:tc>
        <w:tc>
          <w:tcPr>
            <w:tcW w:w="0" w:type="auto"/>
            <w:tcBorders>
              <w:top w:val="single" w:sz="4" w:space="0" w:color="000000"/>
              <w:left w:val="single" w:sz="4" w:space="0" w:color="E7E6E6"/>
              <w:bottom w:val="single" w:sz="4" w:space="0" w:color="000000"/>
              <w:right w:val="single" w:sz="4" w:space="0" w:color="E7E6E6"/>
            </w:tcBorders>
            <w:shd w:val="clear" w:color="auto" w:fill="FFFFFF" w:themeFill="background1"/>
            <w:vAlign w:val="center"/>
          </w:tcPr>
          <w:p w14:paraId="776DCBEB" w14:textId="307B430B" w:rsidR="00EB1F81"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Moderate</w:t>
            </w:r>
          </w:p>
        </w:tc>
        <w:tc>
          <w:tcPr>
            <w:tcW w:w="0" w:type="auto"/>
            <w:tcBorders>
              <w:top w:val="single" w:sz="4" w:space="0" w:color="000000"/>
              <w:left w:val="single" w:sz="4" w:space="0" w:color="E7E6E6"/>
              <w:bottom w:val="single" w:sz="4" w:space="0" w:color="000000"/>
              <w:right w:val="single" w:sz="4" w:space="0" w:color="E7E6E6"/>
            </w:tcBorders>
            <w:shd w:val="clear" w:color="auto" w:fill="FFFFFF" w:themeFill="background1"/>
            <w:vAlign w:val="center"/>
          </w:tcPr>
          <w:p w14:paraId="4A34F4A0" w14:textId="44A8B90B" w:rsidR="00EB1F81"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Moderate</w:t>
            </w:r>
          </w:p>
        </w:tc>
        <w:tc>
          <w:tcPr>
            <w:tcW w:w="0" w:type="auto"/>
            <w:tcBorders>
              <w:top w:val="single" w:sz="4" w:space="0" w:color="000000"/>
              <w:left w:val="single" w:sz="4" w:space="0" w:color="E7E6E6"/>
              <w:bottom w:val="single" w:sz="4" w:space="0" w:color="000000"/>
              <w:right w:val="single" w:sz="4" w:space="0" w:color="E7E6E6"/>
            </w:tcBorders>
            <w:shd w:val="clear" w:color="auto" w:fill="FFFFFF" w:themeFill="background1"/>
            <w:vAlign w:val="center"/>
          </w:tcPr>
          <w:p w14:paraId="6C997A82" w14:textId="4A3B76E3" w:rsidR="00EB1F81"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Low</w:t>
            </w:r>
          </w:p>
        </w:tc>
        <w:tc>
          <w:tcPr>
            <w:tcW w:w="0" w:type="auto"/>
            <w:tcBorders>
              <w:top w:val="single" w:sz="4" w:space="0" w:color="000000"/>
              <w:left w:val="single" w:sz="4" w:space="0" w:color="E7E6E6"/>
              <w:bottom w:val="single" w:sz="4" w:space="0" w:color="000000"/>
              <w:right w:val="single" w:sz="4" w:space="0" w:color="E7E6E6"/>
            </w:tcBorders>
            <w:shd w:val="clear" w:color="auto" w:fill="FFFFFF" w:themeFill="background1"/>
            <w:vAlign w:val="center"/>
          </w:tcPr>
          <w:p w14:paraId="56FDCC01" w14:textId="043CCD56" w:rsidR="00EB1F81" w:rsidRPr="00EB1F81" w:rsidRDefault="00EB1F81" w:rsidP="00EB1F81">
            <w:pPr>
              <w:spacing w:after="0" w:line="240" w:lineRule="auto"/>
              <w:jc w:val="center"/>
              <w:rPr>
                <w:rFonts w:ascii="Arial" w:eastAsia="Times New Roman" w:hAnsi="Arial" w:cs="Arial"/>
                <w:color w:val="000000"/>
                <w:sz w:val="20"/>
                <w:szCs w:val="20"/>
              </w:rPr>
            </w:pPr>
          </w:p>
        </w:tc>
        <w:tc>
          <w:tcPr>
            <w:tcW w:w="0" w:type="auto"/>
            <w:tcBorders>
              <w:top w:val="single" w:sz="4" w:space="0" w:color="000000"/>
              <w:left w:val="single" w:sz="4" w:space="0" w:color="E7E6E6"/>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1882917" w14:textId="10DAB1F4" w:rsidR="00EB1F81" w:rsidRPr="00EB1F81" w:rsidRDefault="00EB1F81" w:rsidP="00EB1F81">
            <w:pPr>
              <w:spacing w:after="0" w:line="240" w:lineRule="auto"/>
              <w:jc w:val="center"/>
              <w:rPr>
                <w:rFonts w:ascii="Arial" w:eastAsia="Times New Roman" w:hAnsi="Arial" w:cs="Arial"/>
                <w:color w:val="000000"/>
                <w:sz w:val="20"/>
                <w:szCs w:val="20"/>
              </w:rPr>
            </w:pPr>
            <w:r w:rsidRPr="00EB1F81">
              <w:rPr>
                <w:rFonts w:ascii="Arial" w:eastAsia="Times New Roman" w:hAnsi="Arial" w:cs="Arial"/>
                <w:color w:val="000000"/>
                <w:sz w:val="20"/>
                <w:szCs w:val="20"/>
              </w:rPr>
              <w:t>High</w:t>
            </w:r>
          </w:p>
        </w:tc>
      </w:tr>
    </w:tbl>
    <w:p w14:paraId="0CFAD2F4" w14:textId="77777777" w:rsidR="00801026" w:rsidRPr="004339C8" w:rsidRDefault="00801026" w:rsidP="00A4184F">
      <w:pPr>
        <w:spacing w:line="480" w:lineRule="auto"/>
        <w:rPr>
          <w:rStyle w:val="Lienhypertexte"/>
          <w:rFonts w:ascii="Arial" w:hAnsi="Arial" w:cs="Arial"/>
          <w:b/>
          <w:bCs/>
          <w:sz w:val="24"/>
          <w:szCs w:val="24"/>
          <w:shd w:val="clear" w:color="auto" w:fill="FFFFFF"/>
        </w:rPr>
      </w:pPr>
      <w:r w:rsidRPr="004339C8">
        <w:rPr>
          <w:rStyle w:val="Lienhypertexte"/>
          <w:rFonts w:ascii="Arial" w:hAnsi="Arial" w:cs="Arial"/>
          <w:b/>
          <w:bCs/>
          <w:sz w:val="24"/>
          <w:szCs w:val="24"/>
          <w:shd w:val="clear" w:color="auto" w:fill="FFFFFF"/>
        </w:rPr>
        <w:br w:type="page"/>
      </w:r>
    </w:p>
    <w:p w14:paraId="0D7B82BB" w14:textId="77777777" w:rsidR="00801026" w:rsidRPr="004339C8" w:rsidRDefault="00801026" w:rsidP="00A4184F">
      <w:pPr>
        <w:spacing w:line="480" w:lineRule="auto"/>
        <w:rPr>
          <w:rStyle w:val="Lienhypertexte"/>
          <w:rFonts w:ascii="Arial" w:hAnsi="Arial" w:cs="Arial"/>
          <w:b/>
          <w:bCs/>
          <w:sz w:val="24"/>
          <w:szCs w:val="24"/>
          <w:shd w:val="clear" w:color="auto" w:fill="FFFFFF"/>
        </w:rPr>
        <w:sectPr w:rsidR="00801026" w:rsidRPr="004339C8" w:rsidSect="00A4184F">
          <w:pgSz w:w="15840" w:h="12240" w:orient="landscape"/>
          <w:pgMar w:top="1440" w:right="1440" w:bottom="1440" w:left="1440" w:header="720" w:footer="720" w:gutter="0"/>
          <w:lnNumType w:countBy="1" w:restart="continuous"/>
          <w:cols w:space="720"/>
          <w:docGrid w:linePitch="360"/>
        </w:sectPr>
      </w:pPr>
    </w:p>
    <w:p w14:paraId="5652FA3A" w14:textId="296510A9" w:rsidR="00801026" w:rsidRPr="00640354" w:rsidRDefault="00801026" w:rsidP="00A4184F">
      <w:pPr>
        <w:spacing w:after="0" w:line="240" w:lineRule="auto"/>
        <w:rPr>
          <w:rFonts w:ascii="Arial" w:hAnsi="Arial" w:cs="Arial"/>
          <w:sz w:val="24"/>
          <w:szCs w:val="24"/>
        </w:rPr>
      </w:pPr>
      <w:r w:rsidRPr="00640354">
        <w:rPr>
          <w:rFonts w:ascii="Arial" w:hAnsi="Arial" w:cs="Arial"/>
          <w:b/>
          <w:bCs/>
          <w:sz w:val="24"/>
          <w:szCs w:val="24"/>
        </w:rPr>
        <w:lastRenderedPageBreak/>
        <w:t>Supplementary</w:t>
      </w:r>
      <w:r w:rsidRPr="004339C8">
        <w:rPr>
          <w:rStyle w:val="Lienhypertexte"/>
          <w:rFonts w:ascii="Arial" w:hAnsi="Arial" w:cs="Arial"/>
          <w:b/>
          <w:bCs/>
          <w:sz w:val="24"/>
          <w:szCs w:val="24"/>
          <w:shd w:val="clear" w:color="auto" w:fill="FFFFFF"/>
        </w:rPr>
        <w:t xml:space="preserve"> </w:t>
      </w:r>
      <w:r w:rsidRPr="00640354">
        <w:rPr>
          <w:rFonts w:ascii="Arial" w:hAnsi="Arial" w:cs="Arial"/>
          <w:b/>
          <w:bCs/>
          <w:sz w:val="24"/>
          <w:szCs w:val="24"/>
        </w:rPr>
        <w:t>Table 2.</w:t>
      </w:r>
      <w:r w:rsidRPr="00640354">
        <w:rPr>
          <w:rFonts w:ascii="Arial" w:hAnsi="Arial" w:cs="Arial"/>
          <w:sz w:val="24"/>
          <w:szCs w:val="24"/>
        </w:rPr>
        <w:t xml:space="preserve"> Risk of Bias</w:t>
      </w:r>
      <w:r w:rsidR="00461B3A" w:rsidRPr="00640354">
        <w:rPr>
          <w:rFonts w:ascii="Arial" w:hAnsi="Arial" w:cs="Arial"/>
          <w:sz w:val="24"/>
          <w:szCs w:val="24"/>
        </w:rPr>
        <w:t xml:space="preserve"> 2</w:t>
      </w:r>
      <w:r w:rsidRPr="00640354">
        <w:rPr>
          <w:rFonts w:ascii="Arial" w:hAnsi="Arial" w:cs="Arial"/>
          <w:sz w:val="24"/>
          <w:szCs w:val="24"/>
        </w:rPr>
        <w:t xml:space="preserve"> Quality Assessments</w:t>
      </w:r>
    </w:p>
    <w:tbl>
      <w:tblPr>
        <w:tblW w:w="5000" w:type="pct"/>
        <w:tblCellMar>
          <w:top w:w="15" w:type="dxa"/>
          <w:left w:w="15" w:type="dxa"/>
          <w:bottom w:w="15" w:type="dxa"/>
          <w:right w:w="15" w:type="dxa"/>
        </w:tblCellMar>
        <w:tblLook w:val="04A0" w:firstRow="1" w:lastRow="0" w:firstColumn="1" w:lastColumn="0" w:noHBand="0" w:noVBand="1"/>
      </w:tblPr>
      <w:tblGrid>
        <w:gridCol w:w="2235"/>
        <w:gridCol w:w="1893"/>
        <w:gridCol w:w="62"/>
        <w:gridCol w:w="1891"/>
        <w:gridCol w:w="1909"/>
        <w:gridCol w:w="1909"/>
        <w:gridCol w:w="1909"/>
        <w:gridCol w:w="1142"/>
      </w:tblGrid>
      <w:tr w:rsidR="00640354" w:rsidRPr="004339C8" w14:paraId="064E6F77" w14:textId="77777777" w:rsidTr="00640354">
        <w:tc>
          <w:tcPr>
            <w:tcW w:w="863" w:type="pct"/>
            <w:tcBorders>
              <w:top w:val="single" w:sz="4" w:space="0" w:color="000000"/>
              <w:left w:val="single" w:sz="4" w:space="0" w:color="000000"/>
              <w:bottom w:val="single" w:sz="4" w:space="0" w:color="000000"/>
              <w:right w:val="single" w:sz="4" w:space="0" w:color="FFFFFF"/>
            </w:tcBorders>
            <w:tcMar>
              <w:top w:w="0" w:type="dxa"/>
              <w:left w:w="108" w:type="dxa"/>
              <w:bottom w:w="0" w:type="dxa"/>
              <w:right w:w="108" w:type="dxa"/>
            </w:tcMar>
            <w:hideMark/>
          </w:tcPr>
          <w:p w14:paraId="4856690C" w14:textId="77777777" w:rsidR="00640354" w:rsidRPr="00744195" w:rsidRDefault="00640354" w:rsidP="00640354">
            <w:pPr>
              <w:spacing w:after="0" w:line="240" w:lineRule="auto"/>
              <w:rPr>
                <w:rFonts w:ascii="Times New Roman" w:eastAsia="Times New Roman" w:hAnsi="Times New Roman" w:cs="Times New Roman"/>
                <w:sz w:val="24"/>
                <w:szCs w:val="24"/>
              </w:rPr>
            </w:pPr>
            <w:r w:rsidRPr="00744195">
              <w:rPr>
                <w:rFonts w:ascii="Arial" w:eastAsia="Times New Roman" w:hAnsi="Arial" w:cs="Arial"/>
                <w:color w:val="000000"/>
                <w:sz w:val="20"/>
                <w:szCs w:val="20"/>
              </w:rPr>
              <w:t>Author</w:t>
            </w:r>
          </w:p>
          <w:p w14:paraId="3608D35E" w14:textId="77777777" w:rsidR="00640354" w:rsidRPr="00744195" w:rsidRDefault="00640354" w:rsidP="00640354">
            <w:pPr>
              <w:spacing w:after="0" w:line="240" w:lineRule="auto"/>
              <w:rPr>
                <w:rFonts w:ascii="Times New Roman" w:eastAsia="Times New Roman" w:hAnsi="Times New Roman" w:cs="Times New Roman"/>
                <w:sz w:val="24"/>
                <w:szCs w:val="24"/>
              </w:rPr>
            </w:pPr>
          </w:p>
        </w:tc>
        <w:tc>
          <w:tcPr>
            <w:tcW w:w="731" w:type="pct"/>
            <w:tcBorders>
              <w:top w:val="single" w:sz="4" w:space="0" w:color="000000"/>
              <w:left w:val="single" w:sz="4" w:space="0" w:color="FFFFFF"/>
              <w:bottom w:val="single" w:sz="4" w:space="0" w:color="000000"/>
              <w:right w:val="single" w:sz="4" w:space="0" w:color="FFFFFF"/>
            </w:tcBorders>
            <w:tcMar>
              <w:top w:w="0" w:type="dxa"/>
              <w:left w:w="108" w:type="dxa"/>
              <w:bottom w:w="0" w:type="dxa"/>
              <w:right w:w="108" w:type="dxa"/>
            </w:tcMar>
            <w:hideMark/>
          </w:tcPr>
          <w:p w14:paraId="0BA1871B" w14:textId="2793A086" w:rsidR="00640354" w:rsidRPr="00744195" w:rsidRDefault="00640354" w:rsidP="0064035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Domain A</w:t>
            </w:r>
          </w:p>
        </w:tc>
        <w:tc>
          <w:tcPr>
            <w:tcW w:w="24" w:type="pct"/>
            <w:tcBorders>
              <w:top w:val="single" w:sz="4" w:space="0" w:color="000000"/>
              <w:left w:val="single" w:sz="4" w:space="0" w:color="FFFFFF"/>
              <w:bottom w:val="single" w:sz="4" w:space="0" w:color="000000"/>
              <w:right w:val="single" w:sz="4" w:space="0" w:color="FFFFFF"/>
            </w:tcBorders>
          </w:tcPr>
          <w:p w14:paraId="2EFE7F64" w14:textId="77777777" w:rsidR="00640354" w:rsidRDefault="00640354" w:rsidP="00640354">
            <w:pPr>
              <w:spacing w:after="0" w:line="240" w:lineRule="auto"/>
              <w:rPr>
                <w:rFonts w:ascii="Arial" w:eastAsia="Times New Roman" w:hAnsi="Arial" w:cs="Arial"/>
                <w:color w:val="000000"/>
                <w:sz w:val="20"/>
                <w:szCs w:val="20"/>
              </w:rPr>
            </w:pPr>
          </w:p>
        </w:tc>
        <w:tc>
          <w:tcPr>
            <w:tcW w:w="730" w:type="pct"/>
            <w:tcBorders>
              <w:top w:val="single" w:sz="4" w:space="0" w:color="000000"/>
              <w:left w:val="single" w:sz="4" w:space="0" w:color="FFFFFF"/>
              <w:bottom w:val="single" w:sz="4" w:space="0" w:color="000000"/>
              <w:right w:val="single" w:sz="4" w:space="0" w:color="FFFFFF"/>
            </w:tcBorders>
            <w:tcMar>
              <w:top w:w="0" w:type="dxa"/>
              <w:left w:w="108" w:type="dxa"/>
              <w:bottom w:w="0" w:type="dxa"/>
              <w:right w:w="108" w:type="dxa"/>
            </w:tcMar>
            <w:hideMark/>
          </w:tcPr>
          <w:p w14:paraId="4EC8D500" w14:textId="2AD45646" w:rsidR="00640354" w:rsidRPr="00744195" w:rsidRDefault="00640354" w:rsidP="0064035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Domain B</w:t>
            </w:r>
          </w:p>
        </w:tc>
        <w:tc>
          <w:tcPr>
            <w:tcW w:w="737" w:type="pct"/>
            <w:tcBorders>
              <w:top w:val="single" w:sz="4" w:space="0" w:color="000000"/>
              <w:left w:val="single" w:sz="4" w:space="0" w:color="FFFFFF"/>
              <w:bottom w:val="single" w:sz="4" w:space="0" w:color="000000"/>
              <w:right w:val="single" w:sz="4" w:space="0" w:color="FFFFFF"/>
            </w:tcBorders>
            <w:tcMar>
              <w:top w:w="0" w:type="dxa"/>
              <w:left w:w="108" w:type="dxa"/>
              <w:bottom w:w="0" w:type="dxa"/>
              <w:right w:w="108" w:type="dxa"/>
            </w:tcMar>
            <w:hideMark/>
          </w:tcPr>
          <w:p w14:paraId="09A031B4" w14:textId="00BDEDF1" w:rsidR="00640354" w:rsidRPr="00744195" w:rsidRDefault="00640354" w:rsidP="0064035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Domain C</w:t>
            </w:r>
          </w:p>
        </w:tc>
        <w:tc>
          <w:tcPr>
            <w:tcW w:w="737" w:type="pct"/>
            <w:tcBorders>
              <w:top w:val="single" w:sz="4" w:space="0" w:color="000000"/>
              <w:left w:val="single" w:sz="4" w:space="0" w:color="FFFFFF"/>
              <w:bottom w:val="single" w:sz="4" w:space="0" w:color="000000"/>
              <w:right w:val="single" w:sz="4" w:space="0" w:color="FFFFFF"/>
            </w:tcBorders>
            <w:tcMar>
              <w:top w:w="0" w:type="dxa"/>
              <w:left w:w="108" w:type="dxa"/>
              <w:bottom w:w="0" w:type="dxa"/>
              <w:right w:w="108" w:type="dxa"/>
            </w:tcMar>
            <w:hideMark/>
          </w:tcPr>
          <w:p w14:paraId="619F6B8E" w14:textId="52869E3F" w:rsidR="00640354" w:rsidRPr="00744195" w:rsidRDefault="00640354" w:rsidP="0064035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Domain D</w:t>
            </w:r>
          </w:p>
        </w:tc>
        <w:tc>
          <w:tcPr>
            <w:tcW w:w="737" w:type="pct"/>
            <w:tcBorders>
              <w:top w:val="single" w:sz="4" w:space="0" w:color="000000"/>
              <w:left w:val="single" w:sz="4" w:space="0" w:color="FFFFFF"/>
              <w:bottom w:val="single" w:sz="4" w:space="0" w:color="000000"/>
              <w:right w:val="single" w:sz="4" w:space="0" w:color="FFFFFF"/>
            </w:tcBorders>
            <w:tcMar>
              <w:top w:w="0" w:type="dxa"/>
              <w:left w:w="108" w:type="dxa"/>
              <w:bottom w:w="0" w:type="dxa"/>
              <w:right w:w="108" w:type="dxa"/>
            </w:tcMar>
            <w:hideMark/>
          </w:tcPr>
          <w:p w14:paraId="3BEE0406" w14:textId="797265E9" w:rsidR="00640354" w:rsidRPr="00744195" w:rsidRDefault="00640354" w:rsidP="0064035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Domain </w:t>
            </w:r>
            <w:r w:rsidR="007D6126">
              <w:rPr>
                <w:rFonts w:ascii="Arial" w:eastAsia="Times New Roman" w:hAnsi="Arial" w:cs="Arial"/>
                <w:color w:val="000000"/>
                <w:sz w:val="20"/>
                <w:szCs w:val="20"/>
              </w:rPr>
              <w:t>E</w:t>
            </w:r>
          </w:p>
        </w:tc>
        <w:tc>
          <w:tcPr>
            <w:tcW w:w="441" w:type="pct"/>
            <w:tcBorders>
              <w:top w:val="single" w:sz="4" w:space="0" w:color="000000"/>
              <w:left w:val="single" w:sz="4" w:space="0" w:color="FFFFFF"/>
              <w:bottom w:val="single" w:sz="4" w:space="0" w:color="000000"/>
              <w:right w:val="single" w:sz="4" w:space="0" w:color="auto"/>
            </w:tcBorders>
            <w:tcMar>
              <w:top w:w="0" w:type="dxa"/>
              <w:left w:w="108" w:type="dxa"/>
              <w:bottom w:w="0" w:type="dxa"/>
              <w:right w:w="108" w:type="dxa"/>
            </w:tcMar>
            <w:vAlign w:val="center"/>
            <w:hideMark/>
          </w:tcPr>
          <w:p w14:paraId="351D2110" w14:textId="122E33D1" w:rsidR="00640354" w:rsidRPr="00744195" w:rsidRDefault="00640354" w:rsidP="0064035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Overall risk of bias</w:t>
            </w:r>
          </w:p>
        </w:tc>
      </w:tr>
      <w:tr w:rsidR="00640354" w:rsidRPr="004339C8" w14:paraId="6A1D1A01" w14:textId="77777777" w:rsidTr="00640354">
        <w:tc>
          <w:tcPr>
            <w:tcW w:w="863" w:type="pct"/>
            <w:tcBorders>
              <w:top w:val="single" w:sz="4" w:space="0" w:color="000000"/>
              <w:left w:val="single" w:sz="4" w:space="0" w:color="000000"/>
              <w:bottom w:val="single" w:sz="4" w:space="0" w:color="000000"/>
              <w:right w:val="single" w:sz="4" w:space="0" w:color="E7E6E6"/>
            </w:tcBorders>
            <w:shd w:val="clear" w:color="auto" w:fill="E7E6E6"/>
            <w:tcMar>
              <w:top w:w="0" w:type="dxa"/>
              <w:left w:w="108" w:type="dxa"/>
              <w:bottom w:w="0" w:type="dxa"/>
              <w:right w:w="108" w:type="dxa"/>
            </w:tcMar>
            <w:hideMark/>
          </w:tcPr>
          <w:p w14:paraId="4BBF38B6" w14:textId="5C1078B8" w:rsidR="00640354" w:rsidRPr="009272DF" w:rsidRDefault="00EB1F81" w:rsidP="009272DF">
            <w:pPr>
              <w:spacing w:after="0" w:line="240" w:lineRule="auto"/>
              <w:rPr>
                <w:rFonts w:ascii="Arial" w:eastAsia="Times New Roman" w:hAnsi="Arial" w:cs="Arial"/>
                <w:sz w:val="20"/>
                <w:szCs w:val="20"/>
              </w:rPr>
            </w:pPr>
            <w:r w:rsidRPr="009272DF">
              <w:rPr>
                <w:rFonts w:ascii="Arial" w:eastAsia="Times New Roman" w:hAnsi="Arial" w:cs="Arial"/>
                <w:color w:val="000000"/>
                <w:sz w:val="20"/>
                <w:szCs w:val="20"/>
              </w:rPr>
              <w:t xml:space="preserve">Brendish </w:t>
            </w:r>
          </w:p>
          <w:p w14:paraId="0A16E467" w14:textId="2BDDD2B8" w:rsidR="009272DF" w:rsidRPr="009272DF" w:rsidRDefault="009272DF" w:rsidP="009272DF">
            <w:pPr>
              <w:spacing w:after="0" w:line="240" w:lineRule="auto"/>
              <w:rPr>
                <w:rFonts w:ascii="Arial" w:eastAsia="Times New Roman" w:hAnsi="Arial" w:cs="Arial"/>
                <w:sz w:val="20"/>
                <w:szCs w:val="20"/>
              </w:rPr>
            </w:pPr>
            <w:r w:rsidRPr="009272DF">
              <w:rPr>
                <w:rFonts w:ascii="Arial" w:eastAsia="Times New Roman" w:hAnsi="Arial" w:cs="Arial"/>
                <w:color w:val="000000"/>
                <w:sz w:val="20"/>
                <w:szCs w:val="20"/>
              </w:rPr>
              <w:t>(2017)</w:t>
            </w:r>
          </w:p>
        </w:tc>
        <w:tc>
          <w:tcPr>
            <w:tcW w:w="731" w:type="pct"/>
            <w:tcBorders>
              <w:top w:val="single" w:sz="4" w:space="0" w:color="000000"/>
              <w:left w:val="single" w:sz="4" w:space="0" w:color="E7E6E6"/>
              <w:bottom w:val="single" w:sz="4" w:space="0" w:color="000000"/>
              <w:right w:val="single" w:sz="4" w:space="0" w:color="E7E6E6"/>
            </w:tcBorders>
            <w:shd w:val="clear" w:color="auto" w:fill="E7E6E6"/>
            <w:tcMar>
              <w:top w:w="0" w:type="dxa"/>
              <w:left w:w="108" w:type="dxa"/>
              <w:bottom w:w="0" w:type="dxa"/>
              <w:right w:w="108" w:type="dxa"/>
            </w:tcMar>
            <w:hideMark/>
          </w:tcPr>
          <w:p w14:paraId="2B44F16D" w14:textId="3A60F71C" w:rsidR="00640354" w:rsidRPr="00744195" w:rsidRDefault="007D6126" w:rsidP="0064035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Low</w:t>
            </w:r>
          </w:p>
        </w:tc>
        <w:tc>
          <w:tcPr>
            <w:tcW w:w="24" w:type="pct"/>
            <w:tcBorders>
              <w:top w:val="single" w:sz="4" w:space="0" w:color="000000"/>
              <w:left w:val="single" w:sz="4" w:space="0" w:color="E7E6E6"/>
              <w:bottom w:val="single" w:sz="4" w:space="0" w:color="000000"/>
              <w:right w:val="single" w:sz="4" w:space="0" w:color="E7E6E6"/>
            </w:tcBorders>
            <w:shd w:val="clear" w:color="auto" w:fill="E7E6E6"/>
          </w:tcPr>
          <w:p w14:paraId="1F15E8FA" w14:textId="77777777" w:rsidR="00640354" w:rsidRPr="00744195" w:rsidRDefault="00640354" w:rsidP="00640354">
            <w:pPr>
              <w:spacing w:after="0" w:line="240" w:lineRule="auto"/>
              <w:rPr>
                <w:rFonts w:ascii="Arial" w:eastAsia="Times New Roman" w:hAnsi="Arial" w:cs="Arial"/>
                <w:color w:val="000000"/>
                <w:sz w:val="20"/>
                <w:szCs w:val="20"/>
              </w:rPr>
            </w:pPr>
          </w:p>
        </w:tc>
        <w:tc>
          <w:tcPr>
            <w:tcW w:w="730" w:type="pct"/>
            <w:tcBorders>
              <w:top w:val="single" w:sz="4" w:space="0" w:color="000000"/>
              <w:left w:val="single" w:sz="4" w:space="0" w:color="E7E6E6"/>
              <w:bottom w:val="single" w:sz="4" w:space="0" w:color="000000"/>
              <w:right w:val="single" w:sz="4" w:space="0" w:color="E7E6E6"/>
            </w:tcBorders>
            <w:shd w:val="clear" w:color="auto" w:fill="E7E6E6"/>
            <w:tcMar>
              <w:top w:w="0" w:type="dxa"/>
              <w:left w:w="108" w:type="dxa"/>
              <w:bottom w:w="0" w:type="dxa"/>
              <w:right w:w="108" w:type="dxa"/>
            </w:tcMar>
            <w:hideMark/>
          </w:tcPr>
          <w:p w14:paraId="0EEEAA4F" w14:textId="7469EF80" w:rsidR="00640354" w:rsidRPr="00744195" w:rsidRDefault="00640354" w:rsidP="00640354">
            <w:pPr>
              <w:spacing w:after="0" w:line="240" w:lineRule="auto"/>
              <w:rPr>
                <w:rFonts w:ascii="Times New Roman" w:eastAsia="Times New Roman" w:hAnsi="Times New Roman" w:cs="Times New Roman"/>
                <w:sz w:val="24"/>
                <w:szCs w:val="24"/>
              </w:rPr>
            </w:pPr>
            <w:r w:rsidRPr="00744195">
              <w:rPr>
                <w:rFonts w:ascii="Arial" w:eastAsia="Times New Roman" w:hAnsi="Arial" w:cs="Arial"/>
                <w:color w:val="000000"/>
                <w:sz w:val="20"/>
                <w:szCs w:val="20"/>
              </w:rPr>
              <w:t>Low</w:t>
            </w:r>
          </w:p>
        </w:tc>
        <w:tc>
          <w:tcPr>
            <w:tcW w:w="737" w:type="pct"/>
            <w:tcBorders>
              <w:top w:val="single" w:sz="4" w:space="0" w:color="000000"/>
              <w:left w:val="single" w:sz="4" w:space="0" w:color="E7E6E6"/>
              <w:bottom w:val="single" w:sz="4" w:space="0" w:color="000000"/>
              <w:right w:val="single" w:sz="4" w:space="0" w:color="E7E6E6"/>
            </w:tcBorders>
            <w:shd w:val="clear" w:color="auto" w:fill="E7E6E6"/>
            <w:tcMar>
              <w:top w:w="0" w:type="dxa"/>
              <w:left w:w="108" w:type="dxa"/>
              <w:bottom w:w="0" w:type="dxa"/>
              <w:right w:w="108" w:type="dxa"/>
            </w:tcMar>
            <w:hideMark/>
          </w:tcPr>
          <w:p w14:paraId="750845A7" w14:textId="54B0989C" w:rsidR="00640354" w:rsidRPr="00744195" w:rsidRDefault="007D6126" w:rsidP="0064035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Low</w:t>
            </w:r>
          </w:p>
        </w:tc>
        <w:tc>
          <w:tcPr>
            <w:tcW w:w="737" w:type="pct"/>
            <w:tcBorders>
              <w:top w:val="single" w:sz="4" w:space="0" w:color="000000"/>
              <w:left w:val="single" w:sz="4" w:space="0" w:color="E7E6E6"/>
              <w:bottom w:val="single" w:sz="4" w:space="0" w:color="000000"/>
              <w:right w:val="single" w:sz="4" w:space="0" w:color="E7E6E6"/>
            </w:tcBorders>
            <w:shd w:val="clear" w:color="auto" w:fill="E7E6E6"/>
            <w:tcMar>
              <w:top w:w="0" w:type="dxa"/>
              <w:left w:w="108" w:type="dxa"/>
              <w:bottom w:w="0" w:type="dxa"/>
              <w:right w:w="108" w:type="dxa"/>
            </w:tcMar>
            <w:hideMark/>
          </w:tcPr>
          <w:p w14:paraId="59651745" w14:textId="04B55698" w:rsidR="00640354" w:rsidRPr="00744195" w:rsidRDefault="007D6126" w:rsidP="00640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w:t>
            </w:r>
          </w:p>
        </w:tc>
        <w:tc>
          <w:tcPr>
            <w:tcW w:w="737" w:type="pct"/>
            <w:tcBorders>
              <w:top w:val="single" w:sz="4" w:space="0" w:color="000000"/>
              <w:left w:val="single" w:sz="4" w:space="0" w:color="E7E6E6"/>
              <w:bottom w:val="single" w:sz="4" w:space="0" w:color="000000"/>
              <w:right w:val="single" w:sz="4" w:space="0" w:color="E7E6E6"/>
            </w:tcBorders>
            <w:shd w:val="clear" w:color="auto" w:fill="E7E6E6"/>
            <w:tcMar>
              <w:top w:w="0" w:type="dxa"/>
              <w:left w:w="108" w:type="dxa"/>
              <w:bottom w:w="0" w:type="dxa"/>
              <w:right w:w="108" w:type="dxa"/>
            </w:tcMar>
            <w:hideMark/>
          </w:tcPr>
          <w:p w14:paraId="163A98CC" w14:textId="77777777" w:rsidR="00640354" w:rsidRPr="00744195" w:rsidRDefault="00640354" w:rsidP="00640354">
            <w:pPr>
              <w:spacing w:after="0" w:line="240" w:lineRule="auto"/>
              <w:rPr>
                <w:rFonts w:ascii="Times New Roman" w:eastAsia="Times New Roman" w:hAnsi="Times New Roman" w:cs="Times New Roman"/>
                <w:sz w:val="24"/>
                <w:szCs w:val="24"/>
              </w:rPr>
            </w:pPr>
            <w:r w:rsidRPr="00744195">
              <w:rPr>
                <w:rFonts w:ascii="Arial" w:eastAsia="Times New Roman" w:hAnsi="Arial" w:cs="Arial"/>
                <w:color w:val="000000"/>
                <w:sz w:val="20"/>
                <w:szCs w:val="20"/>
              </w:rPr>
              <w:t>Low</w:t>
            </w:r>
          </w:p>
        </w:tc>
        <w:tc>
          <w:tcPr>
            <w:tcW w:w="441" w:type="pct"/>
            <w:tcBorders>
              <w:top w:val="single" w:sz="4" w:space="0" w:color="000000"/>
              <w:left w:val="single" w:sz="4" w:space="0" w:color="E7E6E6"/>
              <w:bottom w:val="single" w:sz="4" w:space="0" w:color="000000"/>
              <w:right w:val="single" w:sz="4" w:space="0" w:color="auto"/>
            </w:tcBorders>
            <w:shd w:val="clear" w:color="auto" w:fill="E7E6E6"/>
            <w:tcMar>
              <w:top w:w="0" w:type="dxa"/>
              <w:left w:w="108" w:type="dxa"/>
              <w:bottom w:w="0" w:type="dxa"/>
              <w:right w:w="108" w:type="dxa"/>
            </w:tcMar>
            <w:hideMark/>
          </w:tcPr>
          <w:p w14:paraId="61047EB5" w14:textId="77777777" w:rsidR="00640354" w:rsidRPr="00744195" w:rsidRDefault="00640354" w:rsidP="00640354">
            <w:pPr>
              <w:spacing w:after="0" w:line="240" w:lineRule="auto"/>
              <w:rPr>
                <w:rFonts w:ascii="Times New Roman" w:eastAsia="Times New Roman" w:hAnsi="Times New Roman" w:cs="Times New Roman"/>
                <w:sz w:val="24"/>
                <w:szCs w:val="24"/>
              </w:rPr>
            </w:pPr>
            <w:r w:rsidRPr="00744195">
              <w:rPr>
                <w:rFonts w:ascii="Arial" w:eastAsia="Times New Roman" w:hAnsi="Arial" w:cs="Arial"/>
                <w:color w:val="000000"/>
                <w:sz w:val="20"/>
                <w:szCs w:val="20"/>
              </w:rPr>
              <w:t>Low</w:t>
            </w:r>
          </w:p>
        </w:tc>
      </w:tr>
      <w:tr w:rsidR="00640354" w:rsidRPr="004339C8" w14:paraId="100AD71B" w14:textId="77777777" w:rsidTr="00640354">
        <w:tc>
          <w:tcPr>
            <w:tcW w:w="863" w:type="pct"/>
            <w:tcBorders>
              <w:top w:val="single" w:sz="4" w:space="0" w:color="000000"/>
              <w:left w:val="single" w:sz="4" w:space="0" w:color="000000"/>
              <w:bottom w:val="single" w:sz="4" w:space="0" w:color="000000"/>
              <w:right w:val="single" w:sz="4" w:space="0" w:color="FFFFFF"/>
            </w:tcBorders>
            <w:tcMar>
              <w:top w:w="0" w:type="dxa"/>
              <w:left w:w="108" w:type="dxa"/>
              <w:bottom w:w="0" w:type="dxa"/>
              <w:right w:w="108" w:type="dxa"/>
            </w:tcMar>
            <w:hideMark/>
          </w:tcPr>
          <w:p w14:paraId="75176FE9" w14:textId="14E2CE49" w:rsidR="00C8266B" w:rsidRPr="009272DF" w:rsidRDefault="00EB1F81" w:rsidP="009272DF">
            <w:pPr>
              <w:spacing w:after="0" w:line="240" w:lineRule="auto"/>
              <w:rPr>
                <w:rFonts w:ascii="Arial" w:eastAsia="Times New Roman" w:hAnsi="Arial" w:cs="Arial"/>
                <w:sz w:val="20"/>
                <w:szCs w:val="20"/>
              </w:rPr>
            </w:pPr>
            <w:r w:rsidRPr="009272DF">
              <w:rPr>
                <w:rFonts w:ascii="Arial" w:eastAsia="Times New Roman" w:hAnsi="Arial" w:cs="Arial"/>
                <w:color w:val="000000"/>
                <w:sz w:val="20"/>
                <w:szCs w:val="20"/>
              </w:rPr>
              <w:t xml:space="preserve">Andrews </w:t>
            </w:r>
          </w:p>
          <w:p w14:paraId="797B9291" w14:textId="64BA8CE9" w:rsidR="009272DF" w:rsidRPr="009272DF" w:rsidRDefault="009272DF" w:rsidP="009272DF">
            <w:pPr>
              <w:spacing w:after="0" w:line="240" w:lineRule="auto"/>
              <w:rPr>
                <w:rFonts w:ascii="Arial" w:eastAsia="Times New Roman" w:hAnsi="Arial" w:cs="Arial"/>
                <w:sz w:val="20"/>
                <w:szCs w:val="20"/>
              </w:rPr>
            </w:pPr>
            <w:r w:rsidRPr="009272DF">
              <w:rPr>
                <w:rFonts w:ascii="Arial" w:eastAsia="Times New Roman" w:hAnsi="Arial" w:cs="Arial"/>
                <w:sz w:val="20"/>
                <w:szCs w:val="20"/>
              </w:rPr>
              <w:t>(2017)</w:t>
            </w:r>
          </w:p>
        </w:tc>
        <w:tc>
          <w:tcPr>
            <w:tcW w:w="731" w:type="pct"/>
            <w:tcBorders>
              <w:top w:val="single" w:sz="4" w:space="0" w:color="000000"/>
              <w:left w:val="single" w:sz="4" w:space="0" w:color="FFFFFF"/>
              <w:bottom w:val="single" w:sz="4" w:space="0" w:color="000000"/>
              <w:right w:val="single" w:sz="4" w:space="0" w:color="FFFFFF"/>
            </w:tcBorders>
            <w:tcMar>
              <w:top w:w="0" w:type="dxa"/>
              <w:left w:w="108" w:type="dxa"/>
              <w:bottom w:w="0" w:type="dxa"/>
              <w:right w:w="108" w:type="dxa"/>
            </w:tcMar>
            <w:hideMark/>
          </w:tcPr>
          <w:p w14:paraId="14B2CEB2" w14:textId="77777777" w:rsidR="00640354" w:rsidRPr="00744195" w:rsidRDefault="00640354" w:rsidP="00640354">
            <w:pPr>
              <w:spacing w:after="0" w:line="240" w:lineRule="auto"/>
              <w:rPr>
                <w:rFonts w:ascii="Times New Roman" w:eastAsia="Times New Roman" w:hAnsi="Times New Roman" w:cs="Times New Roman"/>
                <w:sz w:val="24"/>
                <w:szCs w:val="24"/>
              </w:rPr>
            </w:pPr>
            <w:r w:rsidRPr="00744195">
              <w:rPr>
                <w:rFonts w:ascii="Arial" w:eastAsia="Times New Roman" w:hAnsi="Arial" w:cs="Arial"/>
                <w:color w:val="000000"/>
                <w:sz w:val="20"/>
                <w:szCs w:val="20"/>
              </w:rPr>
              <w:t>High</w:t>
            </w:r>
          </w:p>
        </w:tc>
        <w:tc>
          <w:tcPr>
            <w:tcW w:w="24" w:type="pct"/>
            <w:tcBorders>
              <w:top w:val="single" w:sz="4" w:space="0" w:color="000000"/>
              <w:left w:val="single" w:sz="4" w:space="0" w:color="FFFFFF"/>
              <w:bottom w:val="single" w:sz="4" w:space="0" w:color="000000"/>
              <w:right w:val="single" w:sz="4" w:space="0" w:color="FFFFFF"/>
            </w:tcBorders>
          </w:tcPr>
          <w:p w14:paraId="1FE82728" w14:textId="77777777" w:rsidR="00640354" w:rsidRPr="00744195" w:rsidRDefault="00640354" w:rsidP="00640354">
            <w:pPr>
              <w:spacing w:after="0" w:line="240" w:lineRule="auto"/>
              <w:rPr>
                <w:rFonts w:ascii="Arial" w:eastAsia="Times New Roman" w:hAnsi="Arial" w:cs="Arial"/>
                <w:color w:val="000000"/>
                <w:sz w:val="20"/>
                <w:szCs w:val="20"/>
              </w:rPr>
            </w:pPr>
          </w:p>
        </w:tc>
        <w:tc>
          <w:tcPr>
            <w:tcW w:w="730" w:type="pct"/>
            <w:tcBorders>
              <w:top w:val="single" w:sz="4" w:space="0" w:color="000000"/>
              <w:left w:val="single" w:sz="4" w:space="0" w:color="FFFFFF"/>
              <w:bottom w:val="single" w:sz="4" w:space="0" w:color="000000"/>
              <w:right w:val="single" w:sz="4" w:space="0" w:color="FFFFFF"/>
            </w:tcBorders>
            <w:tcMar>
              <w:top w:w="0" w:type="dxa"/>
              <w:left w:w="108" w:type="dxa"/>
              <w:bottom w:w="0" w:type="dxa"/>
              <w:right w:w="108" w:type="dxa"/>
            </w:tcMar>
            <w:hideMark/>
          </w:tcPr>
          <w:p w14:paraId="2AB04C9F" w14:textId="7B180B3D" w:rsidR="00640354" w:rsidRPr="00744195" w:rsidRDefault="007D6126" w:rsidP="0064035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Low</w:t>
            </w:r>
          </w:p>
        </w:tc>
        <w:tc>
          <w:tcPr>
            <w:tcW w:w="737" w:type="pct"/>
            <w:tcBorders>
              <w:top w:val="single" w:sz="4" w:space="0" w:color="000000"/>
              <w:left w:val="single" w:sz="4" w:space="0" w:color="FFFFFF"/>
              <w:bottom w:val="single" w:sz="4" w:space="0" w:color="000000"/>
              <w:right w:val="single" w:sz="4" w:space="0" w:color="FFFFFF"/>
            </w:tcBorders>
            <w:tcMar>
              <w:top w:w="0" w:type="dxa"/>
              <w:left w:w="108" w:type="dxa"/>
              <w:bottom w:w="0" w:type="dxa"/>
              <w:right w:w="108" w:type="dxa"/>
            </w:tcMar>
            <w:hideMark/>
          </w:tcPr>
          <w:p w14:paraId="48782DF4" w14:textId="2EC36A2B" w:rsidR="00640354" w:rsidRPr="00744195" w:rsidRDefault="007D6126" w:rsidP="0064035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Low</w:t>
            </w:r>
          </w:p>
        </w:tc>
        <w:tc>
          <w:tcPr>
            <w:tcW w:w="737" w:type="pct"/>
            <w:tcBorders>
              <w:top w:val="single" w:sz="4" w:space="0" w:color="000000"/>
              <w:left w:val="single" w:sz="4" w:space="0" w:color="FFFFFF"/>
              <w:bottom w:val="single" w:sz="4" w:space="0" w:color="000000"/>
              <w:right w:val="single" w:sz="4" w:space="0" w:color="FFFFFF"/>
            </w:tcBorders>
            <w:tcMar>
              <w:top w:w="0" w:type="dxa"/>
              <w:left w:w="108" w:type="dxa"/>
              <w:bottom w:w="0" w:type="dxa"/>
              <w:right w:w="108" w:type="dxa"/>
            </w:tcMar>
            <w:hideMark/>
          </w:tcPr>
          <w:p w14:paraId="4587BA57" w14:textId="0AB73392" w:rsidR="00640354" w:rsidRPr="00744195" w:rsidRDefault="007D6126" w:rsidP="0064035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Low</w:t>
            </w:r>
          </w:p>
        </w:tc>
        <w:tc>
          <w:tcPr>
            <w:tcW w:w="737" w:type="pct"/>
            <w:tcBorders>
              <w:top w:val="single" w:sz="4" w:space="0" w:color="000000"/>
              <w:left w:val="single" w:sz="4" w:space="0" w:color="FFFFFF"/>
              <w:bottom w:val="single" w:sz="4" w:space="0" w:color="000000"/>
              <w:right w:val="single" w:sz="4" w:space="0" w:color="FFFFFF"/>
            </w:tcBorders>
            <w:tcMar>
              <w:top w:w="0" w:type="dxa"/>
              <w:left w:w="108" w:type="dxa"/>
              <w:bottom w:w="0" w:type="dxa"/>
              <w:right w:w="108" w:type="dxa"/>
            </w:tcMar>
            <w:hideMark/>
          </w:tcPr>
          <w:p w14:paraId="03046723" w14:textId="77777777" w:rsidR="00640354" w:rsidRPr="00744195" w:rsidRDefault="00640354" w:rsidP="00640354">
            <w:pPr>
              <w:spacing w:after="0" w:line="240" w:lineRule="auto"/>
              <w:rPr>
                <w:rFonts w:ascii="Times New Roman" w:eastAsia="Times New Roman" w:hAnsi="Times New Roman" w:cs="Times New Roman"/>
                <w:sz w:val="24"/>
                <w:szCs w:val="24"/>
              </w:rPr>
            </w:pPr>
            <w:r w:rsidRPr="00744195">
              <w:rPr>
                <w:rFonts w:ascii="Arial" w:eastAsia="Times New Roman" w:hAnsi="Arial" w:cs="Arial"/>
                <w:color w:val="000000"/>
                <w:sz w:val="20"/>
                <w:szCs w:val="20"/>
              </w:rPr>
              <w:t>Low</w:t>
            </w:r>
          </w:p>
        </w:tc>
        <w:tc>
          <w:tcPr>
            <w:tcW w:w="441" w:type="pct"/>
            <w:tcBorders>
              <w:top w:val="single" w:sz="4" w:space="0" w:color="000000"/>
              <w:left w:val="single" w:sz="4" w:space="0" w:color="FFFFFF"/>
              <w:bottom w:val="single" w:sz="4" w:space="0" w:color="000000"/>
              <w:right w:val="single" w:sz="4" w:space="0" w:color="auto"/>
            </w:tcBorders>
            <w:tcMar>
              <w:top w:w="0" w:type="dxa"/>
              <w:left w:w="108" w:type="dxa"/>
              <w:bottom w:w="0" w:type="dxa"/>
              <w:right w:w="108" w:type="dxa"/>
            </w:tcMar>
            <w:hideMark/>
          </w:tcPr>
          <w:p w14:paraId="5AF560C9" w14:textId="72B98E11" w:rsidR="00640354" w:rsidRPr="00744195" w:rsidRDefault="007D6126" w:rsidP="0064035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High</w:t>
            </w:r>
          </w:p>
        </w:tc>
      </w:tr>
      <w:tr w:rsidR="00640354" w:rsidRPr="004339C8" w14:paraId="09A29686" w14:textId="77777777" w:rsidTr="0040671C">
        <w:tc>
          <w:tcPr>
            <w:tcW w:w="863" w:type="pct"/>
            <w:tcBorders>
              <w:top w:val="single" w:sz="4" w:space="0" w:color="000000"/>
              <w:left w:val="single" w:sz="4" w:space="0" w:color="000000"/>
              <w:bottom w:val="single" w:sz="4" w:space="0" w:color="000000"/>
              <w:right w:val="single" w:sz="4" w:space="0" w:color="FFFFFF"/>
            </w:tcBorders>
            <w:shd w:val="clear" w:color="auto" w:fill="E7E6E6" w:themeFill="background2"/>
            <w:tcMar>
              <w:top w:w="0" w:type="dxa"/>
              <w:left w:w="108" w:type="dxa"/>
              <w:bottom w:w="0" w:type="dxa"/>
              <w:right w:w="108" w:type="dxa"/>
            </w:tcMar>
          </w:tcPr>
          <w:p w14:paraId="6D606B72" w14:textId="671B1433" w:rsidR="00C8266B" w:rsidRDefault="00EB1F81" w:rsidP="009272D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Gilbert </w:t>
            </w:r>
          </w:p>
          <w:p w14:paraId="0AEAD797" w14:textId="6C644E40" w:rsidR="009272DF" w:rsidRPr="004339C8" w:rsidRDefault="009272DF" w:rsidP="009272D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(2016)</w:t>
            </w:r>
          </w:p>
        </w:tc>
        <w:tc>
          <w:tcPr>
            <w:tcW w:w="731" w:type="pct"/>
            <w:tcBorders>
              <w:top w:val="single" w:sz="4" w:space="0" w:color="000000"/>
              <w:left w:val="single" w:sz="4" w:space="0" w:color="FFFFFF"/>
              <w:bottom w:val="single" w:sz="4" w:space="0" w:color="000000"/>
              <w:right w:val="single" w:sz="4" w:space="0" w:color="FFFFFF"/>
            </w:tcBorders>
            <w:shd w:val="clear" w:color="auto" w:fill="E7E6E6" w:themeFill="background2"/>
            <w:tcMar>
              <w:top w:w="0" w:type="dxa"/>
              <w:left w:w="108" w:type="dxa"/>
              <w:bottom w:w="0" w:type="dxa"/>
              <w:right w:w="108" w:type="dxa"/>
            </w:tcMar>
          </w:tcPr>
          <w:p w14:paraId="6E5D78D8" w14:textId="2D5DF4A2" w:rsidR="00640354" w:rsidRPr="004339C8" w:rsidRDefault="007D6126" w:rsidP="0064035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Moderate</w:t>
            </w:r>
          </w:p>
        </w:tc>
        <w:tc>
          <w:tcPr>
            <w:tcW w:w="24" w:type="pct"/>
            <w:tcBorders>
              <w:top w:val="single" w:sz="4" w:space="0" w:color="000000"/>
              <w:left w:val="single" w:sz="4" w:space="0" w:color="FFFFFF"/>
              <w:bottom w:val="single" w:sz="4" w:space="0" w:color="000000"/>
              <w:right w:val="single" w:sz="4" w:space="0" w:color="FFFFFF"/>
            </w:tcBorders>
            <w:shd w:val="clear" w:color="auto" w:fill="E7E6E6" w:themeFill="background2"/>
          </w:tcPr>
          <w:p w14:paraId="4471CF16" w14:textId="77777777" w:rsidR="00640354" w:rsidRPr="004339C8" w:rsidRDefault="00640354" w:rsidP="00640354">
            <w:pPr>
              <w:spacing w:after="0" w:line="240" w:lineRule="auto"/>
              <w:rPr>
                <w:rFonts w:ascii="Arial" w:eastAsia="Times New Roman" w:hAnsi="Arial" w:cs="Arial"/>
                <w:color w:val="000000"/>
                <w:sz w:val="20"/>
                <w:szCs w:val="20"/>
              </w:rPr>
            </w:pPr>
          </w:p>
        </w:tc>
        <w:tc>
          <w:tcPr>
            <w:tcW w:w="730" w:type="pct"/>
            <w:tcBorders>
              <w:top w:val="single" w:sz="4" w:space="0" w:color="000000"/>
              <w:left w:val="single" w:sz="4" w:space="0" w:color="FFFFFF"/>
              <w:bottom w:val="single" w:sz="4" w:space="0" w:color="000000"/>
              <w:right w:val="single" w:sz="4" w:space="0" w:color="FFFFFF"/>
            </w:tcBorders>
            <w:shd w:val="clear" w:color="auto" w:fill="E7E6E6" w:themeFill="background2"/>
            <w:tcMar>
              <w:top w:w="0" w:type="dxa"/>
              <w:left w:w="108" w:type="dxa"/>
              <w:bottom w:w="0" w:type="dxa"/>
              <w:right w:w="108" w:type="dxa"/>
            </w:tcMar>
          </w:tcPr>
          <w:p w14:paraId="12F1F121" w14:textId="4963442A" w:rsidR="00640354" w:rsidRPr="004339C8" w:rsidRDefault="007D6126" w:rsidP="0064035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Moderate</w:t>
            </w:r>
          </w:p>
        </w:tc>
        <w:tc>
          <w:tcPr>
            <w:tcW w:w="737" w:type="pct"/>
            <w:tcBorders>
              <w:top w:val="single" w:sz="4" w:space="0" w:color="000000"/>
              <w:left w:val="single" w:sz="4" w:space="0" w:color="FFFFFF"/>
              <w:bottom w:val="single" w:sz="4" w:space="0" w:color="000000"/>
              <w:right w:val="single" w:sz="4" w:space="0" w:color="FFFFFF"/>
            </w:tcBorders>
            <w:shd w:val="clear" w:color="auto" w:fill="E7E6E6" w:themeFill="background2"/>
            <w:tcMar>
              <w:top w:w="0" w:type="dxa"/>
              <w:left w:w="108" w:type="dxa"/>
              <w:bottom w:w="0" w:type="dxa"/>
              <w:right w:w="108" w:type="dxa"/>
            </w:tcMar>
          </w:tcPr>
          <w:p w14:paraId="66BC3FCD" w14:textId="04F45D66" w:rsidR="00640354" w:rsidRPr="004339C8" w:rsidRDefault="007D6126" w:rsidP="0064035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Moderate</w:t>
            </w:r>
          </w:p>
        </w:tc>
        <w:tc>
          <w:tcPr>
            <w:tcW w:w="737" w:type="pct"/>
            <w:tcBorders>
              <w:top w:val="single" w:sz="4" w:space="0" w:color="000000"/>
              <w:left w:val="single" w:sz="4" w:space="0" w:color="FFFFFF"/>
              <w:bottom w:val="single" w:sz="4" w:space="0" w:color="000000"/>
              <w:right w:val="single" w:sz="4" w:space="0" w:color="FFFFFF"/>
            </w:tcBorders>
            <w:shd w:val="clear" w:color="auto" w:fill="E7E6E6" w:themeFill="background2"/>
            <w:tcMar>
              <w:top w:w="0" w:type="dxa"/>
              <w:left w:w="108" w:type="dxa"/>
              <w:bottom w:w="0" w:type="dxa"/>
              <w:right w:w="108" w:type="dxa"/>
            </w:tcMar>
          </w:tcPr>
          <w:p w14:paraId="5EE879E1" w14:textId="18DF58F6" w:rsidR="00640354" w:rsidRPr="004339C8" w:rsidRDefault="007D6126" w:rsidP="0064035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Moderate</w:t>
            </w:r>
          </w:p>
        </w:tc>
        <w:tc>
          <w:tcPr>
            <w:tcW w:w="737" w:type="pct"/>
            <w:tcBorders>
              <w:top w:val="single" w:sz="4" w:space="0" w:color="000000"/>
              <w:left w:val="single" w:sz="4" w:space="0" w:color="FFFFFF"/>
              <w:bottom w:val="single" w:sz="4" w:space="0" w:color="000000"/>
              <w:right w:val="single" w:sz="4" w:space="0" w:color="FFFFFF"/>
            </w:tcBorders>
            <w:shd w:val="clear" w:color="auto" w:fill="E7E6E6" w:themeFill="background2"/>
            <w:tcMar>
              <w:top w:w="0" w:type="dxa"/>
              <w:left w:w="108" w:type="dxa"/>
              <w:bottom w:w="0" w:type="dxa"/>
              <w:right w:w="108" w:type="dxa"/>
            </w:tcMar>
          </w:tcPr>
          <w:p w14:paraId="1798A7D9" w14:textId="704BBF7E" w:rsidR="00640354" w:rsidRPr="004339C8" w:rsidRDefault="007D6126" w:rsidP="0064035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Low</w:t>
            </w:r>
          </w:p>
        </w:tc>
        <w:tc>
          <w:tcPr>
            <w:tcW w:w="441" w:type="pct"/>
            <w:tcBorders>
              <w:top w:val="single" w:sz="4" w:space="0" w:color="000000"/>
              <w:left w:val="single" w:sz="4" w:space="0" w:color="FFFFFF"/>
              <w:bottom w:val="single" w:sz="4" w:space="0" w:color="000000"/>
              <w:right w:val="single" w:sz="4" w:space="0" w:color="auto"/>
            </w:tcBorders>
            <w:shd w:val="clear" w:color="auto" w:fill="E7E6E6" w:themeFill="background2"/>
            <w:tcMar>
              <w:top w:w="0" w:type="dxa"/>
              <w:left w:w="108" w:type="dxa"/>
              <w:bottom w:w="0" w:type="dxa"/>
              <w:right w:w="108" w:type="dxa"/>
            </w:tcMar>
          </w:tcPr>
          <w:p w14:paraId="566BF404" w14:textId="4F6461A6" w:rsidR="00640354" w:rsidRPr="004339C8" w:rsidRDefault="007D6126" w:rsidP="0064035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Moderate</w:t>
            </w:r>
          </w:p>
        </w:tc>
      </w:tr>
      <w:tr w:rsidR="00EB1F81" w:rsidRPr="004339C8" w14:paraId="14AF88EF" w14:textId="77777777" w:rsidTr="00640354">
        <w:tc>
          <w:tcPr>
            <w:tcW w:w="863" w:type="pct"/>
            <w:tcBorders>
              <w:top w:val="single" w:sz="4" w:space="0" w:color="000000"/>
              <w:left w:val="single" w:sz="4" w:space="0" w:color="000000"/>
              <w:bottom w:val="single" w:sz="4" w:space="0" w:color="000000"/>
              <w:right w:val="single" w:sz="4" w:space="0" w:color="FFFFFF"/>
            </w:tcBorders>
            <w:tcMar>
              <w:top w:w="0" w:type="dxa"/>
              <w:left w:w="108" w:type="dxa"/>
              <w:bottom w:w="0" w:type="dxa"/>
              <w:right w:w="108" w:type="dxa"/>
            </w:tcMar>
          </w:tcPr>
          <w:p w14:paraId="58AEFD0F" w14:textId="47A3621E" w:rsidR="00C8266B" w:rsidRDefault="00EB1F81" w:rsidP="009272D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Gelfer </w:t>
            </w:r>
          </w:p>
          <w:p w14:paraId="40123EA3" w14:textId="05CB4F39" w:rsidR="009272DF" w:rsidRDefault="009272DF" w:rsidP="009272D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9272DF">
              <w:rPr>
                <w:rFonts w:ascii="Arial" w:eastAsia="Times New Roman" w:hAnsi="Arial" w:cs="Arial"/>
                <w:color w:val="000000"/>
                <w:sz w:val="20"/>
                <w:szCs w:val="20"/>
              </w:rPr>
              <w:t>2015</w:t>
            </w:r>
            <w:r>
              <w:rPr>
                <w:rFonts w:ascii="Arial" w:eastAsia="Times New Roman" w:hAnsi="Arial" w:cs="Arial"/>
                <w:color w:val="000000"/>
                <w:sz w:val="20"/>
                <w:szCs w:val="20"/>
              </w:rPr>
              <w:t>)</w:t>
            </w:r>
          </w:p>
        </w:tc>
        <w:tc>
          <w:tcPr>
            <w:tcW w:w="731" w:type="pct"/>
            <w:tcBorders>
              <w:top w:val="single" w:sz="4" w:space="0" w:color="000000"/>
              <w:left w:val="single" w:sz="4" w:space="0" w:color="FFFFFF"/>
              <w:bottom w:val="single" w:sz="4" w:space="0" w:color="000000"/>
              <w:right w:val="single" w:sz="4" w:space="0" w:color="FFFFFF"/>
            </w:tcBorders>
            <w:tcMar>
              <w:top w:w="0" w:type="dxa"/>
              <w:left w:w="108" w:type="dxa"/>
              <w:bottom w:w="0" w:type="dxa"/>
              <w:right w:w="108" w:type="dxa"/>
            </w:tcMar>
          </w:tcPr>
          <w:p w14:paraId="16F9B83A" w14:textId="7054D113" w:rsidR="00EB1F81" w:rsidRPr="004339C8" w:rsidRDefault="007D6126" w:rsidP="0064035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High</w:t>
            </w:r>
          </w:p>
        </w:tc>
        <w:tc>
          <w:tcPr>
            <w:tcW w:w="24" w:type="pct"/>
            <w:tcBorders>
              <w:top w:val="single" w:sz="4" w:space="0" w:color="000000"/>
              <w:left w:val="single" w:sz="4" w:space="0" w:color="FFFFFF"/>
              <w:bottom w:val="single" w:sz="4" w:space="0" w:color="000000"/>
              <w:right w:val="single" w:sz="4" w:space="0" w:color="FFFFFF"/>
            </w:tcBorders>
          </w:tcPr>
          <w:p w14:paraId="051D47B7" w14:textId="77777777" w:rsidR="00EB1F81" w:rsidRPr="004339C8" w:rsidRDefault="00EB1F81" w:rsidP="00640354">
            <w:pPr>
              <w:spacing w:after="0" w:line="240" w:lineRule="auto"/>
              <w:rPr>
                <w:rFonts w:ascii="Arial" w:eastAsia="Times New Roman" w:hAnsi="Arial" w:cs="Arial"/>
                <w:color w:val="000000"/>
                <w:sz w:val="20"/>
                <w:szCs w:val="20"/>
              </w:rPr>
            </w:pPr>
          </w:p>
        </w:tc>
        <w:tc>
          <w:tcPr>
            <w:tcW w:w="730" w:type="pct"/>
            <w:tcBorders>
              <w:top w:val="single" w:sz="4" w:space="0" w:color="000000"/>
              <w:left w:val="single" w:sz="4" w:space="0" w:color="FFFFFF"/>
              <w:bottom w:val="single" w:sz="4" w:space="0" w:color="000000"/>
              <w:right w:val="single" w:sz="4" w:space="0" w:color="FFFFFF"/>
            </w:tcBorders>
            <w:tcMar>
              <w:top w:w="0" w:type="dxa"/>
              <w:left w:w="108" w:type="dxa"/>
              <w:bottom w:w="0" w:type="dxa"/>
              <w:right w:w="108" w:type="dxa"/>
            </w:tcMar>
          </w:tcPr>
          <w:p w14:paraId="4F54E543" w14:textId="32284E69" w:rsidR="00EB1F81" w:rsidRPr="004339C8" w:rsidRDefault="007D6126" w:rsidP="0064035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Moderate</w:t>
            </w:r>
          </w:p>
        </w:tc>
        <w:tc>
          <w:tcPr>
            <w:tcW w:w="737" w:type="pct"/>
            <w:tcBorders>
              <w:top w:val="single" w:sz="4" w:space="0" w:color="000000"/>
              <w:left w:val="single" w:sz="4" w:space="0" w:color="FFFFFF"/>
              <w:bottom w:val="single" w:sz="4" w:space="0" w:color="000000"/>
              <w:right w:val="single" w:sz="4" w:space="0" w:color="FFFFFF"/>
            </w:tcBorders>
            <w:tcMar>
              <w:top w:w="0" w:type="dxa"/>
              <w:left w:w="108" w:type="dxa"/>
              <w:bottom w:w="0" w:type="dxa"/>
              <w:right w:w="108" w:type="dxa"/>
            </w:tcMar>
          </w:tcPr>
          <w:p w14:paraId="06EC1482" w14:textId="72600255" w:rsidR="00EB1F81" w:rsidRPr="004339C8" w:rsidRDefault="007D6126" w:rsidP="0064035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Moderate</w:t>
            </w:r>
          </w:p>
        </w:tc>
        <w:tc>
          <w:tcPr>
            <w:tcW w:w="737" w:type="pct"/>
            <w:tcBorders>
              <w:top w:val="single" w:sz="4" w:space="0" w:color="000000"/>
              <w:left w:val="single" w:sz="4" w:space="0" w:color="FFFFFF"/>
              <w:bottom w:val="single" w:sz="4" w:space="0" w:color="000000"/>
              <w:right w:val="single" w:sz="4" w:space="0" w:color="FFFFFF"/>
            </w:tcBorders>
            <w:tcMar>
              <w:top w:w="0" w:type="dxa"/>
              <w:left w:w="108" w:type="dxa"/>
              <w:bottom w:w="0" w:type="dxa"/>
              <w:right w:w="108" w:type="dxa"/>
            </w:tcMar>
          </w:tcPr>
          <w:p w14:paraId="29DB788C" w14:textId="7B9E5FEA" w:rsidR="00EB1F81" w:rsidRPr="004339C8" w:rsidRDefault="007D6126" w:rsidP="0064035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Moderate</w:t>
            </w:r>
          </w:p>
        </w:tc>
        <w:tc>
          <w:tcPr>
            <w:tcW w:w="737" w:type="pct"/>
            <w:tcBorders>
              <w:top w:val="single" w:sz="4" w:space="0" w:color="000000"/>
              <w:left w:val="single" w:sz="4" w:space="0" w:color="FFFFFF"/>
              <w:bottom w:val="single" w:sz="4" w:space="0" w:color="000000"/>
              <w:right w:val="single" w:sz="4" w:space="0" w:color="FFFFFF"/>
            </w:tcBorders>
            <w:tcMar>
              <w:top w:w="0" w:type="dxa"/>
              <w:left w:w="108" w:type="dxa"/>
              <w:bottom w:w="0" w:type="dxa"/>
              <w:right w:w="108" w:type="dxa"/>
            </w:tcMar>
          </w:tcPr>
          <w:p w14:paraId="63AC6AF9" w14:textId="370114D0" w:rsidR="00EB1F81" w:rsidRPr="004339C8" w:rsidRDefault="007D6126" w:rsidP="0064035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Low</w:t>
            </w:r>
          </w:p>
        </w:tc>
        <w:tc>
          <w:tcPr>
            <w:tcW w:w="441" w:type="pct"/>
            <w:tcBorders>
              <w:top w:val="single" w:sz="4" w:space="0" w:color="000000"/>
              <w:left w:val="single" w:sz="4" w:space="0" w:color="FFFFFF"/>
              <w:bottom w:val="single" w:sz="4" w:space="0" w:color="000000"/>
              <w:right w:val="single" w:sz="4" w:space="0" w:color="auto"/>
            </w:tcBorders>
            <w:tcMar>
              <w:top w:w="0" w:type="dxa"/>
              <w:left w:w="108" w:type="dxa"/>
              <w:bottom w:w="0" w:type="dxa"/>
              <w:right w:w="108" w:type="dxa"/>
            </w:tcMar>
          </w:tcPr>
          <w:p w14:paraId="6890C3AC" w14:textId="56BDFC63" w:rsidR="00EB1F81" w:rsidRPr="004339C8" w:rsidRDefault="007D6126" w:rsidP="0064035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High</w:t>
            </w:r>
          </w:p>
        </w:tc>
      </w:tr>
    </w:tbl>
    <w:p w14:paraId="3D75415C" w14:textId="69A0ABD7" w:rsidR="00801026" w:rsidRPr="00640354" w:rsidRDefault="00461B3A" w:rsidP="00640354">
      <w:pPr>
        <w:spacing w:after="0" w:line="240" w:lineRule="auto"/>
        <w:rPr>
          <w:rStyle w:val="Lienhypertexte"/>
          <w:rFonts w:ascii="Arial" w:hAnsi="Arial" w:cs="Arial"/>
          <w:b/>
          <w:bCs/>
          <w:sz w:val="18"/>
          <w:szCs w:val="18"/>
          <w:shd w:val="clear" w:color="auto" w:fill="FFFFFF"/>
        </w:rPr>
      </w:pPr>
      <w:r w:rsidRPr="00640354">
        <w:rPr>
          <w:rFonts w:eastAsia="Times New Roman"/>
          <w:color w:val="000000"/>
          <w:sz w:val="20"/>
          <w:szCs w:val="20"/>
        </w:rPr>
        <w:t xml:space="preserve">Domain: A) bias arising from the </w:t>
      </w:r>
      <w:r w:rsidR="00640354" w:rsidRPr="00640354">
        <w:rPr>
          <w:rFonts w:eastAsia="Times New Roman"/>
          <w:color w:val="000000"/>
          <w:sz w:val="20"/>
          <w:szCs w:val="20"/>
        </w:rPr>
        <w:t>randomization</w:t>
      </w:r>
      <w:r w:rsidRPr="00640354">
        <w:rPr>
          <w:rFonts w:eastAsia="Times New Roman"/>
          <w:color w:val="000000"/>
          <w:sz w:val="20"/>
          <w:szCs w:val="20"/>
        </w:rPr>
        <w:t xml:space="preserve"> process, B) bias owing to deviations from intended interventions, C) bias owing to missing outcome data, D) bias in measurement of the outcome, E) bias in selection of the reported result. </w:t>
      </w:r>
      <w:r w:rsidR="00640354" w:rsidRPr="00640354">
        <w:rPr>
          <w:rFonts w:eastAsia="Times New Roman"/>
          <w:color w:val="000000"/>
          <w:sz w:val="20"/>
          <w:szCs w:val="20"/>
        </w:rPr>
        <w:t>Overall risk of bias evaluated across the five domains.</w:t>
      </w:r>
      <w:r w:rsidR="00801026" w:rsidRPr="00640354">
        <w:rPr>
          <w:rStyle w:val="Lienhypertexte"/>
          <w:rFonts w:ascii="Arial" w:hAnsi="Arial" w:cs="Arial"/>
          <w:b/>
          <w:bCs/>
          <w:sz w:val="18"/>
          <w:szCs w:val="18"/>
          <w:shd w:val="clear" w:color="auto" w:fill="FFFFFF"/>
        </w:rPr>
        <w:br w:type="page"/>
      </w:r>
    </w:p>
    <w:p w14:paraId="5659467B" w14:textId="0EE89FAD" w:rsidR="00801026" w:rsidRPr="00640354" w:rsidRDefault="00801026" w:rsidP="00A4184F">
      <w:pPr>
        <w:spacing w:after="0" w:line="240" w:lineRule="auto"/>
      </w:pPr>
      <w:r w:rsidRPr="00640354">
        <w:rPr>
          <w:rFonts w:ascii="Arial" w:hAnsi="Arial" w:cs="Arial"/>
          <w:b/>
          <w:bCs/>
          <w:sz w:val="24"/>
          <w:szCs w:val="24"/>
        </w:rPr>
        <w:lastRenderedPageBreak/>
        <w:t>Supplementary</w:t>
      </w:r>
      <w:r w:rsidRPr="00640354">
        <w:t xml:space="preserve"> </w:t>
      </w:r>
      <w:r w:rsidRPr="00640354">
        <w:rPr>
          <w:rFonts w:ascii="Arial" w:hAnsi="Arial" w:cs="Arial"/>
          <w:b/>
          <w:bCs/>
          <w:sz w:val="24"/>
          <w:szCs w:val="24"/>
        </w:rPr>
        <w:t xml:space="preserve">Table 3. </w:t>
      </w:r>
      <w:r w:rsidRPr="00640354">
        <w:rPr>
          <w:rFonts w:ascii="Arial" w:hAnsi="Arial" w:cs="Arial"/>
          <w:sz w:val="24"/>
          <w:szCs w:val="24"/>
        </w:rPr>
        <w:t>Concept Matrix (the pre-concept map/model phase)</w:t>
      </w:r>
    </w:p>
    <w:tbl>
      <w:tblPr>
        <w:tblStyle w:val="Grilledutableau"/>
        <w:tblW w:w="11965" w:type="dxa"/>
        <w:tblLook w:val="04A0" w:firstRow="1" w:lastRow="0" w:firstColumn="1" w:lastColumn="0" w:noHBand="0" w:noVBand="1"/>
      </w:tblPr>
      <w:tblGrid>
        <w:gridCol w:w="1795"/>
        <w:gridCol w:w="2310"/>
        <w:gridCol w:w="2496"/>
        <w:gridCol w:w="5364"/>
      </w:tblGrid>
      <w:tr w:rsidR="00A53F94" w:rsidRPr="0037705E" w14:paraId="72E6B413" w14:textId="77777777" w:rsidTr="00D84897">
        <w:tc>
          <w:tcPr>
            <w:tcW w:w="1795" w:type="dxa"/>
          </w:tcPr>
          <w:p w14:paraId="344456B9" w14:textId="77777777" w:rsidR="00A53F94" w:rsidRPr="0037705E" w:rsidRDefault="00A53F94" w:rsidP="00D84897">
            <w:pPr>
              <w:jc w:val="center"/>
              <w:rPr>
                <w:rFonts w:ascii="Arial" w:hAnsi="Arial" w:cs="Arial"/>
                <w:b/>
                <w:bCs/>
              </w:rPr>
            </w:pPr>
            <w:bookmarkStart w:id="1" w:name="_Hlk96538645"/>
            <w:r w:rsidRPr="0037705E">
              <w:rPr>
                <w:rFonts w:ascii="Arial" w:hAnsi="Arial" w:cs="Arial"/>
                <w:b/>
                <w:bCs/>
              </w:rPr>
              <w:t>Concept Name</w:t>
            </w:r>
          </w:p>
        </w:tc>
        <w:tc>
          <w:tcPr>
            <w:tcW w:w="2310" w:type="dxa"/>
          </w:tcPr>
          <w:p w14:paraId="3CBFD23F" w14:textId="77777777" w:rsidR="00A53F94" w:rsidRPr="0037705E" w:rsidRDefault="00A53F94" w:rsidP="00D84897">
            <w:pPr>
              <w:jc w:val="center"/>
              <w:rPr>
                <w:rFonts w:ascii="Arial" w:hAnsi="Arial" w:cs="Arial"/>
                <w:b/>
                <w:bCs/>
              </w:rPr>
            </w:pPr>
            <w:r w:rsidRPr="0037705E">
              <w:rPr>
                <w:rFonts w:ascii="Arial" w:hAnsi="Arial" w:cs="Arial"/>
                <w:b/>
                <w:bCs/>
              </w:rPr>
              <w:t>Description</w:t>
            </w:r>
          </w:p>
        </w:tc>
        <w:tc>
          <w:tcPr>
            <w:tcW w:w="2496" w:type="dxa"/>
          </w:tcPr>
          <w:p w14:paraId="25F188F7" w14:textId="77777777" w:rsidR="00A53F94" w:rsidRPr="0037705E" w:rsidRDefault="00A53F94" w:rsidP="00D84897">
            <w:pPr>
              <w:jc w:val="center"/>
              <w:rPr>
                <w:rFonts w:ascii="Arial" w:hAnsi="Arial" w:cs="Arial"/>
                <w:b/>
                <w:bCs/>
              </w:rPr>
            </w:pPr>
            <w:r w:rsidRPr="0037705E">
              <w:rPr>
                <w:rFonts w:ascii="Arial" w:hAnsi="Arial" w:cs="Arial"/>
                <w:b/>
                <w:bCs/>
              </w:rPr>
              <w:t>Roles, Assumptions, Variations</w:t>
            </w:r>
          </w:p>
        </w:tc>
        <w:tc>
          <w:tcPr>
            <w:tcW w:w="5364" w:type="dxa"/>
          </w:tcPr>
          <w:p w14:paraId="3E20298C" w14:textId="77777777" w:rsidR="00A53F94" w:rsidRPr="0037705E" w:rsidRDefault="00A53F94" w:rsidP="00D84897">
            <w:pPr>
              <w:jc w:val="center"/>
              <w:rPr>
                <w:rFonts w:ascii="Arial" w:hAnsi="Arial" w:cs="Arial"/>
                <w:b/>
                <w:bCs/>
              </w:rPr>
            </w:pPr>
            <w:r>
              <w:rPr>
                <w:rFonts w:ascii="Arial" w:hAnsi="Arial" w:cs="Arial"/>
                <w:b/>
                <w:bCs/>
              </w:rPr>
              <w:t>Reported Outcomes</w:t>
            </w:r>
          </w:p>
        </w:tc>
      </w:tr>
      <w:tr w:rsidR="00A53F94" w:rsidRPr="00B17F07" w14:paraId="70C82682" w14:textId="77777777" w:rsidTr="00D84897">
        <w:tc>
          <w:tcPr>
            <w:tcW w:w="1795" w:type="dxa"/>
          </w:tcPr>
          <w:p w14:paraId="17974367" w14:textId="77777777" w:rsidR="00A53F94" w:rsidRDefault="00A53F94" w:rsidP="00D84897">
            <w:pPr>
              <w:rPr>
                <w:rFonts w:ascii="Arial" w:hAnsi="Arial" w:cs="Arial"/>
                <w:sz w:val="20"/>
                <w:szCs w:val="20"/>
              </w:rPr>
            </w:pPr>
            <w:r w:rsidRPr="00F7694A">
              <w:rPr>
                <w:rFonts w:ascii="Arial" w:hAnsi="Arial" w:cs="Arial"/>
                <w:sz w:val="20"/>
                <w:szCs w:val="20"/>
              </w:rPr>
              <w:t>Mortality</w:t>
            </w:r>
          </w:p>
        </w:tc>
        <w:tc>
          <w:tcPr>
            <w:tcW w:w="2310" w:type="dxa"/>
          </w:tcPr>
          <w:p w14:paraId="21017BB2" w14:textId="77777777" w:rsidR="00A53F94" w:rsidRPr="00B17F07" w:rsidRDefault="00A53F94" w:rsidP="00D84897">
            <w:pPr>
              <w:rPr>
                <w:rFonts w:ascii="Arial" w:hAnsi="Arial" w:cs="Arial"/>
                <w:sz w:val="20"/>
                <w:szCs w:val="20"/>
              </w:rPr>
            </w:pPr>
            <w:r>
              <w:rPr>
                <w:rFonts w:ascii="Arial" w:hAnsi="Arial" w:cs="Arial"/>
                <w:sz w:val="20"/>
                <w:szCs w:val="20"/>
              </w:rPr>
              <w:t xml:space="preserve">Rates of death within a given timeframe, or attributable to a specific cause. </w:t>
            </w:r>
          </w:p>
        </w:tc>
        <w:tc>
          <w:tcPr>
            <w:tcW w:w="2496" w:type="dxa"/>
          </w:tcPr>
          <w:p w14:paraId="50F314C2" w14:textId="77777777" w:rsidR="00A53F94" w:rsidRDefault="00A53F94" w:rsidP="00D84897">
            <w:pPr>
              <w:rPr>
                <w:rFonts w:ascii="Arial" w:hAnsi="Arial" w:cs="Arial"/>
                <w:sz w:val="20"/>
                <w:szCs w:val="20"/>
              </w:rPr>
            </w:pPr>
            <w:r>
              <w:rPr>
                <w:rFonts w:ascii="Arial" w:hAnsi="Arial" w:cs="Arial"/>
                <w:sz w:val="20"/>
                <w:szCs w:val="20"/>
              </w:rPr>
              <w:t xml:space="preserve">While there are many ways mortality can be defined and operationalized, mortality metrics for diagnostic studies (when measured) frequently report either inpatient mortality or 30-day mortality. </w:t>
            </w:r>
          </w:p>
        </w:tc>
        <w:tc>
          <w:tcPr>
            <w:tcW w:w="5364" w:type="dxa"/>
          </w:tcPr>
          <w:p w14:paraId="1870400E" w14:textId="77777777" w:rsidR="00A53F94" w:rsidRDefault="00A53F94" w:rsidP="00A53F94">
            <w:pPr>
              <w:pStyle w:val="Paragraphedeliste"/>
              <w:numPr>
                <w:ilvl w:val="0"/>
                <w:numId w:val="21"/>
              </w:numPr>
              <w:contextualSpacing/>
              <w:rPr>
                <w:rFonts w:ascii="Arial" w:hAnsi="Arial" w:cs="Arial"/>
                <w:sz w:val="20"/>
                <w:szCs w:val="20"/>
              </w:rPr>
            </w:pPr>
            <w:r w:rsidRPr="003A0343">
              <w:rPr>
                <w:rFonts w:ascii="Arial" w:hAnsi="Arial" w:cs="Arial"/>
                <w:sz w:val="20"/>
                <w:szCs w:val="20"/>
              </w:rPr>
              <w:t>30-day mortality 3% vs 5%</w:t>
            </w:r>
            <w:r>
              <w:rPr>
                <w:rFonts w:ascii="Arial" w:hAnsi="Arial" w:cs="Arial"/>
                <w:sz w:val="20"/>
                <w:szCs w:val="20"/>
              </w:rPr>
              <w:t xml:space="preserve"> (p=0.15) (Brendish, 2017)</w:t>
            </w:r>
          </w:p>
          <w:p w14:paraId="255609F1" w14:textId="77777777" w:rsidR="00A53F94" w:rsidRPr="00250499" w:rsidRDefault="00A53F94" w:rsidP="00A53F94">
            <w:pPr>
              <w:pStyle w:val="Paragraphedeliste"/>
              <w:numPr>
                <w:ilvl w:val="0"/>
                <w:numId w:val="21"/>
              </w:numPr>
              <w:contextualSpacing/>
              <w:rPr>
                <w:rFonts w:ascii="Arial" w:hAnsi="Arial" w:cs="Arial"/>
                <w:sz w:val="20"/>
                <w:szCs w:val="20"/>
              </w:rPr>
            </w:pPr>
            <w:r w:rsidRPr="003A0343">
              <w:rPr>
                <w:rFonts w:ascii="Arial" w:hAnsi="Arial" w:cs="Arial"/>
                <w:sz w:val="20"/>
                <w:szCs w:val="20"/>
              </w:rPr>
              <w:t>30-day mortality 4% vs 4%</w:t>
            </w:r>
            <w:r>
              <w:rPr>
                <w:rFonts w:ascii="Arial" w:hAnsi="Arial" w:cs="Arial"/>
                <w:sz w:val="20"/>
                <w:szCs w:val="20"/>
              </w:rPr>
              <w:t xml:space="preserve"> (p=0.79) (Andrews, 2017)</w:t>
            </w:r>
          </w:p>
        </w:tc>
      </w:tr>
      <w:tr w:rsidR="00A53F94" w:rsidRPr="003D3471" w14:paraId="77C8C1F6" w14:textId="77777777" w:rsidTr="00D84897">
        <w:tc>
          <w:tcPr>
            <w:tcW w:w="1795" w:type="dxa"/>
          </w:tcPr>
          <w:p w14:paraId="497A3FC3" w14:textId="77777777" w:rsidR="00A53F94" w:rsidRPr="00B17F07" w:rsidRDefault="00A53F94" w:rsidP="00D84897">
            <w:pPr>
              <w:rPr>
                <w:rFonts w:ascii="Arial" w:hAnsi="Arial" w:cs="Arial"/>
                <w:sz w:val="20"/>
                <w:szCs w:val="20"/>
              </w:rPr>
            </w:pPr>
            <w:r>
              <w:rPr>
                <w:rFonts w:ascii="Arial" w:hAnsi="Arial" w:cs="Arial"/>
                <w:sz w:val="20"/>
                <w:szCs w:val="20"/>
              </w:rPr>
              <w:t>Clinically actionable timeframe</w:t>
            </w:r>
          </w:p>
        </w:tc>
        <w:tc>
          <w:tcPr>
            <w:tcW w:w="2310" w:type="dxa"/>
          </w:tcPr>
          <w:p w14:paraId="71ED0377" w14:textId="77777777" w:rsidR="00A53F94" w:rsidRPr="00B17F07" w:rsidRDefault="00A53F94" w:rsidP="00D84897">
            <w:pPr>
              <w:rPr>
                <w:rFonts w:ascii="Arial" w:hAnsi="Arial" w:cs="Arial"/>
                <w:sz w:val="20"/>
                <w:szCs w:val="20"/>
              </w:rPr>
            </w:pPr>
            <w:r>
              <w:rPr>
                <w:rFonts w:ascii="Arial" w:hAnsi="Arial" w:cs="Arial"/>
                <w:sz w:val="20"/>
                <w:szCs w:val="20"/>
              </w:rPr>
              <w:t>Availability of results within a timeframe in which clinicians can make directed decisions based upon results (as opposed to empiric treatment decisions).</w:t>
            </w:r>
          </w:p>
        </w:tc>
        <w:tc>
          <w:tcPr>
            <w:tcW w:w="2496" w:type="dxa"/>
          </w:tcPr>
          <w:p w14:paraId="2CAACE17" w14:textId="77777777" w:rsidR="00A53F94" w:rsidRPr="00B17F07" w:rsidRDefault="00A53F94" w:rsidP="00D84897">
            <w:pPr>
              <w:rPr>
                <w:rFonts w:ascii="Arial" w:hAnsi="Arial" w:cs="Arial"/>
                <w:sz w:val="20"/>
                <w:szCs w:val="20"/>
              </w:rPr>
            </w:pPr>
            <w:r>
              <w:rPr>
                <w:rFonts w:ascii="Arial" w:hAnsi="Arial" w:cs="Arial"/>
                <w:sz w:val="20"/>
                <w:szCs w:val="20"/>
              </w:rPr>
              <w:t>Many factors contribute to results being available in a clinically actionable timeframe, such as location of testing, hours of operation, mechanisms for reporting results, speed/throughput of instruments, etc.</w:t>
            </w:r>
          </w:p>
        </w:tc>
        <w:tc>
          <w:tcPr>
            <w:tcW w:w="5364" w:type="dxa"/>
          </w:tcPr>
          <w:p w14:paraId="2FB10486" w14:textId="77777777" w:rsidR="00A53F94" w:rsidRPr="000E64B0" w:rsidRDefault="00A53F94" w:rsidP="00A53F94">
            <w:pPr>
              <w:pStyle w:val="Paragraphedeliste"/>
              <w:numPr>
                <w:ilvl w:val="0"/>
                <w:numId w:val="22"/>
              </w:numPr>
              <w:ind w:left="360"/>
              <w:contextualSpacing/>
              <w:rPr>
                <w:rFonts w:ascii="Arial" w:hAnsi="Arial" w:cs="Arial"/>
                <w:sz w:val="20"/>
                <w:szCs w:val="20"/>
              </w:rPr>
            </w:pPr>
            <w:r w:rsidRPr="000E64B0">
              <w:rPr>
                <w:rFonts w:ascii="Arial" w:hAnsi="Arial" w:cs="Arial"/>
                <w:sz w:val="20"/>
                <w:szCs w:val="20"/>
              </w:rPr>
              <w:t>Included tests if results available within 3 hours. (Vos, 2019)</w:t>
            </w:r>
          </w:p>
          <w:p w14:paraId="35075D0D" w14:textId="77777777" w:rsidR="00A53F94" w:rsidRPr="000E64B0" w:rsidRDefault="00A53F94" w:rsidP="00A53F94">
            <w:pPr>
              <w:pStyle w:val="Paragraphedeliste"/>
              <w:numPr>
                <w:ilvl w:val="0"/>
                <w:numId w:val="22"/>
              </w:numPr>
              <w:ind w:left="360"/>
              <w:contextualSpacing/>
              <w:rPr>
                <w:rFonts w:ascii="Arial" w:hAnsi="Arial" w:cs="Arial"/>
                <w:sz w:val="20"/>
                <w:szCs w:val="20"/>
              </w:rPr>
            </w:pPr>
            <w:r w:rsidRPr="000E64B0">
              <w:rPr>
                <w:rFonts w:ascii="Arial" w:hAnsi="Arial" w:cs="Arial"/>
                <w:sz w:val="20"/>
                <w:szCs w:val="20"/>
              </w:rPr>
              <w:t>Non-significant difference in antibiotic duration attributed to patients receiving antibiotics prior to randomization and/or prior to results being available to clinicians. (Brendish, 2017)</w:t>
            </w:r>
          </w:p>
          <w:p w14:paraId="7689836D" w14:textId="77777777" w:rsidR="00A53F94" w:rsidRPr="000E64B0" w:rsidRDefault="00A53F94" w:rsidP="00A53F94">
            <w:pPr>
              <w:pStyle w:val="Paragraphedeliste"/>
              <w:numPr>
                <w:ilvl w:val="0"/>
                <w:numId w:val="22"/>
              </w:numPr>
              <w:ind w:left="360"/>
              <w:contextualSpacing/>
              <w:rPr>
                <w:rFonts w:ascii="Arial" w:hAnsi="Arial" w:cs="Arial"/>
                <w:strike/>
                <w:sz w:val="20"/>
                <w:szCs w:val="20"/>
              </w:rPr>
            </w:pPr>
            <w:r w:rsidRPr="000E64B0">
              <w:rPr>
                <w:rFonts w:ascii="Arial" w:hAnsi="Arial" w:cs="Arial"/>
                <w:sz w:val="20"/>
                <w:szCs w:val="20"/>
              </w:rPr>
              <w:t>Infectious disease diagnostic results are frequently posted too late to influence clinical decisions.  (Andrews, 2017)</w:t>
            </w:r>
          </w:p>
          <w:p w14:paraId="1483E649" w14:textId="77777777" w:rsidR="00A53F94" w:rsidRPr="000E64B0" w:rsidRDefault="00A53F94" w:rsidP="00A53F94">
            <w:pPr>
              <w:pStyle w:val="Paragraphedeliste"/>
              <w:numPr>
                <w:ilvl w:val="0"/>
                <w:numId w:val="22"/>
              </w:numPr>
              <w:ind w:left="360"/>
              <w:contextualSpacing/>
              <w:rPr>
                <w:rFonts w:ascii="Arial" w:hAnsi="Arial" w:cs="Arial"/>
                <w:sz w:val="20"/>
                <w:szCs w:val="20"/>
              </w:rPr>
            </w:pPr>
            <w:r w:rsidRPr="000E64B0">
              <w:rPr>
                <w:rFonts w:ascii="Arial" w:hAnsi="Arial" w:cs="Arial"/>
                <w:sz w:val="20"/>
                <w:szCs w:val="20"/>
              </w:rPr>
              <w:t>PCR results received in ED before admission, was 13.4% (49/365) pre-RRP, and 51.5% (398/771) post-RRP. This study included only patients that were admitted to the hospital, therefore metrics on admission avoidance were absent. (Rogers, 2015)</w:t>
            </w:r>
          </w:p>
          <w:p w14:paraId="23263166" w14:textId="77777777" w:rsidR="00A53F94" w:rsidRPr="000E64B0" w:rsidRDefault="00A53F94" w:rsidP="00A53F94">
            <w:pPr>
              <w:pStyle w:val="Paragraphedeliste"/>
              <w:numPr>
                <w:ilvl w:val="0"/>
                <w:numId w:val="22"/>
              </w:numPr>
              <w:ind w:left="360"/>
              <w:contextualSpacing/>
              <w:rPr>
                <w:rFonts w:ascii="Arial" w:hAnsi="Arial" w:cs="Arial"/>
                <w:sz w:val="20"/>
                <w:szCs w:val="20"/>
              </w:rPr>
            </w:pPr>
            <w:r w:rsidRPr="000E64B0">
              <w:rPr>
                <w:rFonts w:ascii="Arial" w:hAnsi="Arial" w:cs="Arial"/>
                <w:sz w:val="20"/>
                <w:szCs w:val="20"/>
              </w:rPr>
              <w:t>When results were available after 6 hours, the decrease in antibiotic duration was no longer present, indicating that rapid tests had a measurable impact on physicians’ actions. (Rogers, 2015)</w:t>
            </w:r>
          </w:p>
          <w:p w14:paraId="0B41D659" w14:textId="77777777" w:rsidR="00A53F94" w:rsidRPr="00594F1F" w:rsidRDefault="00A53F94" w:rsidP="00D84897">
            <w:pPr>
              <w:pStyle w:val="Paragraphedeliste"/>
              <w:ind w:left="360"/>
              <w:rPr>
                <w:rFonts w:ascii="Arial" w:hAnsi="Arial" w:cs="Arial"/>
                <w:sz w:val="20"/>
                <w:szCs w:val="20"/>
              </w:rPr>
            </w:pPr>
          </w:p>
        </w:tc>
      </w:tr>
      <w:tr w:rsidR="00A53F94" w:rsidRPr="00B02CD2" w14:paraId="637D8A7A" w14:textId="77777777" w:rsidTr="00D84897">
        <w:tc>
          <w:tcPr>
            <w:tcW w:w="1795" w:type="dxa"/>
          </w:tcPr>
          <w:p w14:paraId="6BC5EBF5" w14:textId="77777777" w:rsidR="00A53F94" w:rsidRPr="00B17F07" w:rsidRDefault="00A53F94" w:rsidP="00D84897">
            <w:pPr>
              <w:rPr>
                <w:rFonts w:ascii="Arial" w:hAnsi="Arial" w:cs="Arial"/>
                <w:sz w:val="20"/>
                <w:szCs w:val="20"/>
              </w:rPr>
            </w:pPr>
            <w:r>
              <w:rPr>
                <w:rFonts w:ascii="Arial" w:hAnsi="Arial" w:cs="Arial"/>
                <w:sz w:val="20"/>
                <w:szCs w:val="20"/>
              </w:rPr>
              <w:t>Turnaround time/throughput</w:t>
            </w:r>
          </w:p>
        </w:tc>
        <w:tc>
          <w:tcPr>
            <w:tcW w:w="2310" w:type="dxa"/>
          </w:tcPr>
          <w:p w14:paraId="22F9FDEE" w14:textId="77777777" w:rsidR="00A53F94" w:rsidRDefault="00A53F94" w:rsidP="00D84897">
            <w:pPr>
              <w:rPr>
                <w:rFonts w:ascii="Arial" w:hAnsi="Arial" w:cs="Arial"/>
                <w:sz w:val="20"/>
                <w:szCs w:val="20"/>
              </w:rPr>
            </w:pPr>
            <w:r>
              <w:rPr>
                <w:rFonts w:ascii="Arial" w:hAnsi="Arial" w:cs="Arial"/>
                <w:sz w:val="20"/>
                <w:szCs w:val="20"/>
              </w:rPr>
              <w:t>Time it takes to receive test results</w:t>
            </w:r>
          </w:p>
          <w:p w14:paraId="6B8F6AE6" w14:textId="77777777" w:rsidR="00A53F94" w:rsidRDefault="00A53F94" w:rsidP="00D84897">
            <w:pPr>
              <w:rPr>
                <w:rFonts w:ascii="Arial" w:hAnsi="Arial" w:cs="Arial"/>
                <w:sz w:val="20"/>
                <w:szCs w:val="20"/>
              </w:rPr>
            </w:pPr>
          </w:p>
          <w:p w14:paraId="7804F8C8" w14:textId="77777777" w:rsidR="00A53F94" w:rsidRPr="00B17F07" w:rsidRDefault="00A53F94" w:rsidP="00D84897">
            <w:pPr>
              <w:rPr>
                <w:rFonts w:ascii="Arial" w:hAnsi="Arial" w:cs="Arial"/>
                <w:sz w:val="20"/>
                <w:szCs w:val="20"/>
              </w:rPr>
            </w:pPr>
            <w:r w:rsidRPr="00EA5693">
              <w:rPr>
                <w:rFonts w:ascii="Arial" w:hAnsi="Arial" w:cs="Arial"/>
                <w:sz w:val="20"/>
                <w:szCs w:val="20"/>
              </w:rPr>
              <w:t>The amount/volume of samples that can be run on a specific instrument.</w:t>
            </w:r>
            <w:r w:rsidRPr="00EA5693">
              <w:rPr>
                <w:rFonts w:ascii="Arial" w:hAnsi="Arial" w:cs="Arial"/>
                <w:sz w:val="20"/>
                <w:szCs w:val="20"/>
              </w:rPr>
              <w:tab/>
            </w:r>
          </w:p>
          <w:p w14:paraId="71C8FAFA" w14:textId="77777777" w:rsidR="00A53F94" w:rsidRPr="00B17F07" w:rsidRDefault="00A53F94" w:rsidP="00D84897">
            <w:pPr>
              <w:rPr>
                <w:rFonts w:ascii="Arial" w:hAnsi="Arial" w:cs="Arial"/>
                <w:sz w:val="20"/>
                <w:szCs w:val="20"/>
              </w:rPr>
            </w:pPr>
          </w:p>
        </w:tc>
        <w:tc>
          <w:tcPr>
            <w:tcW w:w="2496" w:type="dxa"/>
          </w:tcPr>
          <w:p w14:paraId="46513F6F" w14:textId="77777777" w:rsidR="00A53F94" w:rsidRDefault="00A53F94" w:rsidP="00D84897">
            <w:pPr>
              <w:rPr>
                <w:rFonts w:ascii="Arial" w:hAnsi="Arial" w:cs="Arial"/>
                <w:sz w:val="20"/>
                <w:szCs w:val="20"/>
              </w:rPr>
            </w:pPr>
            <w:r>
              <w:rPr>
                <w:rFonts w:ascii="Arial" w:hAnsi="Arial" w:cs="Arial"/>
                <w:sz w:val="20"/>
                <w:szCs w:val="20"/>
              </w:rPr>
              <w:t>Typically compared to standard/conventional testing techniques.</w:t>
            </w:r>
          </w:p>
          <w:p w14:paraId="35FB4D7B" w14:textId="77777777" w:rsidR="00A53F94" w:rsidRDefault="00A53F94" w:rsidP="00D84897">
            <w:pPr>
              <w:rPr>
                <w:rFonts w:ascii="Arial" w:hAnsi="Arial" w:cs="Arial"/>
                <w:sz w:val="20"/>
                <w:szCs w:val="20"/>
              </w:rPr>
            </w:pPr>
          </w:p>
          <w:p w14:paraId="04D83E74" w14:textId="77777777" w:rsidR="00A53F94" w:rsidRDefault="00A53F94" w:rsidP="00D84897">
            <w:pPr>
              <w:rPr>
                <w:rFonts w:ascii="Arial" w:hAnsi="Arial" w:cs="Arial"/>
                <w:sz w:val="20"/>
                <w:szCs w:val="20"/>
              </w:rPr>
            </w:pPr>
            <w:r>
              <w:rPr>
                <w:rFonts w:ascii="Arial" w:hAnsi="Arial" w:cs="Arial"/>
                <w:sz w:val="20"/>
                <w:szCs w:val="20"/>
              </w:rPr>
              <w:t>Heterogenous definitions with varying start/stop points.</w:t>
            </w:r>
          </w:p>
          <w:p w14:paraId="76E0A8A7" w14:textId="77777777" w:rsidR="00A53F94" w:rsidRDefault="00A53F94" w:rsidP="00D84897">
            <w:pPr>
              <w:rPr>
                <w:rFonts w:ascii="Arial" w:hAnsi="Arial" w:cs="Arial"/>
                <w:sz w:val="20"/>
                <w:szCs w:val="20"/>
              </w:rPr>
            </w:pPr>
          </w:p>
          <w:p w14:paraId="23B2F792" w14:textId="77777777" w:rsidR="00A53F94" w:rsidRDefault="00A53F94" w:rsidP="00D84897">
            <w:pPr>
              <w:rPr>
                <w:rFonts w:ascii="Arial" w:hAnsi="Arial" w:cs="Arial"/>
                <w:sz w:val="20"/>
                <w:szCs w:val="20"/>
              </w:rPr>
            </w:pPr>
            <w:r>
              <w:rPr>
                <w:rFonts w:ascii="Arial" w:hAnsi="Arial" w:cs="Arial"/>
                <w:sz w:val="20"/>
                <w:szCs w:val="20"/>
              </w:rPr>
              <w:t xml:space="preserve">Full concept includes pre-analytical, analytical, post-analytical, and each study determines that start/stop points for TAT, and pre/post processes can add significant delays if not efficient. </w:t>
            </w:r>
          </w:p>
          <w:p w14:paraId="23D05AE8" w14:textId="77777777" w:rsidR="00A53F94" w:rsidRDefault="00A53F94" w:rsidP="00D84897">
            <w:pPr>
              <w:rPr>
                <w:rFonts w:ascii="Arial" w:hAnsi="Arial" w:cs="Arial"/>
                <w:sz w:val="20"/>
                <w:szCs w:val="20"/>
              </w:rPr>
            </w:pPr>
          </w:p>
          <w:p w14:paraId="0B3C38F9" w14:textId="77777777" w:rsidR="00A53F94" w:rsidRPr="00EA5693" w:rsidRDefault="00A53F94" w:rsidP="00D84897">
            <w:pPr>
              <w:rPr>
                <w:rFonts w:ascii="Arial" w:hAnsi="Arial" w:cs="Arial"/>
                <w:sz w:val="20"/>
                <w:szCs w:val="20"/>
              </w:rPr>
            </w:pPr>
            <w:r w:rsidRPr="00EA5693">
              <w:rPr>
                <w:rFonts w:ascii="Arial" w:hAnsi="Arial" w:cs="Arial"/>
                <w:sz w:val="20"/>
                <w:szCs w:val="20"/>
              </w:rPr>
              <w:t xml:space="preserve">Instruments vary widely, and resource limited settings may not have the ability to keep up with sample volumes. </w:t>
            </w:r>
          </w:p>
          <w:p w14:paraId="20624EE6" w14:textId="77777777" w:rsidR="00A53F94" w:rsidRPr="00EA5693" w:rsidRDefault="00A53F94" w:rsidP="00D84897">
            <w:pPr>
              <w:rPr>
                <w:rFonts w:ascii="Arial" w:hAnsi="Arial" w:cs="Arial"/>
                <w:sz w:val="20"/>
                <w:szCs w:val="20"/>
              </w:rPr>
            </w:pPr>
          </w:p>
          <w:p w14:paraId="767987FF" w14:textId="77777777" w:rsidR="00A53F94" w:rsidRPr="00B17F07" w:rsidRDefault="00A53F94" w:rsidP="00D84897">
            <w:pPr>
              <w:rPr>
                <w:rFonts w:ascii="Arial" w:hAnsi="Arial" w:cs="Arial"/>
                <w:sz w:val="20"/>
                <w:szCs w:val="20"/>
              </w:rPr>
            </w:pPr>
            <w:r w:rsidRPr="00EA5693">
              <w:rPr>
                <w:rFonts w:ascii="Arial" w:hAnsi="Arial" w:cs="Arial"/>
                <w:sz w:val="20"/>
                <w:szCs w:val="20"/>
              </w:rPr>
              <w:t>Many POC instruments are low-throughput by design, as high-throughput instruments require more training and/or certified/trained staff.</w:t>
            </w:r>
          </w:p>
        </w:tc>
        <w:tc>
          <w:tcPr>
            <w:tcW w:w="5364" w:type="dxa"/>
          </w:tcPr>
          <w:p w14:paraId="2F63358D" w14:textId="77777777" w:rsidR="00A53F94" w:rsidRPr="000E64B0" w:rsidRDefault="00A53F94" w:rsidP="00A53F94">
            <w:pPr>
              <w:pStyle w:val="Paragraphedeliste"/>
              <w:numPr>
                <w:ilvl w:val="0"/>
                <w:numId w:val="23"/>
              </w:numPr>
              <w:ind w:left="360"/>
              <w:contextualSpacing/>
              <w:rPr>
                <w:rFonts w:ascii="Arial" w:hAnsi="Arial" w:cs="Arial"/>
                <w:sz w:val="20"/>
                <w:szCs w:val="20"/>
              </w:rPr>
            </w:pPr>
            <w:r w:rsidRPr="000E64B0">
              <w:rPr>
                <w:rFonts w:ascii="Arial" w:hAnsi="Arial" w:cs="Arial"/>
                <w:sz w:val="20"/>
                <w:szCs w:val="20"/>
              </w:rPr>
              <w:t xml:space="preserve">Studies unanimously found rapid molecular tests had reduced turnaround time. (Vos, 2019) </w:t>
            </w:r>
          </w:p>
          <w:p w14:paraId="0C0A3C11" w14:textId="77777777" w:rsidR="00A53F94" w:rsidRPr="000E64B0" w:rsidRDefault="00A53F94" w:rsidP="00A53F94">
            <w:pPr>
              <w:pStyle w:val="Paragraphedeliste"/>
              <w:numPr>
                <w:ilvl w:val="0"/>
                <w:numId w:val="23"/>
              </w:numPr>
              <w:ind w:left="360"/>
              <w:contextualSpacing/>
              <w:rPr>
                <w:rFonts w:ascii="Arial" w:hAnsi="Arial" w:cs="Arial"/>
                <w:sz w:val="20"/>
                <w:szCs w:val="20"/>
              </w:rPr>
            </w:pPr>
            <w:r w:rsidRPr="000E64B0">
              <w:rPr>
                <w:rFonts w:ascii="Arial" w:hAnsi="Arial" w:cs="Arial"/>
                <w:sz w:val="20"/>
                <w:szCs w:val="20"/>
              </w:rPr>
              <w:t>Median time to result from admission was 39.5h with standard of care, and 19h with rapid-PCR, p&lt;0.001. (Andrews, 2017)</w:t>
            </w:r>
          </w:p>
          <w:p w14:paraId="7FAF037B" w14:textId="77777777" w:rsidR="00A53F94" w:rsidRPr="000E64B0" w:rsidRDefault="00A53F94" w:rsidP="00A53F94">
            <w:pPr>
              <w:pStyle w:val="Paragraphedeliste"/>
              <w:numPr>
                <w:ilvl w:val="0"/>
                <w:numId w:val="23"/>
              </w:numPr>
              <w:ind w:left="360"/>
              <w:contextualSpacing/>
              <w:rPr>
                <w:rFonts w:ascii="Arial" w:hAnsi="Arial" w:cs="Arial"/>
                <w:sz w:val="20"/>
                <w:szCs w:val="20"/>
              </w:rPr>
            </w:pPr>
            <w:r w:rsidRPr="000E64B0">
              <w:rPr>
                <w:rFonts w:ascii="Arial" w:hAnsi="Arial" w:cs="Arial"/>
                <w:sz w:val="20"/>
                <w:szCs w:val="20"/>
              </w:rPr>
              <w:t>The mean TAT (n=230) for Luminex xTAG RVP was 46.4 h, vs. 3.1h for FilmArray (n=872), p&lt;0.001. (Pettit, 2015)</w:t>
            </w:r>
          </w:p>
          <w:p w14:paraId="7825856F" w14:textId="77777777" w:rsidR="00A53F94" w:rsidRPr="000E64B0" w:rsidRDefault="00A53F94" w:rsidP="00A53F94">
            <w:pPr>
              <w:pStyle w:val="Paragraphedeliste"/>
              <w:numPr>
                <w:ilvl w:val="0"/>
                <w:numId w:val="23"/>
              </w:numPr>
              <w:ind w:left="360"/>
              <w:contextualSpacing/>
              <w:rPr>
                <w:rFonts w:ascii="Arial" w:hAnsi="Arial" w:cs="Arial"/>
                <w:sz w:val="20"/>
                <w:szCs w:val="20"/>
              </w:rPr>
            </w:pPr>
            <w:r w:rsidRPr="000E64B0">
              <w:rPr>
                <w:rFonts w:ascii="Arial" w:hAnsi="Arial" w:cs="Arial"/>
                <w:sz w:val="20"/>
                <w:szCs w:val="20"/>
              </w:rPr>
              <w:t>Median TAT went from 7.7 h (rapid antigen group) to 1.7 hours (Filmarray group) for those with influenza (p=0.015). For non-influenza viruses, TAT went from 13.5 h to 1.5 hours, p&lt;0.001. (Rappo, 2016)</w:t>
            </w:r>
          </w:p>
          <w:p w14:paraId="527CE7FD" w14:textId="77777777" w:rsidR="00A53F94" w:rsidRPr="000E64B0" w:rsidRDefault="00A53F94" w:rsidP="00A53F94">
            <w:pPr>
              <w:pStyle w:val="Paragraphedeliste"/>
              <w:numPr>
                <w:ilvl w:val="0"/>
                <w:numId w:val="23"/>
              </w:numPr>
              <w:ind w:left="360"/>
              <w:contextualSpacing/>
              <w:rPr>
                <w:rFonts w:ascii="Arial" w:hAnsi="Arial" w:cs="Arial"/>
                <w:sz w:val="20"/>
                <w:szCs w:val="20"/>
              </w:rPr>
            </w:pPr>
            <w:r w:rsidRPr="000E64B0">
              <w:rPr>
                <w:rFonts w:ascii="Arial" w:hAnsi="Arial" w:cs="Arial"/>
                <w:sz w:val="20"/>
                <w:szCs w:val="20"/>
              </w:rPr>
              <w:t>Subgroup analysis of discordant results (between RAT and PCR) showed an even bigger increase in TAT (13.3h vs. 1.7h, p&lt;0.0001). (Rappo, 2016)</w:t>
            </w:r>
          </w:p>
          <w:p w14:paraId="1CDCA7B5" w14:textId="77777777" w:rsidR="00A53F94" w:rsidRPr="000E64B0" w:rsidRDefault="00A53F94" w:rsidP="00A53F94">
            <w:pPr>
              <w:pStyle w:val="Paragraphedeliste"/>
              <w:numPr>
                <w:ilvl w:val="0"/>
                <w:numId w:val="23"/>
              </w:numPr>
              <w:ind w:left="360"/>
              <w:contextualSpacing/>
              <w:rPr>
                <w:rFonts w:ascii="Arial" w:hAnsi="Arial" w:cs="Arial"/>
                <w:sz w:val="20"/>
                <w:szCs w:val="20"/>
              </w:rPr>
            </w:pPr>
            <w:r w:rsidRPr="000E64B0">
              <w:rPr>
                <w:rFonts w:ascii="Arial" w:hAnsi="Arial" w:cs="Arial"/>
                <w:sz w:val="20"/>
                <w:szCs w:val="20"/>
              </w:rPr>
              <w:t>Pre-RRP TAT was 1119 min (250-3705m), and 383m (72-3143m) post- RRP, p&lt;0.001. (Rogers, 2015)</w:t>
            </w:r>
          </w:p>
          <w:p w14:paraId="581A9994" w14:textId="77777777" w:rsidR="00A53F94" w:rsidRDefault="00A53F94" w:rsidP="00A53F94">
            <w:pPr>
              <w:pStyle w:val="Paragraphedeliste"/>
              <w:numPr>
                <w:ilvl w:val="0"/>
                <w:numId w:val="20"/>
              </w:numPr>
              <w:contextualSpacing/>
              <w:rPr>
                <w:rFonts w:ascii="Arial" w:hAnsi="Arial" w:cs="Arial"/>
                <w:sz w:val="20"/>
                <w:szCs w:val="20"/>
              </w:rPr>
            </w:pPr>
            <w:r>
              <w:rPr>
                <w:rFonts w:ascii="Arial" w:hAnsi="Arial" w:cs="Arial"/>
                <w:sz w:val="20"/>
                <w:szCs w:val="20"/>
              </w:rPr>
              <w:t>M</w:t>
            </w:r>
            <w:r w:rsidRPr="001A3DB1">
              <w:rPr>
                <w:rFonts w:ascii="Arial" w:hAnsi="Arial" w:cs="Arial"/>
                <w:sz w:val="20"/>
                <w:szCs w:val="20"/>
              </w:rPr>
              <w:t xml:space="preserve">ean </w:t>
            </w:r>
            <w:r>
              <w:rPr>
                <w:rFonts w:ascii="Arial" w:hAnsi="Arial" w:cs="Arial"/>
                <w:sz w:val="20"/>
                <w:szCs w:val="20"/>
              </w:rPr>
              <w:t xml:space="preserve">rapid molecular TAT </w:t>
            </w:r>
            <w:r w:rsidRPr="001A3DB1">
              <w:rPr>
                <w:rFonts w:ascii="Arial" w:hAnsi="Arial" w:cs="Arial"/>
                <w:sz w:val="20"/>
                <w:szCs w:val="20"/>
              </w:rPr>
              <w:t xml:space="preserve">2.3 hours [SD 1.4] vs </w:t>
            </w:r>
            <w:r>
              <w:rPr>
                <w:rFonts w:ascii="Arial" w:hAnsi="Arial" w:cs="Arial"/>
                <w:sz w:val="20"/>
                <w:szCs w:val="20"/>
              </w:rPr>
              <w:t xml:space="preserve">conventional test’s </w:t>
            </w:r>
            <w:r w:rsidRPr="001A3DB1">
              <w:rPr>
                <w:rFonts w:ascii="Arial" w:hAnsi="Arial" w:cs="Arial"/>
                <w:sz w:val="20"/>
                <w:szCs w:val="20"/>
              </w:rPr>
              <w:t>37.1 [21.5]</w:t>
            </w:r>
            <w:r>
              <w:rPr>
                <w:rFonts w:ascii="Arial" w:hAnsi="Arial" w:cs="Arial"/>
                <w:sz w:val="20"/>
                <w:szCs w:val="20"/>
              </w:rPr>
              <w:t xml:space="preserve"> (p&lt;0.001) (Brendish, 2017)</w:t>
            </w:r>
          </w:p>
          <w:p w14:paraId="0F829FE8" w14:textId="77777777" w:rsidR="00A53F94" w:rsidRDefault="00A53F94" w:rsidP="00A53F94">
            <w:pPr>
              <w:pStyle w:val="Paragraphedeliste"/>
              <w:numPr>
                <w:ilvl w:val="0"/>
                <w:numId w:val="20"/>
              </w:numPr>
              <w:contextualSpacing/>
              <w:rPr>
                <w:rFonts w:ascii="Arial" w:hAnsi="Arial" w:cs="Arial"/>
                <w:sz w:val="20"/>
                <w:szCs w:val="20"/>
              </w:rPr>
            </w:pPr>
            <w:r w:rsidRPr="001A3DB1">
              <w:rPr>
                <w:rFonts w:ascii="Arial" w:hAnsi="Arial" w:cs="Arial"/>
                <w:sz w:val="20"/>
                <w:szCs w:val="20"/>
              </w:rPr>
              <w:t>Median 19 hours [IQR 8.1–31.7] vs 39.5 [25.4–57.6]</w:t>
            </w:r>
            <w:r>
              <w:rPr>
                <w:rFonts w:ascii="Arial" w:hAnsi="Arial" w:cs="Arial"/>
                <w:sz w:val="20"/>
                <w:szCs w:val="20"/>
              </w:rPr>
              <w:t xml:space="preserve"> (p&lt;0.001) (Andrews, 2017)</w:t>
            </w:r>
          </w:p>
          <w:p w14:paraId="213D324B" w14:textId="77777777" w:rsidR="00A53F94" w:rsidRDefault="00A53F94" w:rsidP="00A53F94">
            <w:pPr>
              <w:pStyle w:val="Paragraphedeliste"/>
              <w:numPr>
                <w:ilvl w:val="0"/>
                <w:numId w:val="20"/>
              </w:numPr>
              <w:contextualSpacing/>
              <w:rPr>
                <w:rFonts w:ascii="Arial" w:hAnsi="Arial" w:cs="Arial"/>
                <w:sz w:val="20"/>
                <w:szCs w:val="20"/>
              </w:rPr>
            </w:pPr>
            <w:r w:rsidRPr="001A3DB1">
              <w:rPr>
                <w:rFonts w:ascii="Arial" w:hAnsi="Arial" w:cs="Arial"/>
                <w:sz w:val="20"/>
                <w:szCs w:val="20"/>
              </w:rPr>
              <w:t>Mean 2.1 hours [SD 0.7] vs 26.5 [15]</w:t>
            </w:r>
            <w:r>
              <w:rPr>
                <w:rFonts w:ascii="Arial" w:hAnsi="Arial" w:cs="Arial"/>
                <w:sz w:val="20"/>
                <w:szCs w:val="20"/>
              </w:rPr>
              <w:t xml:space="preserve"> (p&lt;0.001) (Gilbert, 2016)</w:t>
            </w:r>
          </w:p>
          <w:p w14:paraId="43BF24C3" w14:textId="77777777" w:rsidR="00A53F94" w:rsidRDefault="00A53F94" w:rsidP="00A53F94">
            <w:pPr>
              <w:pStyle w:val="Paragraphedeliste"/>
              <w:numPr>
                <w:ilvl w:val="0"/>
                <w:numId w:val="20"/>
              </w:numPr>
              <w:contextualSpacing/>
              <w:rPr>
                <w:rFonts w:ascii="Arial" w:hAnsi="Arial" w:cs="Arial"/>
                <w:sz w:val="20"/>
                <w:szCs w:val="20"/>
              </w:rPr>
            </w:pPr>
            <w:r w:rsidRPr="001A3DB1">
              <w:rPr>
                <w:rFonts w:ascii="Arial" w:hAnsi="Arial" w:cs="Arial"/>
                <w:sz w:val="20"/>
                <w:szCs w:val="20"/>
              </w:rPr>
              <w:t>Mean 1.8 hours [SD 0.3] vs 26.7 [16]</w:t>
            </w:r>
            <w:r>
              <w:rPr>
                <w:rFonts w:ascii="Arial" w:hAnsi="Arial" w:cs="Arial"/>
                <w:sz w:val="20"/>
                <w:szCs w:val="20"/>
              </w:rPr>
              <w:t xml:space="preserve"> (p&lt;0.001) (Gelfer, 2015)</w:t>
            </w:r>
          </w:p>
          <w:p w14:paraId="16F22B8D" w14:textId="77777777" w:rsidR="00A53F94" w:rsidRPr="00F448C6" w:rsidRDefault="00A53F94" w:rsidP="00A53F94">
            <w:pPr>
              <w:pStyle w:val="Paragraphedeliste"/>
              <w:numPr>
                <w:ilvl w:val="0"/>
                <w:numId w:val="20"/>
              </w:numPr>
              <w:contextualSpacing/>
              <w:rPr>
                <w:rFonts w:ascii="Arial" w:hAnsi="Arial" w:cs="Arial"/>
                <w:sz w:val="20"/>
                <w:szCs w:val="20"/>
              </w:rPr>
            </w:pPr>
            <w:r w:rsidRPr="000E64B0">
              <w:rPr>
                <w:rFonts w:ascii="Arial" w:hAnsi="Arial" w:cs="Arial"/>
                <w:sz w:val="20"/>
                <w:szCs w:val="20"/>
              </w:rPr>
              <w:t>Mean 6.4 hours [SD 4.9] vs 18.7 [8.2] (p&lt;0.001) (Rogers, 2014)</w:t>
            </w:r>
          </w:p>
        </w:tc>
      </w:tr>
      <w:tr w:rsidR="00A53F94" w:rsidRPr="00B17F07" w14:paraId="2CAC4133" w14:textId="77777777" w:rsidTr="00D84897">
        <w:tc>
          <w:tcPr>
            <w:tcW w:w="1795" w:type="dxa"/>
          </w:tcPr>
          <w:p w14:paraId="62364462" w14:textId="77777777" w:rsidR="00A53F94" w:rsidRPr="00E03CE4" w:rsidRDefault="00A53F94" w:rsidP="00D84897">
            <w:pPr>
              <w:rPr>
                <w:rFonts w:ascii="Arial" w:hAnsi="Arial" w:cs="Arial"/>
                <w:sz w:val="20"/>
                <w:szCs w:val="20"/>
              </w:rPr>
            </w:pPr>
            <w:r w:rsidRPr="00E03CE4">
              <w:rPr>
                <w:rFonts w:ascii="Arial" w:hAnsi="Arial" w:cs="Arial"/>
                <w:sz w:val="20"/>
                <w:szCs w:val="20"/>
              </w:rPr>
              <w:t>Education/</w:t>
            </w:r>
          </w:p>
          <w:p w14:paraId="56EA4A2D" w14:textId="77777777" w:rsidR="00A53F94" w:rsidRPr="00B17F07" w:rsidRDefault="00A53F94" w:rsidP="00D84897">
            <w:pPr>
              <w:rPr>
                <w:rFonts w:ascii="Arial" w:hAnsi="Arial" w:cs="Arial"/>
                <w:sz w:val="20"/>
                <w:szCs w:val="20"/>
              </w:rPr>
            </w:pPr>
            <w:r w:rsidRPr="00E03CE4">
              <w:rPr>
                <w:rFonts w:ascii="Arial" w:hAnsi="Arial" w:cs="Arial"/>
                <w:sz w:val="20"/>
                <w:szCs w:val="20"/>
              </w:rPr>
              <w:t>training</w:t>
            </w:r>
          </w:p>
        </w:tc>
        <w:tc>
          <w:tcPr>
            <w:tcW w:w="2310" w:type="dxa"/>
          </w:tcPr>
          <w:p w14:paraId="752C93BC" w14:textId="77777777" w:rsidR="00A53F94" w:rsidRPr="00B17F07" w:rsidRDefault="00A53F94" w:rsidP="00D84897">
            <w:pPr>
              <w:rPr>
                <w:rFonts w:ascii="Arial" w:hAnsi="Arial" w:cs="Arial"/>
                <w:sz w:val="20"/>
                <w:szCs w:val="20"/>
              </w:rPr>
            </w:pPr>
            <w:r>
              <w:rPr>
                <w:rFonts w:ascii="Arial" w:hAnsi="Arial" w:cs="Arial"/>
                <w:sz w:val="20"/>
                <w:szCs w:val="20"/>
              </w:rPr>
              <w:t xml:space="preserve">Information provided to clinicians regarding the appropriate use of diagnostic tests to guide treatment decisions. </w:t>
            </w:r>
          </w:p>
        </w:tc>
        <w:tc>
          <w:tcPr>
            <w:tcW w:w="2496" w:type="dxa"/>
          </w:tcPr>
          <w:p w14:paraId="4A2C8902" w14:textId="77777777" w:rsidR="00A53F94" w:rsidRDefault="00A53F94" w:rsidP="00D84897">
            <w:pPr>
              <w:rPr>
                <w:rFonts w:ascii="Arial" w:hAnsi="Arial" w:cs="Arial"/>
                <w:sz w:val="20"/>
                <w:szCs w:val="20"/>
              </w:rPr>
            </w:pPr>
            <w:r>
              <w:rPr>
                <w:rFonts w:ascii="Arial" w:hAnsi="Arial" w:cs="Arial"/>
                <w:sz w:val="20"/>
                <w:szCs w:val="20"/>
              </w:rPr>
              <w:t>May take on many different forms/formats.</w:t>
            </w:r>
          </w:p>
          <w:p w14:paraId="2990F95B" w14:textId="77777777" w:rsidR="00A53F94" w:rsidRDefault="00A53F94" w:rsidP="00D84897">
            <w:pPr>
              <w:rPr>
                <w:rFonts w:ascii="Arial" w:hAnsi="Arial" w:cs="Arial"/>
                <w:sz w:val="20"/>
                <w:szCs w:val="20"/>
              </w:rPr>
            </w:pPr>
          </w:p>
          <w:p w14:paraId="39BAD38D" w14:textId="77777777" w:rsidR="00A53F94" w:rsidRDefault="00A53F94" w:rsidP="00D84897">
            <w:pPr>
              <w:rPr>
                <w:rFonts w:ascii="Arial" w:hAnsi="Arial" w:cs="Arial"/>
                <w:sz w:val="20"/>
                <w:szCs w:val="20"/>
              </w:rPr>
            </w:pPr>
            <w:r>
              <w:rPr>
                <w:rFonts w:ascii="Arial" w:hAnsi="Arial" w:cs="Arial"/>
                <w:sz w:val="20"/>
                <w:szCs w:val="20"/>
              </w:rPr>
              <w:t>May involve different stakeholders across institutions.</w:t>
            </w:r>
          </w:p>
          <w:p w14:paraId="4F52AA9A" w14:textId="77777777" w:rsidR="00A53F94" w:rsidRDefault="00A53F94" w:rsidP="00D84897">
            <w:pPr>
              <w:rPr>
                <w:rFonts w:ascii="Arial" w:hAnsi="Arial" w:cs="Arial"/>
                <w:sz w:val="20"/>
                <w:szCs w:val="20"/>
              </w:rPr>
            </w:pPr>
          </w:p>
          <w:p w14:paraId="3167C2BE" w14:textId="77777777" w:rsidR="00A53F94" w:rsidRPr="00B17F07" w:rsidRDefault="00A53F94" w:rsidP="00D84897">
            <w:pPr>
              <w:rPr>
                <w:rFonts w:ascii="Arial" w:hAnsi="Arial" w:cs="Arial"/>
                <w:sz w:val="20"/>
                <w:szCs w:val="20"/>
              </w:rPr>
            </w:pPr>
            <w:r>
              <w:rPr>
                <w:rFonts w:ascii="Arial" w:hAnsi="Arial" w:cs="Arial"/>
                <w:sz w:val="20"/>
                <w:szCs w:val="20"/>
              </w:rPr>
              <w:t>May be a one-time or ongoing intervention, including the development of dedicated teams (i.e. Antimicrobial Stewardship Programs)</w:t>
            </w:r>
          </w:p>
        </w:tc>
        <w:tc>
          <w:tcPr>
            <w:tcW w:w="5364" w:type="dxa"/>
          </w:tcPr>
          <w:p w14:paraId="74A6C2F8" w14:textId="77777777" w:rsidR="00A53F94" w:rsidRPr="00FA3C92" w:rsidRDefault="00A53F94" w:rsidP="00A53F94">
            <w:pPr>
              <w:pStyle w:val="Paragraphedeliste"/>
              <w:numPr>
                <w:ilvl w:val="0"/>
                <w:numId w:val="24"/>
              </w:numPr>
              <w:ind w:left="360"/>
              <w:contextualSpacing/>
              <w:rPr>
                <w:rFonts w:ascii="Arial" w:hAnsi="Arial" w:cs="Arial"/>
                <w:sz w:val="20"/>
                <w:szCs w:val="20"/>
              </w:rPr>
            </w:pPr>
            <w:r w:rsidRPr="00FA3C92">
              <w:rPr>
                <w:rFonts w:ascii="Arial" w:hAnsi="Arial" w:cs="Arial"/>
                <w:sz w:val="20"/>
                <w:szCs w:val="20"/>
              </w:rPr>
              <w:t>Relatively low rates of antibiotic discontinuation, even when multiplex PCR and procalcitonin values indicate viral infection, indicate the need for education and/or antimicrobial stewardship interventions to guide the appropriate use/avoidance of antibiotics for respiratory infection. (Timbrook, 2015)</w:t>
            </w:r>
          </w:p>
          <w:p w14:paraId="3C929D07" w14:textId="77777777" w:rsidR="00A53F94" w:rsidRPr="00FA3C92" w:rsidRDefault="00A53F94" w:rsidP="00A53F94">
            <w:pPr>
              <w:pStyle w:val="Paragraphedeliste"/>
              <w:numPr>
                <w:ilvl w:val="0"/>
                <w:numId w:val="24"/>
              </w:numPr>
              <w:ind w:left="360"/>
              <w:contextualSpacing/>
              <w:rPr>
                <w:rFonts w:ascii="Arial" w:hAnsi="Arial" w:cs="Arial"/>
                <w:sz w:val="20"/>
                <w:szCs w:val="20"/>
              </w:rPr>
            </w:pPr>
            <w:r w:rsidRPr="00FA3C92">
              <w:rPr>
                <w:rFonts w:ascii="Arial" w:hAnsi="Arial" w:cs="Arial"/>
                <w:sz w:val="20"/>
                <w:szCs w:val="20"/>
              </w:rPr>
              <w:t>High rates of inappropriate antibiotic use, despite the availability of molecular respiratory tests, led to implementation of improved training sessions. There was a decrease in inappropriate antibiotic use among inpatients. Training intervention is not described. (Keske, 2018)</w:t>
            </w:r>
          </w:p>
          <w:p w14:paraId="5F9EF5F9" w14:textId="77777777" w:rsidR="00A53F94" w:rsidRPr="00FA3C92" w:rsidRDefault="00A53F94" w:rsidP="00A53F94">
            <w:pPr>
              <w:pStyle w:val="Paragraphedeliste"/>
              <w:numPr>
                <w:ilvl w:val="0"/>
                <w:numId w:val="24"/>
              </w:numPr>
              <w:ind w:left="360"/>
              <w:contextualSpacing/>
              <w:rPr>
                <w:rFonts w:ascii="Arial" w:hAnsi="Arial" w:cs="Arial"/>
                <w:sz w:val="20"/>
                <w:szCs w:val="20"/>
              </w:rPr>
            </w:pPr>
            <w:r w:rsidRPr="00FA3C92">
              <w:rPr>
                <w:rFonts w:ascii="Arial" w:hAnsi="Arial" w:cs="Arial"/>
                <w:sz w:val="20"/>
                <w:szCs w:val="20"/>
              </w:rPr>
              <w:t>Training efforts may affect uptake of tests, appropriate patient selection, appropriate interpretation, and appropriate subsequent interventions. (Vos, 2019)</w:t>
            </w:r>
          </w:p>
          <w:p w14:paraId="704F48E4" w14:textId="77777777" w:rsidR="00A53F94" w:rsidRPr="00BE134A" w:rsidRDefault="00A53F94" w:rsidP="00D84897">
            <w:pPr>
              <w:jc w:val="right"/>
              <w:rPr>
                <w:rFonts w:ascii="Arial" w:hAnsi="Arial" w:cs="Arial"/>
                <w:sz w:val="20"/>
                <w:szCs w:val="20"/>
              </w:rPr>
            </w:pPr>
          </w:p>
        </w:tc>
      </w:tr>
      <w:tr w:rsidR="00A53F94" w:rsidRPr="001E2DD7" w14:paraId="13B70460" w14:textId="77777777" w:rsidTr="00D84897">
        <w:trPr>
          <w:trHeight w:val="288"/>
        </w:trPr>
        <w:tc>
          <w:tcPr>
            <w:tcW w:w="1795" w:type="dxa"/>
            <w:vMerge w:val="restart"/>
          </w:tcPr>
          <w:p w14:paraId="674E0A6E" w14:textId="77777777" w:rsidR="00A53F94" w:rsidRDefault="00A53F94" w:rsidP="00D84897">
            <w:pPr>
              <w:rPr>
                <w:rFonts w:ascii="Arial" w:hAnsi="Arial" w:cs="Arial"/>
                <w:sz w:val="20"/>
                <w:szCs w:val="20"/>
              </w:rPr>
            </w:pPr>
            <w:r>
              <w:rPr>
                <w:rFonts w:ascii="Arial" w:hAnsi="Arial" w:cs="Arial"/>
                <w:sz w:val="20"/>
                <w:szCs w:val="20"/>
              </w:rPr>
              <w:t>Ancillary testing</w:t>
            </w:r>
          </w:p>
        </w:tc>
        <w:tc>
          <w:tcPr>
            <w:tcW w:w="2310" w:type="dxa"/>
            <w:vMerge w:val="restart"/>
          </w:tcPr>
          <w:p w14:paraId="37F3140C" w14:textId="77777777" w:rsidR="00A53F94" w:rsidRPr="00B17F07" w:rsidRDefault="00A53F94" w:rsidP="00D84897">
            <w:pPr>
              <w:rPr>
                <w:rFonts w:ascii="Arial" w:hAnsi="Arial" w:cs="Arial"/>
                <w:sz w:val="20"/>
                <w:szCs w:val="20"/>
              </w:rPr>
            </w:pPr>
            <w:r>
              <w:rPr>
                <w:rFonts w:ascii="Arial" w:hAnsi="Arial" w:cs="Arial"/>
                <w:sz w:val="20"/>
                <w:szCs w:val="20"/>
              </w:rPr>
              <w:t>Diagnostic screening in addition to multiplex PCR, used to help guide diagnosis and/or treatment decisions.</w:t>
            </w:r>
          </w:p>
        </w:tc>
        <w:tc>
          <w:tcPr>
            <w:tcW w:w="2496" w:type="dxa"/>
            <w:vMerge w:val="restart"/>
          </w:tcPr>
          <w:p w14:paraId="0354F465" w14:textId="77777777" w:rsidR="00A53F94" w:rsidRDefault="00A53F94" w:rsidP="00D84897">
            <w:pPr>
              <w:rPr>
                <w:rFonts w:ascii="Arial" w:hAnsi="Arial" w:cs="Arial"/>
                <w:sz w:val="20"/>
                <w:szCs w:val="20"/>
              </w:rPr>
            </w:pPr>
            <w:r>
              <w:rPr>
                <w:rFonts w:ascii="Arial" w:hAnsi="Arial" w:cs="Arial"/>
                <w:sz w:val="20"/>
                <w:szCs w:val="20"/>
              </w:rPr>
              <w:t xml:space="preserve">Detection of secondary biomarkers may impact a variety of outcomes, including decision to admit/board/discharge, decision to prescribe/discontinue antimicrobials, etc. They may also provide prognostic information. </w:t>
            </w:r>
          </w:p>
          <w:p w14:paraId="6D30669C" w14:textId="77777777" w:rsidR="00A53F94" w:rsidRDefault="00A53F94" w:rsidP="00D84897">
            <w:pPr>
              <w:rPr>
                <w:rFonts w:ascii="Arial" w:hAnsi="Arial" w:cs="Arial"/>
                <w:sz w:val="20"/>
                <w:szCs w:val="20"/>
              </w:rPr>
            </w:pPr>
          </w:p>
          <w:p w14:paraId="74DD570C" w14:textId="77777777" w:rsidR="00A53F94" w:rsidRDefault="00A53F94" w:rsidP="00D84897">
            <w:pPr>
              <w:rPr>
                <w:rFonts w:ascii="Arial" w:hAnsi="Arial" w:cs="Arial"/>
                <w:sz w:val="20"/>
                <w:szCs w:val="20"/>
              </w:rPr>
            </w:pPr>
            <w:r w:rsidRPr="00FA3C92">
              <w:rPr>
                <w:rFonts w:ascii="Arial" w:hAnsi="Arial" w:cs="Arial"/>
                <w:sz w:val="20"/>
                <w:szCs w:val="20"/>
              </w:rPr>
              <w:t>Some ancillary testing is deemed necessary (e.g. culture/susceptibility) while others may be avoided, if the “primary” test is reliable and provides the required information to guide diagnosis and treatment decisions.</w:t>
            </w:r>
          </w:p>
          <w:p w14:paraId="6A61592C" w14:textId="77777777" w:rsidR="00A53F94" w:rsidRDefault="00A53F94" w:rsidP="00D84897">
            <w:pPr>
              <w:rPr>
                <w:rFonts w:ascii="Arial" w:hAnsi="Arial" w:cs="Arial"/>
                <w:sz w:val="20"/>
                <w:szCs w:val="20"/>
              </w:rPr>
            </w:pPr>
          </w:p>
          <w:p w14:paraId="33A6E9E4" w14:textId="77777777" w:rsidR="00A53F94" w:rsidRDefault="00A53F94" w:rsidP="00D84897">
            <w:pPr>
              <w:rPr>
                <w:rFonts w:ascii="Arial" w:hAnsi="Arial" w:cs="Arial"/>
                <w:sz w:val="20"/>
                <w:szCs w:val="20"/>
              </w:rPr>
            </w:pPr>
            <w:r>
              <w:rPr>
                <w:rFonts w:ascii="Arial" w:hAnsi="Arial" w:cs="Arial"/>
                <w:sz w:val="20"/>
                <w:szCs w:val="20"/>
              </w:rPr>
              <w:t xml:space="preserve">Diagnostic screening tools and recommendations vary significantly, and may use laboratory, imaging, or other techniques. </w:t>
            </w:r>
          </w:p>
        </w:tc>
        <w:tc>
          <w:tcPr>
            <w:tcW w:w="5364" w:type="dxa"/>
          </w:tcPr>
          <w:p w14:paraId="2567A1CD" w14:textId="77777777" w:rsidR="00A53F94" w:rsidRPr="00D56CD1" w:rsidRDefault="00A53F94" w:rsidP="00D84897">
            <w:pPr>
              <w:jc w:val="center"/>
              <w:rPr>
                <w:rFonts w:ascii="Arial" w:hAnsi="Arial" w:cs="Arial"/>
                <w:b/>
                <w:bCs/>
                <w:sz w:val="20"/>
                <w:szCs w:val="20"/>
              </w:rPr>
            </w:pPr>
            <w:r w:rsidRPr="00D56CD1">
              <w:rPr>
                <w:rFonts w:ascii="Arial" w:hAnsi="Arial" w:cs="Arial"/>
                <w:b/>
                <w:bCs/>
                <w:sz w:val="20"/>
                <w:szCs w:val="20"/>
              </w:rPr>
              <w:t>Procalcitonin (PCT)</w:t>
            </w:r>
          </w:p>
        </w:tc>
      </w:tr>
      <w:tr w:rsidR="00A53F94" w:rsidRPr="001E2DD7" w14:paraId="25BDFF64" w14:textId="77777777" w:rsidTr="00D84897">
        <w:trPr>
          <w:trHeight w:val="20"/>
        </w:trPr>
        <w:tc>
          <w:tcPr>
            <w:tcW w:w="1795" w:type="dxa"/>
            <w:vMerge/>
          </w:tcPr>
          <w:p w14:paraId="6F2F949D" w14:textId="77777777" w:rsidR="00A53F94" w:rsidRDefault="00A53F94" w:rsidP="00D84897">
            <w:pPr>
              <w:rPr>
                <w:rFonts w:ascii="Arial" w:hAnsi="Arial" w:cs="Arial"/>
                <w:sz w:val="20"/>
                <w:szCs w:val="20"/>
              </w:rPr>
            </w:pPr>
          </w:p>
        </w:tc>
        <w:tc>
          <w:tcPr>
            <w:tcW w:w="2310" w:type="dxa"/>
            <w:vMerge/>
          </w:tcPr>
          <w:p w14:paraId="0F653EA7" w14:textId="77777777" w:rsidR="00A53F94" w:rsidRDefault="00A53F94" w:rsidP="00D84897">
            <w:pPr>
              <w:rPr>
                <w:rFonts w:ascii="Arial" w:hAnsi="Arial" w:cs="Arial"/>
                <w:sz w:val="20"/>
                <w:szCs w:val="20"/>
              </w:rPr>
            </w:pPr>
          </w:p>
        </w:tc>
        <w:tc>
          <w:tcPr>
            <w:tcW w:w="2496" w:type="dxa"/>
            <w:vMerge/>
          </w:tcPr>
          <w:p w14:paraId="3A214AA2" w14:textId="77777777" w:rsidR="00A53F94" w:rsidRDefault="00A53F94" w:rsidP="00D84897">
            <w:pPr>
              <w:rPr>
                <w:rFonts w:ascii="Arial" w:hAnsi="Arial" w:cs="Arial"/>
                <w:sz w:val="20"/>
                <w:szCs w:val="20"/>
              </w:rPr>
            </w:pPr>
          </w:p>
        </w:tc>
        <w:tc>
          <w:tcPr>
            <w:tcW w:w="5364" w:type="dxa"/>
          </w:tcPr>
          <w:p w14:paraId="2A390B02" w14:textId="77777777" w:rsidR="00A53F94" w:rsidRDefault="00A53F94" w:rsidP="00A53F94">
            <w:pPr>
              <w:pStyle w:val="Paragraphedeliste"/>
              <w:numPr>
                <w:ilvl w:val="0"/>
                <w:numId w:val="25"/>
              </w:numPr>
              <w:ind w:left="360"/>
              <w:contextualSpacing/>
              <w:rPr>
                <w:rFonts w:ascii="Arial" w:hAnsi="Arial" w:cs="Arial"/>
                <w:sz w:val="20"/>
                <w:szCs w:val="20"/>
              </w:rPr>
            </w:pPr>
            <w:r w:rsidRPr="0076543A">
              <w:rPr>
                <w:rFonts w:ascii="Arial" w:hAnsi="Arial" w:cs="Arial"/>
                <w:sz w:val="20"/>
                <w:szCs w:val="20"/>
              </w:rPr>
              <w:t>Procalcitonin in combination with molecular diagnostics may further discriminate between viral/bacterial causes. (Vos, 2019)</w:t>
            </w:r>
          </w:p>
          <w:p w14:paraId="6968239E" w14:textId="77777777" w:rsidR="00A53F94" w:rsidRPr="0076543A" w:rsidRDefault="00A53F94" w:rsidP="00A53F94">
            <w:pPr>
              <w:pStyle w:val="Paragraphedeliste"/>
              <w:numPr>
                <w:ilvl w:val="0"/>
                <w:numId w:val="25"/>
              </w:numPr>
              <w:ind w:left="360"/>
              <w:contextualSpacing/>
              <w:rPr>
                <w:rFonts w:ascii="Arial" w:hAnsi="Arial" w:cs="Arial"/>
                <w:sz w:val="20"/>
                <w:szCs w:val="20"/>
              </w:rPr>
            </w:pPr>
            <w:r w:rsidRPr="0076543A">
              <w:rPr>
                <w:rFonts w:ascii="Arial" w:hAnsi="Arial" w:cs="Arial"/>
                <w:sz w:val="20"/>
                <w:szCs w:val="20"/>
              </w:rPr>
              <w:t>PCT concentrations are significantly lower in those with a virus-only detection vs. those with a bacterial, or a combination bacterial-viral detection, p&lt;0.003. (Gilbert, 2016).</w:t>
            </w:r>
          </w:p>
          <w:p w14:paraId="5B2B40B5" w14:textId="77777777" w:rsidR="00A53F94" w:rsidRPr="0076543A" w:rsidRDefault="00A53F94" w:rsidP="00A53F94">
            <w:pPr>
              <w:pStyle w:val="Paragraphedeliste"/>
              <w:numPr>
                <w:ilvl w:val="0"/>
                <w:numId w:val="25"/>
              </w:numPr>
              <w:ind w:left="360"/>
              <w:contextualSpacing/>
              <w:rPr>
                <w:rFonts w:ascii="Arial" w:hAnsi="Arial" w:cs="Arial"/>
                <w:sz w:val="20"/>
                <w:szCs w:val="20"/>
              </w:rPr>
            </w:pPr>
            <w:r>
              <w:rPr>
                <w:rFonts w:ascii="Arial" w:hAnsi="Arial" w:cs="Arial"/>
                <w:sz w:val="20"/>
                <w:szCs w:val="20"/>
              </w:rPr>
              <w:t>PCT values reliably</w:t>
            </w:r>
            <w:r w:rsidRPr="0076543A">
              <w:rPr>
                <w:rFonts w:ascii="Arial" w:hAnsi="Arial" w:cs="Arial"/>
                <w:sz w:val="20"/>
                <w:szCs w:val="20"/>
              </w:rPr>
              <w:t xml:space="preserve"> distinguish </w:t>
            </w:r>
            <w:r>
              <w:rPr>
                <w:rFonts w:ascii="Arial" w:hAnsi="Arial" w:cs="Arial"/>
                <w:sz w:val="20"/>
                <w:szCs w:val="20"/>
              </w:rPr>
              <w:t xml:space="preserve">between </w:t>
            </w:r>
            <w:r w:rsidRPr="0076543A">
              <w:rPr>
                <w:rFonts w:ascii="Arial" w:hAnsi="Arial" w:cs="Arial"/>
                <w:sz w:val="20"/>
                <w:szCs w:val="20"/>
              </w:rPr>
              <w:t xml:space="preserve">viral </w:t>
            </w:r>
            <w:r>
              <w:rPr>
                <w:rFonts w:ascii="Arial" w:hAnsi="Arial" w:cs="Arial"/>
                <w:sz w:val="20"/>
                <w:szCs w:val="20"/>
              </w:rPr>
              <w:t>and</w:t>
            </w:r>
            <w:r w:rsidRPr="0076543A">
              <w:rPr>
                <w:rFonts w:ascii="Arial" w:hAnsi="Arial" w:cs="Arial"/>
                <w:sz w:val="20"/>
                <w:szCs w:val="20"/>
              </w:rPr>
              <w:t xml:space="preserve"> bacterial infection within 2-8 hours of admission</w:t>
            </w:r>
            <w:r>
              <w:rPr>
                <w:rFonts w:ascii="Arial" w:hAnsi="Arial" w:cs="Arial"/>
                <w:sz w:val="20"/>
                <w:szCs w:val="20"/>
              </w:rPr>
              <w:t xml:space="preserve">, which impacts the length of empiric respiratory isolation and can guide decisions to continue antibiotic treatment before a second dose of empiric antibiotics is given. </w:t>
            </w:r>
            <w:r w:rsidRPr="0076543A">
              <w:rPr>
                <w:rFonts w:ascii="Arial" w:hAnsi="Arial" w:cs="Arial"/>
                <w:sz w:val="20"/>
                <w:szCs w:val="20"/>
              </w:rPr>
              <w:t>Potential reduction in costs and additional X-rays</w:t>
            </w:r>
            <w:r>
              <w:rPr>
                <w:rFonts w:ascii="Arial" w:hAnsi="Arial" w:cs="Arial"/>
                <w:sz w:val="20"/>
                <w:szCs w:val="20"/>
              </w:rPr>
              <w:t>.</w:t>
            </w:r>
            <w:r w:rsidRPr="0076543A">
              <w:rPr>
                <w:rFonts w:ascii="Arial" w:hAnsi="Arial" w:cs="Arial"/>
                <w:sz w:val="20"/>
                <w:szCs w:val="20"/>
              </w:rPr>
              <w:t xml:space="preserve"> (Gilbert, 2016)</w:t>
            </w:r>
          </w:p>
          <w:p w14:paraId="255E5791" w14:textId="77777777" w:rsidR="00A53F94" w:rsidRDefault="00A53F94" w:rsidP="00A53F94">
            <w:pPr>
              <w:pStyle w:val="Paragraphedeliste"/>
              <w:numPr>
                <w:ilvl w:val="0"/>
                <w:numId w:val="25"/>
              </w:numPr>
              <w:ind w:left="360"/>
              <w:contextualSpacing/>
              <w:rPr>
                <w:rFonts w:ascii="Arial" w:hAnsi="Arial" w:cs="Arial"/>
                <w:sz w:val="20"/>
                <w:szCs w:val="20"/>
              </w:rPr>
            </w:pPr>
            <w:r>
              <w:rPr>
                <w:rFonts w:ascii="Arial" w:hAnsi="Arial" w:cs="Arial"/>
                <w:sz w:val="20"/>
                <w:szCs w:val="20"/>
              </w:rPr>
              <w:t xml:space="preserve">PCT levels </w:t>
            </w:r>
            <w:r w:rsidRPr="0076543A">
              <w:rPr>
                <w:rFonts w:ascii="Arial" w:hAnsi="Arial" w:cs="Arial"/>
                <w:sz w:val="20"/>
                <w:szCs w:val="20"/>
              </w:rPr>
              <w:t>≤0.1 ng/mL</w:t>
            </w:r>
            <w:r>
              <w:rPr>
                <w:rFonts w:ascii="Arial" w:hAnsi="Arial" w:cs="Arial"/>
                <w:sz w:val="20"/>
                <w:szCs w:val="20"/>
              </w:rPr>
              <w:t xml:space="preserve"> indicate the absence of invasive bacterial disease and support an interpretation of bacterial colonization when S. pneumoniae, H. influenzae, S. aureus, or other bacterial pathogens are detected. </w:t>
            </w:r>
            <w:r w:rsidRPr="0076543A">
              <w:rPr>
                <w:rFonts w:ascii="Arial" w:hAnsi="Arial" w:cs="Arial"/>
                <w:sz w:val="20"/>
                <w:szCs w:val="20"/>
              </w:rPr>
              <w:t>(Gilbert, 2016)</w:t>
            </w:r>
          </w:p>
          <w:p w14:paraId="2F521A29" w14:textId="77777777" w:rsidR="00A53F94" w:rsidRPr="00CA3034" w:rsidRDefault="00A53F94" w:rsidP="00A53F94">
            <w:pPr>
              <w:pStyle w:val="Paragraphedeliste"/>
              <w:numPr>
                <w:ilvl w:val="0"/>
                <w:numId w:val="25"/>
              </w:numPr>
              <w:ind w:left="360"/>
              <w:contextualSpacing/>
              <w:rPr>
                <w:rFonts w:ascii="Arial" w:hAnsi="Arial" w:cs="Arial"/>
                <w:sz w:val="20"/>
                <w:szCs w:val="20"/>
              </w:rPr>
            </w:pPr>
            <w:r w:rsidRPr="0076543A">
              <w:rPr>
                <w:rFonts w:ascii="Arial" w:hAnsi="Arial" w:cs="Arial"/>
                <w:sz w:val="20"/>
                <w:szCs w:val="20"/>
              </w:rPr>
              <w:t>In 25 patients (13 standard and 12 FilmArray), the NPPCR detected a pathogenic virus without a concomitant bacterial pathogen, a clinical presentation consistent with a viral pneumonia, and a serum PCT level ≤0.1 ng/m</w:t>
            </w:r>
            <w:r>
              <w:rPr>
                <w:rFonts w:ascii="Arial" w:hAnsi="Arial" w:cs="Arial"/>
                <w:sz w:val="20"/>
                <w:szCs w:val="20"/>
              </w:rPr>
              <w:t xml:space="preserve">l. </w:t>
            </w:r>
            <w:r w:rsidRPr="0076543A">
              <w:rPr>
                <w:rFonts w:ascii="Arial" w:hAnsi="Arial" w:cs="Arial"/>
                <w:sz w:val="20"/>
                <w:szCs w:val="20"/>
              </w:rPr>
              <w:t>Nonetheless, discontinuation of the empiric antibiotics within 48 hours of test results occurred in only 8 of the 25 (32%) patients. Despite the faster turn-around time for FilmArray patients, discontinuation of empiric antibiotics was almost identical (5 FilmArray patients and 3 standard patients). (Gilbert, 2016)</w:t>
            </w:r>
          </w:p>
          <w:p w14:paraId="7BC2717B" w14:textId="77777777" w:rsidR="00A53F94" w:rsidRPr="0076543A" w:rsidRDefault="00A53F94" w:rsidP="00A53F94">
            <w:pPr>
              <w:pStyle w:val="Paragraphedeliste"/>
              <w:numPr>
                <w:ilvl w:val="0"/>
                <w:numId w:val="25"/>
              </w:numPr>
              <w:ind w:left="360"/>
              <w:contextualSpacing/>
              <w:rPr>
                <w:rFonts w:ascii="Arial" w:hAnsi="Arial" w:cs="Arial"/>
                <w:sz w:val="20"/>
                <w:szCs w:val="20"/>
              </w:rPr>
            </w:pPr>
            <w:r w:rsidRPr="0076543A">
              <w:rPr>
                <w:rFonts w:ascii="Arial" w:hAnsi="Arial" w:cs="Arial"/>
                <w:sz w:val="20"/>
                <w:szCs w:val="20"/>
              </w:rPr>
              <w:t>Bacterial diagnoses were made among 9%–10% of patients, with most made on the basis of sputum culture results and 25% associated with high PCT levels (&gt;0.24 ng/mL). Three patients had positive results of a FilmArray assay for atypical bacteria, and illnesses in all 3 were associated with low serum PCT levels (Andrews, 2017)</w:t>
            </w:r>
          </w:p>
          <w:p w14:paraId="6D886CAC" w14:textId="77777777" w:rsidR="00A53F94" w:rsidRPr="00D56CD1" w:rsidRDefault="00A53F94" w:rsidP="00A53F94">
            <w:pPr>
              <w:pStyle w:val="Paragraphedeliste"/>
              <w:numPr>
                <w:ilvl w:val="0"/>
                <w:numId w:val="25"/>
              </w:numPr>
              <w:ind w:left="360"/>
              <w:contextualSpacing/>
              <w:rPr>
                <w:rFonts w:ascii="Arial" w:hAnsi="Arial" w:cs="Arial"/>
                <w:sz w:val="20"/>
                <w:szCs w:val="20"/>
              </w:rPr>
            </w:pPr>
            <w:r w:rsidRPr="0076543A">
              <w:rPr>
                <w:rFonts w:ascii="Arial" w:hAnsi="Arial" w:cs="Arial"/>
                <w:sz w:val="20"/>
                <w:szCs w:val="20"/>
              </w:rPr>
              <w:t>Of the 307 patients prescribed antibiotics within the first 72 h, antibiotics were discontinued within 48 h of laboratory results in 60 (19.5%) patients with either a PCT\0.25 lg/mL, a positive PCR, or both. The median duration of antibiotics was 3 days for all of these groups and ranged from 1 to 19 days, 1 to 27 days, and 1 to 13 days for a PCT\0.25 lg/ mL, a positive RP, or both, respectively (Timbrook, 2015</w:t>
            </w:r>
            <w:r>
              <w:rPr>
                <w:rFonts w:ascii="Arial" w:hAnsi="Arial" w:cs="Arial"/>
                <w:sz w:val="20"/>
                <w:szCs w:val="20"/>
              </w:rPr>
              <w:t>)</w:t>
            </w:r>
          </w:p>
        </w:tc>
      </w:tr>
      <w:tr w:rsidR="00A53F94" w:rsidRPr="001E2DD7" w14:paraId="70EB096D" w14:textId="77777777" w:rsidTr="00D84897">
        <w:trPr>
          <w:trHeight w:val="288"/>
        </w:trPr>
        <w:tc>
          <w:tcPr>
            <w:tcW w:w="1795" w:type="dxa"/>
            <w:vMerge/>
          </w:tcPr>
          <w:p w14:paraId="04FB7161" w14:textId="77777777" w:rsidR="00A53F94" w:rsidRDefault="00A53F94" w:rsidP="00D84897">
            <w:pPr>
              <w:rPr>
                <w:rFonts w:ascii="Arial" w:hAnsi="Arial" w:cs="Arial"/>
                <w:sz w:val="20"/>
                <w:szCs w:val="20"/>
              </w:rPr>
            </w:pPr>
          </w:p>
        </w:tc>
        <w:tc>
          <w:tcPr>
            <w:tcW w:w="2310" w:type="dxa"/>
            <w:vMerge/>
          </w:tcPr>
          <w:p w14:paraId="3D3945BE" w14:textId="77777777" w:rsidR="00A53F94" w:rsidRDefault="00A53F94" w:rsidP="00D84897">
            <w:pPr>
              <w:rPr>
                <w:rFonts w:ascii="Arial" w:hAnsi="Arial" w:cs="Arial"/>
                <w:sz w:val="20"/>
                <w:szCs w:val="20"/>
              </w:rPr>
            </w:pPr>
          </w:p>
        </w:tc>
        <w:tc>
          <w:tcPr>
            <w:tcW w:w="2496" w:type="dxa"/>
            <w:vMerge/>
          </w:tcPr>
          <w:p w14:paraId="59356A01" w14:textId="77777777" w:rsidR="00A53F94" w:rsidRDefault="00A53F94" w:rsidP="00D84897">
            <w:pPr>
              <w:rPr>
                <w:rFonts w:ascii="Arial" w:hAnsi="Arial" w:cs="Arial"/>
                <w:sz w:val="20"/>
                <w:szCs w:val="20"/>
              </w:rPr>
            </w:pPr>
          </w:p>
        </w:tc>
        <w:tc>
          <w:tcPr>
            <w:tcW w:w="5364" w:type="dxa"/>
          </w:tcPr>
          <w:p w14:paraId="71309C59" w14:textId="77777777" w:rsidR="00A53F94" w:rsidRPr="00D56CD1" w:rsidRDefault="00A53F94" w:rsidP="00D84897">
            <w:pPr>
              <w:jc w:val="center"/>
              <w:rPr>
                <w:rFonts w:ascii="Arial" w:hAnsi="Arial" w:cs="Arial"/>
                <w:b/>
                <w:bCs/>
                <w:sz w:val="20"/>
                <w:szCs w:val="20"/>
              </w:rPr>
            </w:pPr>
            <w:r w:rsidRPr="00D56CD1">
              <w:rPr>
                <w:rFonts w:ascii="Arial" w:hAnsi="Arial" w:cs="Arial"/>
                <w:b/>
                <w:bCs/>
                <w:sz w:val="20"/>
                <w:szCs w:val="20"/>
              </w:rPr>
              <w:t>Chest radiograph (CXR)</w:t>
            </w:r>
          </w:p>
        </w:tc>
      </w:tr>
      <w:tr w:rsidR="00A53F94" w:rsidRPr="001E2DD7" w14:paraId="2C7EC01D" w14:textId="77777777" w:rsidTr="00D84897">
        <w:trPr>
          <w:trHeight w:val="450"/>
        </w:trPr>
        <w:tc>
          <w:tcPr>
            <w:tcW w:w="1795" w:type="dxa"/>
            <w:vMerge/>
          </w:tcPr>
          <w:p w14:paraId="03D5879F" w14:textId="77777777" w:rsidR="00A53F94" w:rsidRDefault="00A53F94" w:rsidP="00D84897">
            <w:pPr>
              <w:rPr>
                <w:rFonts w:ascii="Arial" w:hAnsi="Arial" w:cs="Arial"/>
                <w:sz w:val="20"/>
                <w:szCs w:val="20"/>
              </w:rPr>
            </w:pPr>
          </w:p>
        </w:tc>
        <w:tc>
          <w:tcPr>
            <w:tcW w:w="2310" w:type="dxa"/>
            <w:vMerge/>
          </w:tcPr>
          <w:p w14:paraId="31C09D54" w14:textId="77777777" w:rsidR="00A53F94" w:rsidRDefault="00A53F94" w:rsidP="00D84897">
            <w:pPr>
              <w:rPr>
                <w:rFonts w:ascii="Arial" w:hAnsi="Arial" w:cs="Arial"/>
                <w:sz w:val="20"/>
                <w:szCs w:val="20"/>
              </w:rPr>
            </w:pPr>
          </w:p>
        </w:tc>
        <w:tc>
          <w:tcPr>
            <w:tcW w:w="2496" w:type="dxa"/>
            <w:vMerge/>
          </w:tcPr>
          <w:p w14:paraId="45606CB1" w14:textId="77777777" w:rsidR="00A53F94" w:rsidRDefault="00A53F94" w:rsidP="00D84897">
            <w:pPr>
              <w:rPr>
                <w:rFonts w:ascii="Arial" w:hAnsi="Arial" w:cs="Arial"/>
                <w:sz w:val="20"/>
                <w:szCs w:val="20"/>
              </w:rPr>
            </w:pPr>
          </w:p>
        </w:tc>
        <w:tc>
          <w:tcPr>
            <w:tcW w:w="5364" w:type="dxa"/>
          </w:tcPr>
          <w:p w14:paraId="1F369F97" w14:textId="77777777" w:rsidR="00A53F94" w:rsidRPr="00CA3034" w:rsidRDefault="00A53F94" w:rsidP="00A53F94">
            <w:pPr>
              <w:pStyle w:val="Paragraphedeliste"/>
              <w:numPr>
                <w:ilvl w:val="0"/>
                <w:numId w:val="25"/>
              </w:numPr>
              <w:ind w:left="360"/>
              <w:contextualSpacing/>
              <w:rPr>
                <w:rFonts w:ascii="Arial" w:hAnsi="Arial" w:cs="Arial"/>
                <w:sz w:val="20"/>
                <w:szCs w:val="20"/>
              </w:rPr>
            </w:pPr>
            <w:r w:rsidRPr="0076543A">
              <w:rPr>
                <w:rFonts w:ascii="Arial" w:hAnsi="Arial" w:cs="Arial"/>
                <w:sz w:val="20"/>
                <w:szCs w:val="20"/>
              </w:rPr>
              <w:t>Reduction of CXR shown in a majority of high quality studies (Vos, 2019)</w:t>
            </w:r>
          </w:p>
          <w:p w14:paraId="0D951CCE" w14:textId="77777777" w:rsidR="00A53F94" w:rsidRPr="0076543A" w:rsidRDefault="00A53F94" w:rsidP="00A53F94">
            <w:pPr>
              <w:pStyle w:val="Paragraphedeliste"/>
              <w:numPr>
                <w:ilvl w:val="0"/>
                <w:numId w:val="25"/>
              </w:numPr>
              <w:ind w:left="360"/>
              <w:contextualSpacing/>
              <w:rPr>
                <w:rFonts w:ascii="Arial" w:hAnsi="Arial" w:cs="Arial"/>
                <w:sz w:val="20"/>
                <w:szCs w:val="20"/>
              </w:rPr>
            </w:pPr>
            <w:r w:rsidRPr="0076543A">
              <w:rPr>
                <w:rFonts w:ascii="Arial" w:hAnsi="Arial" w:cs="Arial"/>
                <w:sz w:val="20"/>
                <w:szCs w:val="20"/>
              </w:rPr>
              <w:t>Multivariate log. regression (adjusting for age, immunosuppression, asthma, and ICU admission) demonstrated influenza positive FilmArray patients had a significantly lower number of CXR, p=0.005. (Rappo, 2016)</w:t>
            </w:r>
          </w:p>
        </w:tc>
      </w:tr>
      <w:tr w:rsidR="00A53F94" w:rsidRPr="001E2DD7" w14:paraId="166B2AD3" w14:textId="77777777" w:rsidTr="00D84897">
        <w:trPr>
          <w:trHeight w:val="288"/>
        </w:trPr>
        <w:tc>
          <w:tcPr>
            <w:tcW w:w="1795" w:type="dxa"/>
            <w:vMerge/>
          </w:tcPr>
          <w:p w14:paraId="159CD1A2" w14:textId="77777777" w:rsidR="00A53F94" w:rsidRDefault="00A53F94" w:rsidP="00D84897">
            <w:pPr>
              <w:rPr>
                <w:rFonts w:ascii="Arial" w:hAnsi="Arial" w:cs="Arial"/>
                <w:sz w:val="20"/>
                <w:szCs w:val="20"/>
              </w:rPr>
            </w:pPr>
          </w:p>
        </w:tc>
        <w:tc>
          <w:tcPr>
            <w:tcW w:w="2310" w:type="dxa"/>
            <w:vMerge/>
          </w:tcPr>
          <w:p w14:paraId="3C22F710" w14:textId="77777777" w:rsidR="00A53F94" w:rsidRDefault="00A53F94" w:rsidP="00D84897">
            <w:pPr>
              <w:rPr>
                <w:rFonts w:ascii="Arial" w:hAnsi="Arial" w:cs="Arial"/>
                <w:sz w:val="20"/>
                <w:szCs w:val="20"/>
              </w:rPr>
            </w:pPr>
          </w:p>
        </w:tc>
        <w:tc>
          <w:tcPr>
            <w:tcW w:w="2496" w:type="dxa"/>
            <w:vMerge/>
          </w:tcPr>
          <w:p w14:paraId="246CF808" w14:textId="77777777" w:rsidR="00A53F94" w:rsidRDefault="00A53F94" w:rsidP="00D84897">
            <w:pPr>
              <w:rPr>
                <w:rFonts w:ascii="Arial" w:hAnsi="Arial" w:cs="Arial"/>
                <w:sz w:val="20"/>
                <w:szCs w:val="20"/>
              </w:rPr>
            </w:pPr>
          </w:p>
        </w:tc>
        <w:tc>
          <w:tcPr>
            <w:tcW w:w="5364" w:type="dxa"/>
          </w:tcPr>
          <w:p w14:paraId="03740EDF" w14:textId="77777777" w:rsidR="00A53F94" w:rsidRPr="0002276D" w:rsidRDefault="00A53F94" w:rsidP="00D84897">
            <w:pPr>
              <w:jc w:val="center"/>
              <w:rPr>
                <w:rFonts w:ascii="Arial" w:hAnsi="Arial" w:cs="Arial"/>
                <w:b/>
                <w:bCs/>
                <w:sz w:val="20"/>
                <w:szCs w:val="20"/>
              </w:rPr>
            </w:pPr>
            <w:r w:rsidRPr="0002276D">
              <w:rPr>
                <w:rFonts w:ascii="Arial" w:hAnsi="Arial" w:cs="Arial"/>
                <w:b/>
                <w:bCs/>
                <w:sz w:val="20"/>
                <w:szCs w:val="20"/>
              </w:rPr>
              <w:t>Blood Culture</w:t>
            </w:r>
          </w:p>
        </w:tc>
      </w:tr>
      <w:tr w:rsidR="00A53F94" w:rsidRPr="001E2DD7" w14:paraId="4795A1F2" w14:textId="77777777" w:rsidTr="00D84897">
        <w:trPr>
          <w:trHeight w:val="450"/>
        </w:trPr>
        <w:tc>
          <w:tcPr>
            <w:tcW w:w="1795" w:type="dxa"/>
            <w:vMerge/>
          </w:tcPr>
          <w:p w14:paraId="2856A1C4" w14:textId="77777777" w:rsidR="00A53F94" w:rsidRDefault="00A53F94" w:rsidP="00D84897">
            <w:pPr>
              <w:rPr>
                <w:rFonts w:ascii="Arial" w:hAnsi="Arial" w:cs="Arial"/>
                <w:sz w:val="20"/>
                <w:szCs w:val="20"/>
              </w:rPr>
            </w:pPr>
          </w:p>
        </w:tc>
        <w:tc>
          <w:tcPr>
            <w:tcW w:w="2310" w:type="dxa"/>
            <w:vMerge/>
          </w:tcPr>
          <w:p w14:paraId="1E88B020" w14:textId="77777777" w:rsidR="00A53F94" w:rsidRDefault="00A53F94" w:rsidP="00D84897">
            <w:pPr>
              <w:rPr>
                <w:rFonts w:ascii="Arial" w:hAnsi="Arial" w:cs="Arial"/>
                <w:sz w:val="20"/>
                <w:szCs w:val="20"/>
              </w:rPr>
            </w:pPr>
          </w:p>
        </w:tc>
        <w:tc>
          <w:tcPr>
            <w:tcW w:w="2496" w:type="dxa"/>
            <w:vMerge/>
          </w:tcPr>
          <w:p w14:paraId="7CD97FE2" w14:textId="77777777" w:rsidR="00A53F94" w:rsidRDefault="00A53F94" w:rsidP="00D84897">
            <w:pPr>
              <w:rPr>
                <w:rFonts w:ascii="Arial" w:hAnsi="Arial" w:cs="Arial"/>
                <w:sz w:val="20"/>
                <w:szCs w:val="20"/>
              </w:rPr>
            </w:pPr>
          </w:p>
        </w:tc>
        <w:tc>
          <w:tcPr>
            <w:tcW w:w="5364" w:type="dxa"/>
          </w:tcPr>
          <w:p w14:paraId="3F0BED26" w14:textId="77777777" w:rsidR="00A53F94" w:rsidRPr="0076543A" w:rsidRDefault="00A53F94" w:rsidP="00A53F94">
            <w:pPr>
              <w:pStyle w:val="Paragraphedeliste"/>
              <w:numPr>
                <w:ilvl w:val="0"/>
                <w:numId w:val="25"/>
              </w:numPr>
              <w:ind w:left="360"/>
              <w:contextualSpacing/>
              <w:rPr>
                <w:rFonts w:ascii="Arial" w:hAnsi="Arial" w:cs="Arial"/>
                <w:sz w:val="20"/>
                <w:szCs w:val="20"/>
              </w:rPr>
            </w:pPr>
            <w:r>
              <w:rPr>
                <w:rFonts w:ascii="Arial" w:hAnsi="Arial" w:cs="Arial"/>
                <w:sz w:val="20"/>
                <w:szCs w:val="20"/>
              </w:rPr>
              <w:t>Blood cultures were only significant for 1 of 127 samples, indicating they are likely unnecessary in all but the patients with high pneumonia severity index (PSI) scores.</w:t>
            </w:r>
            <w:r w:rsidRPr="0076543A">
              <w:rPr>
                <w:rFonts w:ascii="Arial" w:hAnsi="Arial" w:cs="Arial"/>
                <w:sz w:val="20"/>
                <w:szCs w:val="20"/>
              </w:rPr>
              <w:t xml:space="preserve"> (Gilbert, 2016)</w:t>
            </w:r>
          </w:p>
        </w:tc>
      </w:tr>
      <w:tr w:rsidR="00A53F94" w:rsidRPr="001E2DD7" w14:paraId="26932521" w14:textId="77777777" w:rsidTr="00D84897">
        <w:trPr>
          <w:trHeight w:val="288"/>
        </w:trPr>
        <w:tc>
          <w:tcPr>
            <w:tcW w:w="1795" w:type="dxa"/>
            <w:vMerge/>
          </w:tcPr>
          <w:p w14:paraId="5272A445" w14:textId="77777777" w:rsidR="00A53F94" w:rsidRDefault="00A53F94" w:rsidP="00D84897">
            <w:pPr>
              <w:rPr>
                <w:rFonts w:ascii="Arial" w:hAnsi="Arial" w:cs="Arial"/>
                <w:sz w:val="20"/>
                <w:szCs w:val="20"/>
              </w:rPr>
            </w:pPr>
          </w:p>
        </w:tc>
        <w:tc>
          <w:tcPr>
            <w:tcW w:w="2310" w:type="dxa"/>
            <w:vMerge/>
          </w:tcPr>
          <w:p w14:paraId="1314BF5D" w14:textId="77777777" w:rsidR="00A53F94" w:rsidRDefault="00A53F94" w:rsidP="00D84897">
            <w:pPr>
              <w:rPr>
                <w:rFonts w:ascii="Arial" w:hAnsi="Arial" w:cs="Arial"/>
                <w:sz w:val="20"/>
                <w:szCs w:val="20"/>
              </w:rPr>
            </w:pPr>
          </w:p>
        </w:tc>
        <w:tc>
          <w:tcPr>
            <w:tcW w:w="2496" w:type="dxa"/>
            <w:vMerge/>
          </w:tcPr>
          <w:p w14:paraId="1DFE1387" w14:textId="77777777" w:rsidR="00A53F94" w:rsidRDefault="00A53F94" w:rsidP="00D84897">
            <w:pPr>
              <w:rPr>
                <w:rFonts w:ascii="Arial" w:hAnsi="Arial" w:cs="Arial"/>
                <w:sz w:val="20"/>
                <w:szCs w:val="20"/>
              </w:rPr>
            </w:pPr>
          </w:p>
        </w:tc>
        <w:tc>
          <w:tcPr>
            <w:tcW w:w="5364" w:type="dxa"/>
          </w:tcPr>
          <w:p w14:paraId="373FD31F" w14:textId="77777777" w:rsidR="00A53F94" w:rsidRPr="0002276D" w:rsidRDefault="00A53F94" w:rsidP="00D84897">
            <w:pPr>
              <w:jc w:val="center"/>
              <w:rPr>
                <w:rFonts w:ascii="Arial" w:hAnsi="Arial" w:cs="Arial"/>
                <w:b/>
                <w:bCs/>
                <w:sz w:val="20"/>
                <w:szCs w:val="20"/>
              </w:rPr>
            </w:pPr>
            <w:r w:rsidRPr="0002276D">
              <w:rPr>
                <w:rFonts w:ascii="Arial" w:hAnsi="Arial" w:cs="Arial"/>
                <w:b/>
                <w:bCs/>
                <w:sz w:val="20"/>
                <w:szCs w:val="20"/>
              </w:rPr>
              <w:t>C-reactive Protein (CRP)</w:t>
            </w:r>
          </w:p>
        </w:tc>
      </w:tr>
      <w:tr w:rsidR="00A53F94" w:rsidRPr="001E2DD7" w14:paraId="760BED4A" w14:textId="77777777" w:rsidTr="00D84897">
        <w:trPr>
          <w:trHeight w:val="450"/>
        </w:trPr>
        <w:tc>
          <w:tcPr>
            <w:tcW w:w="1795" w:type="dxa"/>
            <w:vMerge/>
          </w:tcPr>
          <w:p w14:paraId="760426CC" w14:textId="77777777" w:rsidR="00A53F94" w:rsidRDefault="00A53F94" w:rsidP="00D84897">
            <w:pPr>
              <w:rPr>
                <w:rFonts w:ascii="Arial" w:hAnsi="Arial" w:cs="Arial"/>
                <w:sz w:val="20"/>
                <w:szCs w:val="20"/>
              </w:rPr>
            </w:pPr>
          </w:p>
        </w:tc>
        <w:tc>
          <w:tcPr>
            <w:tcW w:w="2310" w:type="dxa"/>
            <w:vMerge/>
          </w:tcPr>
          <w:p w14:paraId="185148B6" w14:textId="77777777" w:rsidR="00A53F94" w:rsidRDefault="00A53F94" w:rsidP="00D84897">
            <w:pPr>
              <w:rPr>
                <w:rFonts w:ascii="Arial" w:hAnsi="Arial" w:cs="Arial"/>
                <w:sz w:val="20"/>
                <w:szCs w:val="20"/>
              </w:rPr>
            </w:pPr>
          </w:p>
        </w:tc>
        <w:tc>
          <w:tcPr>
            <w:tcW w:w="2496" w:type="dxa"/>
            <w:vMerge/>
          </w:tcPr>
          <w:p w14:paraId="015F377A" w14:textId="77777777" w:rsidR="00A53F94" w:rsidRDefault="00A53F94" w:rsidP="00D84897">
            <w:pPr>
              <w:rPr>
                <w:rFonts w:ascii="Arial" w:hAnsi="Arial" w:cs="Arial"/>
                <w:sz w:val="20"/>
                <w:szCs w:val="20"/>
              </w:rPr>
            </w:pPr>
          </w:p>
        </w:tc>
        <w:tc>
          <w:tcPr>
            <w:tcW w:w="5364" w:type="dxa"/>
          </w:tcPr>
          <w:p w14:paraId="3CDFF021" w14:textId="77777777" w:rsidR="00A53F94" w:rsidRPr="0002276D" w:rsidRDefault="00A53F94" w:rsidP="00A53F94">
            <w:pPr>
              <w:pStyle w:val="Paragraphedeliste"/>
              <w:numPr>
                <w:ilvl w:val="0"/>
                <w:numId w:val="25"/>
              </w:numPr>
              <w:ind w:left="360"/>
              <w:contextualSpacing/>
              <w:rPr>
                <w:rFonts w:ascii="Arial" w:hAnsi="Arial" w:cs="Arial"/>
                <w:sz w:val="20"/>
                <w:szCs w:val="20"/>
              </w:rPr>
            </w:pPr>
            <w:r w:rsidRPr="0076543A">
              <w:rPr>
                <w:rFonts w:ascii="Arial" w:hAnsi="Arial" w:cs="Arial"/>
                <w:sz w:val="20"/>
                <w:szCs w:val="20"/>
              </w:rPr>
              <w:t>Patients with mixed infections had higher CRP values. (Laundy, 2003)</w:t>
            </w:r>
          </w:p>
        </w:tc>
      </w:tr>
      <w:tr w:rsidR="00A53F94" w:rsidRPr="001E2DD7" w14:paraId="0D6A1C15" w14:textId="77777777" w:rsidTr="00D84897">
        <w:trPr>
          <w:trHeight w:val="288"/>
        </w:trPr>
        <w:tc>
          <w:tcPr>
            <w:tcW w:w="1795" w:type="dxa"/>
            <w:vMerge/>
          </w:tcPr>
          <w:p w14:paraId="429B2A3E" w14:textId="77777777" w:rsidR="00A53F94" w:rsidRDefault="00A53F94" w:rsidP="00D84897">
            <w:pPr>
              <w:rPr>
                <w:rFonts w:ascii="Arial" w:hAnsi="Arial" w:cs="Arial"/>
                <w:sz w:val="20"/>
                <w:szCs w:val="20"/>
              </w:rPr>
            </w:pPr>
          </w:p>
        </w:tc>
        <w:tc>
          <w:tcPr>
            <w:tcW w:w="2310" w:type="dxa"/>
            <w:vMerge/>
          </w:tcPr>
          <w:p w14:paraId="55B057D3" w14:textId="77777777" w:rsidR="00A53F94" w:rsidRDefault="00A53F94" w:rsidP="00D84897">
            <w:pPr>
              <w:rPr>
                <w:rFonts w:ascii="Arial" w:hAnsi="Arial" w:cs="Arial"/>
                <w:sz w:val="20"/>
                <w:szCs w:val="20"/>
              </w:rPr>
            </w:pPr>
          </w:p>
        </w:tc>
        <w:tc>
          <w:tcPr>
            <w:tcW w:w="2496" w:type="dxa"/>
            <w:vMerge/>
          </w:tcPr>
          <w:p w14:paraId="6926288B" w14:textId="77777777" w:rsidR="00A53F94" w:rsidRDefault="00A53F94" w:rsidP="00D84897">
            <w:pPr>
              <w:rPr>
                <w:rFonts w:ascii="Arial" w:hAnsi="Arial" w:cs="Arial"/>
                <w:sz w:val="20"/>
                <w:szCs w:val="20"/>
              </w:rPr>
            </w:pPr>
          </w:p>
        </w:tc>
        <w:tc>
          <w:tcPr>
            <w:tcW w:w="5364" w:type="dxa"/>
          </w:tcPr>
          <w:p w14:paraId="77EE561A" w14:textId="77777777" w:rsidR="00A53F94" w:rsidRPr="0002276D" w:rsidRDefault="00A53F94" w:rsidP="00D84897">
            <w:pPr>
              <w:jc w:val="center"/>
              <w:rPr>
                <w:rFonts w:ascii="Arial" w:hAnsi="Arial" w:cs="Arial"/>
                <w:b/>
                <w:bCs/>
                <w:sz w:val="20"/>
                <w:szCs w:val="20"/>
              </w:rPr>
            </w:pPr>
            <w:r w:rsidRPr="0002276D">
              <w:rPr>
                <w:rFonts w:ascii="Arial" w:hAnsi="Arial" w:cs="Arial"/>
                <w:b/>
                <w:bCs/>
                <w:sz w:val="20"/>
                <w:szCs w:val="20"/>
              </w:rPr>
              <w:t>Urine Antigens</w:t>
            </w:r>
          </w:p>
        </w:tc>
      </w:tr>
      <w:tr w:rsidR="00A53F94" w:rsidRPr="001E2DD7" w14:paraId="188A26E0" w14:textId="77777777" w:rsidTr="00D84897">
        <w:trPr>
          <w:trHeight w:val="450"/>
        </w:trPr>
        <w:tc>
          <w:tcPr>
            <w:tcW w:w="1795" w:type="dxa"/>
            <w:vMerge/>
          </w:tcPr>
          <w:p w14:paraId="3AC41630" w14:textId="77777777" w:rsidR="00A53F94" w:rsidRDefault="00A53F94" w:rsidP="00D84897">
            <w:pPr>
              <w:rPr>
                <w:rFonts w:ascii="Arial" w:hAnsi="Arial" w:cs="Arial"/>
                <w:sz w:val="20"/>
                <w:szCs w:val="20"/>
              </w:rPr>
            </w:pPr>
          </w:p>
        </w:tc>
        <w:tc>
          <w:tcPr>
            <w:tcW w:w="2310" w:type="dxa"/>
            <w:vMerge/>
          </w:tcPr>
          <w:p w14:paraId="0F9410FF" w14:textId="77777777" w:rsidR="00A53F94" w:rsidRDefault="00A53F94" w:rsidP="00D84897">
            <w:pPr>
              <w:rPr>
                <w:rFonts w:ascii="Arial" w:hAnsi="Arial" w:cs="Arial"/>
                <w:sz w:val="20"/>
                <w:szCs w:val="20"/>
              </w:rPr>
            </w:pPr>
          </w:p>
        </w:tc>
        <w:tc>
          <w:tcPr>
            <w:tcW w:w="2496" w:type="dxa"/>
            <w:vMerge/>
          </w:tcPr>
          <w:p w14:paraId="3E5CCD25" w14:textId="77777777" w:rsidR="00A53F94" w:rsidRDefault="00A53F94" w:rsidP="00D84897">
            <w:pPr>
              <w:rPr>
                <w:rFonts w:ascii="Arial" w:hAnsi="Arial" w:cs="Arial"/>
                <w:sz w:val="20"/>
                <w:szCs w:val="20"/>
              </w:rPr>
            </w:pPr>
          </w:p>
        </w:tc>
        <w:tc>
          <w:tcPr>
            <w:tcW w:w="5364" w:type="dxa"/>
          </w:tcPr>
          <w:p w14:paraId="0936DB5D" w14:textId="77777777" w:rsidR="00A53F94" w:rsidRPr="0002276D" w:rsidRDefault="00A53F94" w:rsidP="00A53F94">
            <w:pPr>
              <w:pStyle w:val="Paragraphedeliste"/>
              <w:numPr>
                <w:ilvl w:val="0"/>
                <w:numId w:val="25"/>
              </w:numPr>
              <w:ind w:left="360"/>
              <w:contextualSpacing/>
              <w:rPr>
                <w:rFonts w:ascii="Arial" w:hAnsi="Arial" w:cs="Arial"/>
                <w:sz w:val="20"/>
                <w:szCs w:val="20"/>
              </w:rPr>
            </w:pPr>
            <w:r>
              <w:rPr>
                <w:rFonts w:ascii="Arial" w:hAnsi="Arial" w:cs="Arial"/>
                <w:sz w:val="20"/>
                <w:szCs w:val="20"/>
              </w:rPr>
              <w:t>Urine antigen testing for</w:t>
            </w:r>
            <w:r w:rsidRPr="0076543A">
              <w:rPr>
                <w:rFonts w:ascii="Arial" w:hAnsi="Arial" w:cs="Arial"/>
                <w:sz w:val="20"/>
                <w:szCs w:val="20"/>
              </w:rPr>
              <w:t xml:space="preserve"> S. pneumoniae and L. pneumophila, serogroup 1 may </w:t>
            </w:r>
            <w:r>
              <w:rPr>
                <w:rFonts w:ascii="Arial" w:hAnsi="Arial" w:cs="Arial"/>
                <w:sz w:val="20"/>
                <w:szCs w:val="20"/>
              </w:rPr>
              <w:t>be redundant when using multiplex PCR or NGS technologies.</w:t>
            </w:r>
            <w:r w:rsidRPr="00CA3034">
              <w:rPr>
                <w:rFonts w:ascii="Arial" w:hAnsi="Arial" w:cs="Arial"/>
                <w:sz w:val="20"/>
                <w:szCs w:val="20"/>
              </w:rPr>
              <w:t xml:space="preserve"> (Gilbert, 2016)</w:t>
            </w:r>
          </w:p>
        </w:tc>
      </w:tr>
      <w:tr w:rsidR="00A53F94" w:rsidRPr="00B17F07" w14:paraId="73A3FC0A" w14:textId="77777777" w:rsidTr="00D84897">
        <w:tc>
          <w:tcPr>
            <w:tcW w:w="1795" w:type="dxa"/>
          </w:tcPr>
          <w:p w14:paraId="070219AC" w14:textId="77777777" w:rsidR="00A53F94" w:rsidRDefault="00A53F94" w:rsidP="00D84897">
            <w:pPr>
              <w:rPr>
                <w:rFonts w:ascii="Arial" w:hAnsi="Arial" w:cs="Arial"/>
                <w:sz w:val="20"/>
                <w:szCs w:val="20"/>
              </w:rPr>
            </w:pPr>
            <w:r>
              <w:rPr>
                <w:rFonts w:ascii="Arial" w:hAnsi="Arial" w:cs="Arial"/>
                <w:sz w:val="20"/>
                <w:szCs w:val="20"/>
              </w:rPr>
              <w:t>Length of stay</w:t>
            </w:r>
          </w:p>
        </w:tc>
        <w:tc>
          <w:tcPr>
            <w:tcW w:w="2310" w:type="dxa"/>
          </w:tcPr>
          <w:p w14:paraId="769F9B18" w14:textId="77777777" w:rsidR="00A53F94" w:rsidRPr="00B17F07" w:rsidRDefault="00A53F94" w:rsidP="00D84897">
            <w:pPr>
              <w:rPr>
                <w:rFonts w:ascii="Arial" w:hAnsi="Arial" w:cs="Arial"/>
                <w:sz w:val="20"/>
                <w:szCs w:val="20"/>
              </w:rPr>
            </w:pPr>
            <w:r>
              <w:rPr>
                <w:rFonts w:ascii="Arial" w:hAnsi="Arial" w:cs="Arial"/>
                <w:sz w:val="20"/>
                <w:szCs w:val="20"/>
              </w:rPr>
              <w:t xml:space="preserve">Time spent in the healthcare setting, typically from admission to discharge </w:t>
            </w:r>
          </w:p>
        </w:tc>
        <w:tc>
          <w:tcPr>
            <w:tcW w:w="2496" w:type="dxa"/>
          </w:tcPr>
          <w:p w14:paraId="640DF016" w14:textId="77777777" w:rsidR="00A53F94" w:rsidRDefault="00A53F94" w:rsidP="00D84897">
            <w:pPr>
              <w:rPr>
                <w:rFonts w:ascii="Arial" w:hAnsi="Arial" w:cs="Arial"/>
                <w:sz w:val="20"/>
                <w:szCs w:val="20"/>
              </w:rPr>
            </w:pPr>
            <w:r>
              <w:rPr>
                <w:rFonts w:ascii="Arial" w:hAnsi="Arial" w:cs="Arial"/>
                <w:sz w:val="20"/>
                <w:szCs w:val="20"/>
              </w:rPr>
              <w:t xml:space="preserve">May be defined differently in urgent care/emergency department settings. </w:t>
            </w:r>
          </w:p>
          <w:p w14:paraId="05C06C50" w14:textId="77777777" w:rsidR="00A53F94" w:rsidRDefault="00A53F94" w:rsidP="00D84897">
            <w:pPr>
              <w:rPr>
                <w:rFonts w:ascii="Arial" w:hAnsi="Arial" w:cs="Arial"/>
                <w:sz w:val="20"/>
                <w:szCs w:val="20"/>
              </w:rPr>
            </w:pPr>
          </w:p>
          <w:p w14:paraId="4207F741" w14:textId="77777777" w:rsidR="00A53F94" w:rsidRDefault="00A53F94" w:rsidP="00D84897">
            <w:pPr>
              <w:rPr>
                <w:rFonts w:ascii="Arial" w:hAnsi="Arial" w:cs="Arial"/>
                <w:sz w:val="20"/>
                <w:szCs w:val="20"/>
              </w:rPr>
            </w:pPr>
          </w:p>
          <w:p w14:paraId="46A54950" w14:textId="77777777" w:rsidR="00A53F94" w:rsidRDefault="00A53F94" w:rsidP="00D84897">
            <w:pPr>
              <w:rPr>
                <w:rFonts w:ascii="Arial" w:hAnsi="Arial" w:cs="Arial"/>
                <w:sz w:val="20"/>
                <w:szCs w:val="20"/>
              </w:rPr>
            </w:pPr>
          </w:p>
          <w:p w14:paraId="4DFA4D97" w14:textId="77777777" w:rsidR="00A53F94" w:rsidRDefault="00A53F94" w:rsidP="00D84897">
            <w:pPr>
              <w:rPr>
                <w:rFonts w:ascii="Arial" w:hAnsi="Arial" w:cs="Arial"/>
                <w:sz w:val="20"/>
                <w:szCs w:val="20"/>
              </w:rPr>
            </w:pPr>
            <w:r>
              <w:rPr>
                <w:rFonts w:ascii="Arial" w:hAnsi="Arial" w:cs="Arial"/>
                <w:sz w:val="20"/>
                <w:szCs w:val="20"/>
              </w:rPr>
              <w:t xml:space="preserve"> </w:t>
            </w:r>
          </w:p>
        </w:tc>
        <w:tc>
          <w:tcPr>
            <w:tcW w:w="5364" w:type="dxa"/>
          </w:tcPr>
          <w:p w14:paraId="167F774B" w14:textId="77777777" w:rsidR="00A53F94" w:rsidRPr="00763A6B" w:rsidRDefault="00A53F94" w:rsidP="00A53F94">
            <w:pPr>
              <w:pStyle w:val="Paragraphedeliste"/>
              <w:numPr>
                <w:ilvl w:val="0"/>
                <w:numId w:val="25"/>
              </w:numPr>
              <w:ind w:left="360"/>
              <w:contextualSpacing/>
              <w:rPr>
                <w:rFonts w:ascii="Arial" w:hAnsi="Arial" w:cs="Arial"/>
                <w:sz w:val="20"/>
                <w:szCs w:val="20"/>
              </w:rPr>
            </w:pPr>
            <w:r w:rsidRPr="00763A6B">
              <w:rPr>
                <w:rFonts w:ascii="Arial" w:hAnsi="Arial" w:cs="Arial"/>
                <w:sz w:val="20"/>
                <w:szCs w:val="20"/>
              </w:rPr>
              <w:t>LOS reduction shown in a majority of high quality studies (Vos, 2019)</w:t>
            </w:r>
          </w:p>
          <w:p w14:paraId="33103F21" w14:textId="77777777" w:rsidR="00A53F94" w:rsidRPr="00763A6B" w:rsidRDefault="00A53F94" w:rsidP="00A53F94">
            <w:pPr>
              <w:pStyle w:val="Paragraphedeliste"/>
              <w:numPr>
                <w:ilvl w:val="0"/>
                <w:numId w:val="25"/>
              </w:numPr>
              <w:ind w:left="360"/>
              <w:contextualSpacing/>
              <w:rPr>
                <w:rFonts w:ascii="Arial" w:hAnsi="Arial" w:cs="Arial"/>
                <w:sz w:val="20"/>
                <w:szCs w:val="20"/>
              </w:rPr>
            </w:pPr>
            <w:r w:rsidRPr="00763A6B">
              <w:rPr>
                <w:rFonts w:ascii="Arial" w:hAnsi="Arial" w:cs="Arial"/>
                <w:sz w:val="20"/>
                <w:szCs w:val="20"/>
              </w:rPr>
              <w:t>Mean LOS shorter in rapid molecular group (5.7d, SD 6.3) than with conventional testing (6.8d, SD7.7), p=0.0443. (Brendish, 2017)</w:t>
            </w:r>
          </w:p>
          <w:p w14:paraId="1152A863" w14:textId="77777777" w:rsidR="00A53F94" w:rsidRPr="00763A6B" w:rsidRDefault="00A53F94" w:rsidP="00A53F94">
            <w:pPr>
              <w:pStyle w:val="Paragraphedeliste"/>
              <w:numPr>
                <w:ilvl w:val="0"/>
                <w:numId w:val="25"/>
              </w:numPr>
              <w:ind w:left="360"/>
              <w:contextualSpacing/>
              <w:rPr>
                <w:rFonts w:ascii="Arial" w:hAnsi="Arial" w:cs="Arial"/>
                <w:sz w:val="20"/>
                <w:szCs w:val="20"/>
              </w:rPr>
            </w:pPr>
            <w:r w:rsidRPr="00763A6B">
              <w:rPr>
                <w:rFonts w:ascii="Arial" w:hAnsi="Arial" w:cs="Arial"/>
                <w:sz w:val="20"/>
                <w:szCs w:val="20"/>
              </w:rPr>
              <w:t>Multivariate log. regression (adjusting for age, immunosuppression, asthma, and ICU admission) demonstrated influenza positive FilmArray patients had a significantly lower LOS, p=0.04. (Rappo,2016)</w:t>
            </w:r>
          </w:p>
          <w:p w14:paraId="2B1297D0" w14:textId="77777777" w:rsidR="00A53F94" w:rsidRPr="00763A6B" w:rsidRDefault="00A53F94" w:rsidP="00A53F94">
            <w:pPr>
              <w:pStyle w:val="Paragraphedeliste"/>
              <w:numPr>
                <w:ilvl w:val="0"/>
                <w:numId w:val="25"/>
              </w:numPr>
              <w:ind w:left="360"/>
              <w:contextualSpacing/>
              <w:rPr>
                <w:rFonts w:ascii="Arial" w:hAnsi="Arial" w:cs="Arial"/>
                <w:sz w:val="20"/>
                <w:szCs w:val="20"/>
              </w:rPr>
            </w:pPr>
            <w:r w:rsidRPr="00763A6B">
              <w:rPr>
                <w:rFonts w:ascii="Arial" w:hAnsi="Arial" w:cs="Arial"/>
                <w:sz w:val="20"/>
                <w:szCs w:val="20"/>
              </w:rPr>
              <w:t>There was no difference in inpatient LOS between pre-RRP (3.4d) and post-RRP (3.2d), p-0.16. There was an increase in mean ED LOS after implementing RRP (256m pre, and 282m post, p=0.002). For viral positive patients, inpatient LOS was shorter post-RRP (3.5d pre and 3.2d post, p=0.03). (Rogers, 2015)</w:t>
            </w:r>
          </w:p>
          <w:p w14:paraId="0356C2BC" w14:textId="77777777" w:rsidR="00A53F94" w:rsidRPr="00763A6B" w:rsidRDefault="00A53F94" w:rsidP="00A53F94">
            <w:pPr>
              <w:pStyle w:val="Paragraphedeliste"/>
              <w:numPr>
                <w:ilvl w:val="0"/>
                <w:numId w:val="25"/>
              </w:numPr>
              <w:ind w:left="360"/>
              <w:contextualSpacing/>
              <w:rPr>
                <w:rFonts w:ascii="Arial" w:hAnsi="Arial" w:cs="Arial"/>
                <w:sz w:val="20"/>
                <w:szCs w:val="20"/>
              </w:rPr>
            </w:pPr>
            <w:r w:rsidRPr="00763A6B">
              <w:rPr>
                <w:rFonts w:ascii="Arial" w:hAnsi="Arial" w:cs="Arial"/>
                <w:sz w:val="20"/>
                <w:szCs w:val="20"/>
              </w:rPr>
              <w:t>55.6% (5/9) studies found significant reductions in ED LOS associated with POC testing. Mixed between antigen-based and molecular based methods (1/9 used molecular test). Two studies found no significant differences in the ED LOS of POCT and standard testing groups,18,41 whilst two studies reported that POCT increased ED LOS. (Egilmezer, 2018)</w:t>
            </w:r>
          </w:p>
          <w:p w14:paraId="3279544E" w14:textId="77777777" w:rsidR="00A53F94" w:rsidRPr="00F448C6" w:rsidRDefault="00A53F94" w:rsidP="00A53F94">
            <w:pPr>
              <w:pStyle w:val="Paragraphedeliste"/>
              <w:numPr>
                <w:ilvl w:val="0"/>
                <w:numId w:val="25"/>
              </w:numPr>
              <w:ind w:left="360"/>
              <w:contextualSpacing/>
              <w:rPr>
                <w:rFonts w:ascii="Arial" w:hAnsi="Arial" w:cs="Arial"/>
                <w:sz w:val="20"/>
                <w:szCs w:val="20"/>
              </w:rPr>
            </w:pPr>
            <w:r w:rsidRPr="00763A6B">
              <w:rPr>
                <w:rFonts w:ascii="Arial" w:hAnsi="Arial" w:cs="Arial"/>
                <w:sz w:val="20"/>
                <w:szCs w:val="20"/>
              </w:rPr>
              <w:t>Children with influenza A CAP tended to have longer durations of fever (P = 0.20), hospital stay (P = 0.24) and total illness (P = 0.15) than those with RSV CAP, but these differences were not statistically significant (Laundy, 2003)</w:t>
            </w:r>
          </w:p>
        </w:tc>
      </w:tr>
      <w:tr w:rsidR="00A53F94" w:rsidRPr="00B17F07" w14:paraId="4F0028B6" w14:textId="77777777" w:rsidTr="00D84897">
        <w:trPr>
          <w:trHeight w:val="288"/>
        </w:trPr>
        <w:tc>
          <w:tcPr>
            <w:tcW w:w="1795" w:type="dxa"/>
            <w:vMerge w:val="restart"/>
          </w:tcPr>
          <w:p w14:paraId="75090550" w14:textId="77777777" w:rsidR="00A53F94" w:rsidRPr="001F7933" w:rsidRDefault="00A53F94" w:rsidP="00D84897">
            <w:pPr>
              <w:rPr>
                <w:rFonts w:ascii="Arial" w:hAnsi="Arial" w:cs="Arial"/>
                <w:sz w:val="20"/>
                <w:szCs w:val="20"/>
              </w:rPr>
            </w:pPr>
            <w:r>
              <w:rPr>
                <w:rFonts w:ascii="Arial" w:hAnsi="Arial" w:cs="Arial"/>
                <w:sz w:val="20"/>
                <w:szCs w:val="20"/>
              </w:rPr>
              <w:t>Antimicrobial Exposure</w:t>
            </w:r>
          </w:p>
          <w:p w14:paraId="761DCDAA" w14:textId="77777777" w:rsidR="00A53F94" w:rsidRDefault="00A53F94" w:rsidP="00D84897">
            <w:pPr>
              <w:rPr>
                <w:rFonts w:ascii="Arial" w:hAnsi="Arial" w:cs="Arial"/>
                <w:sz w:val="20"/>
                <w:szCs w:val="20"/>
              </w:rPr>
            </w:pPr>
          </w:p>
        </w:tc>
        <w:tc>
          <w:tcPr>
            <w:tcW w:w="2310" w:type="dxa"/>
            <w:vMerge w:val="restart"/>
          </w:tcPr>
          <w:p w14:paraId="7067D97B" w14:textId="77777777" w:rsidR="00A53F94" w:rsidRDefault="00A53F94" w:rsidP="00D84897">
            <w:pPr>
              <w:rPr>
                <w:rFonts w:ascii="Arial" w:hAnsi="Arial" w:cs="Arial"/>
                <w:sz w:val="20"/>
                <w:szCs w:val="20"/>
              </w:rPr>
            </w:pPr>
            <w:r>
              <w:rPr>
                <w:rFonts w:ascii="Arial" w:hAnsi="Arial" w:cs="Arial"/>
                <w:sz w:val="20"/>
                <w:szCs w:val="20"/>
              </w:rPr>
              <w:t xml:space="preserve">The amount of time a patient is on antibiotics, antifungals, or antivirals. </w:t>
            </w:r>
          </w:p>
          <w:p w14:paraId="5B0F4515" w14:textId="77777777" w:rsidR="00A53F94" w:rsidRDefault="00A53F94" w:rsidP="00D84897">
            <w:pPr>
              <w:rPr>
                <w:rFonts w:ascii="Arial" w:hAnsi="Arial" w:cs="Arial"/>
                <w:sz w:val="20"/>
                <w:szCs w:val="20"/>
              </w:rPr>
            </w:pPr>
          </w:p>
          <w:p w14:paraId="73DA2B24" w14:textId="77777777" w:rsidR="00A53F94" w:rsidRDefault="00A53F94" w:rsidP="00D84897">
            <w:pPr>
              <w:rPr>
                <w:rFonts w:ascii="Arial" w:hAnsi="Arial" w:cs="Arial"/>
                <w:sz w:val="20"/>
                <w:szCs w:val="20"/>
              </w:rPr>
            </w:pPr>
            <w:r>
              <w:rPr>
                <w:rFonts w:ascii="Arial" w:hAnsi="Arial" w:cs="Arial"/>
                <w:sz w:val="20"/>
                <w:szCs w:val="20"/>
              </w:rPr>
              <w:t xml:space="preserve">De-escalation is the removal of unnecessary antimicrobials. </w:t>
            </w:r>
          </w:p>
          <w:p w14:paraId="13B5EF3B" w14:textId="77777777" w:rsidR="00A53F94" w:rsidRDefault="00A53F94" w:rsidP="00D84897">
            <w:pPr>
              <w:rPr>
                <w:rFonts w:ascii="Arial" w:hAnsi="Arial" w:cs="Arial"/>
                <w:sz w:val="20"/>
                <w:szCs w:val="20"/>
              </w:rPr>
            </w:pPr>
          </w:p>
          <w:p w14:paraId="45A75452" w14:textId="77777777" w:rsidR="00A53F94" w:rsidRDefault="00A53F94" w:rsidP="00D84897">
            <w:pPr>
              <w:rPr>
                <w:rFonts w:ascii="Arial" w:hAnsi="Arial" w:cs="Arial"/>
                <w:sz w:val="20"/>
                <w:szCs w:val="20"/>
              </w:rPr>
            </w:pPr>
            <w:r w:rsidRPr="00EA5693">
              <w:rPr>
                <w:rFonts w:ascii="Arial" w:hAnsi="Arial" w:cs="Arial"/>
                <w:sz w:val="20"/>
                <w:szCs w:val="20"/>
              </w:rPr>
              <w:t>Ability of test result to prevent unnecessary antibiotic use</w:t>
            </w:r>
            <w:r>
              <w:rPr>
                <w:rFonts w:ascii="Arial" w:hAnsi="Arial" w:cs="Arial"/>
                <w:sz w:val="20"/>
                <w:szCs w:val="20"/>
              </w:rPr>
              <w:t>.</w:t>
            </w:r>
          </w:p>
          <w:p w14:paraId="3F5A95DF" w14:textId="77777777" w:rsidR="00A53F94" w:rsidRDefault="00A53F94" w:rsidP="00D84897">
            <w:pPr>
              <w:rPr>
                <w:rFonts w:ascii="Arial" w:hAnsi="Arial" w:cs="Arial"/>
                <w:sz w:val="20"/>
                <w:szCs w:val="20"/>
              </w:rPr>
            </w:pPr>
          </w:p>
          <w:p w14:paraId="11345BD0" w14:textId="77777777" w:rsidR="00A53F94" w:rsidRPr="00B17F07" w:rsidRDefault="00A53F94" w:rsidP="00D84897">
            <w:pPr>
              <w:rPr>
                <w:rFonts w:ascii="Arial" w:hAnsi="Arial" w:cs="Arial"/>
                <w:sz w:val="20"/>
                <w:szCs w:val="20"/>
              </w:rPr>
            </w:pPr>
            <w:r>
              <w:rPr>
                <w:rFonts w:ascii="Arial" w:hAnsi="Arial" w:cs="Arial"/>
                <w:sz w:val="20"/>
                <w:szCs w:val="20"/>
              </w:rPr>
              <w:t xml:space="preserve">Ability of the test to more rapidly initiate targeted/appropriate antimicrobial therapy. </w:t>
            </w:r>
          </w:p>
        </w:tc>
        <w:tc>
          <w:tcPr>
            <w:tcW w:w="2496" w:type="dxa"/>
            <w:vMerge w:val="restart"/>
          </w:tcPr>
          <w:p w14:paraId="20B2FF33" w14:textId="77777777" w:rsidR="00A53F94" w:rsidRDefault="00A53F94" w:rsidP="00D84897">
            <w:pPr>
              <w:rPr>
                <w:rFonts w:ascii="Arial" w:hAnsi="Arial" w:cs="Arial"/>
                <w:sz w:val="20"/>
                <w:szCs w:val="20"/>
              </w:rPr>
            </w:pPr>
            <w:r>
              <w:rPr>
                <w:rFonts w:ascii="Arial" w:hAnsi="Arial" w:cs="Arial"/>
                <w:sz w:val="20"/>
                <w:szCs w:val="20"/>
              </w:rPr>
              <w:t>May vary based upon patient population, clinical presentation, CXR, TAT.</w:t>
            </w:r>
          </w:p>
          <w:p w14:paraId="0DF509B1" w14:textId="77777777" w:rsidR="00A53F94" w:rsidRDefault="00A53F94" w:rsidP="00D84897">
            <w:pPr>
              <w:rPr>
                <w:rFonts w:ascii="Arial" w:hAnsi="Arial" w:cs="Arial"/>
                <w:sz w:val="20"/>
                <w:szCs w:val="20"/>
              </w:rPr>
            </w:pPr>
          </w:p>
          <w:p w14:paraId="0C818DB1" w14:textId="77777777" w:rsidR="00A53F94" w:rsidRDefault="00A53F94" w:rsidP="00D84897">
            <w:pPr>
              <w:rPr>
                <w:rFonts w:ascii="Arial" w:hAnsi="Arial" w:cs="Arial"/>
                <w:sz w:val="20"/>
                <w:szCs w:val="20"/>
              </w:rPr>
            </w:pPr>
            <w:r>
              <w:rPr>
                <w:rFonts w:ascii="Arial" w:hAnsi="Arial" w:cs="Arial"/>
                <w:sz w:val="20"/>
                <w:szCs w:val="20"/>
              </w:rPr>
              <w:t>Significant heterogeneity between what is actually measured, including when to include multiple antimicrobials and what the start and endpoints of antimicrobial therapy are.</w:t>
            </w:r>
          </w:p>
          <w:p w14:paraId="6125703A" w14:textId="77777777" w:rsidR="00A53F94" w:rsidRDefault="00A53F94" w:rsidP="00D84897">
            <w:pPr>
              <w:rPr>
                <w:rFonts w:ascii="Arial" w:hAnsi="Arial" w:cs="Arial"/>
                <w:sz w:val="20"/>
                <w:szCs w:val="20"/>
              </w:rPr>
            </w:pPr>
          </w:p>
          <w:p w14:paraId="744F525C" w14:textId="77777777" w:rsidR="00A53F94" w:rsidRDefault="00A53F94" w:rsidP="00D84897">
            <w:pPr>
              <w:rPr>
                <w:rFonts w:ascii="Arial" w:hAnsi="Arial" w:cs="Arial"/>
                <w:sz w:val="20"/>
                <w:szCs w:val="20"/>
              </w:rPr>
            </w:pPr>
            <w:r w:rsidRPr="00EA5693">
              <w:rPr>
                <w:rFonts w:ascii="Arial" w:hAnsi="Arial" w:cs="Arial"/>
                <w:sz w:val="20"/>
                <w:szCs w:val="20"/>
              </w:rPr>
              <w:t>Many patients are treated empirically prior to test results being available, but some rapid tests allow for anti</w:t>
            </w:r>
            <w:r>
              <w:rPr>
                <w:rFonts w:ascii="Arial" w:hAnsi="Arial" w:cs="Arial"/>
                <w:sz w:val="20"/>
                <w:szCs w:val="20"/>
              </w:rPr>
              <w:t>microbials</w:t>
            </w:r>
            <w:r w:rsidRPr="00EA5693">
              <w:rPr>
                <w:rFonts w:ascii="Arial" w:hAnsi="Arial" w:cs="Arial"/>
                <w:sz w:val="20"/>
                <w:szCs w:val="20"/>
              </w:rPr>
              <w:t xml:space="preserve"> to be avoided all together. </w:t>
            </w:r>
          </w:p>
          <w:p w14:paraId="221785D7" w14:textId="77777777" w:rsidR="00A53F94" w:rsidRDefault="00A53F94" w:rsidP="00D84897">
            <w:pPr>
              <w:rPr>
                <w:rFonts w:ascii="Arial" w:hAnsi="Arial" w:cs="Arial"/>
                <w:sz w:val="20"/>
                <w:szCs w:val="20"/>
              </w:rPr>
            </w:pPr>
          </w:p>
          <w:p w14:paraId="7B764AAA" w14:textId="77777777" w:rsidR="00A53F94" w:rsidRDefault="00A53F94" w:rsidP="00D84897">
            <w:pPr>
              <w:rPr>
                <w:rFonts w:ascii="Arial" w:hAnsi="Arial" w:cs="Arial"/>
                <w:sz w:val="20"/>
                <w:szCs w:val="20"/>
              </w:rPr>
            </w:pPr>
            <w:r>
              <w:rPr>
                <w:rFonts w:ascii="Arial" w:hAnsi="Arial" w:cs="Arial"/>
                <w:sz w:val="20"/>
                <w:szCs w:val="20"/>
              </w:rPr>
              <w:t>Subgroups:</w:t>
            </w:r>
          </w:p>
          <w:p w14:paraId="041B597E" w14:textId="77777777" w:rsidR="00A53F94" w:rsidRDefault="00A53F94" w:rsidP="00D84897">
            <w:pPr>
              <w:rPr>
                <w:rFonts w:ascii="Arial" w:hAnsi="Arial" w:cs="Arial"/>
                <w:sz w:val="20"/>
                <w:szCs w:val="20"/>
              </w:rPr>
            </w:pPr>
            <w:r>
              <w:rPr>
                <w:rFonts w:ascii="Arial" w:hAnsi="Arial" w:cs="Arial"/>
                <w:sz w:val="20"/>
                <w:szCs w:val="20"/>
              </w:rPr>
              <w:t>Appropriate antiviral use.</w:t>
            </w:r>
          </w:p>
          <w:p w14:paraId="2844E275" w14:textId="77777777" w:rsidR="00A53F94" w:rsidRDefault="00A53F94" w:rsidP="00D84897">
            <w:pPr>
              <w:rPr>
                <w:rFonts w:ascii="Arial" w:hAnsi="Arial" w:cs="Arial"/>
                <w:sz w:val="20"/>
                <w:szCs w:val="20"/>
              </w:rPr>
            </w:pPr>
            <w:r>
              <w:rPr>
                <w:rFonts w:ascii="Arial" w:hAnsi="Arial" w:cs="Arial"/>
                <w:sz w:val="20"/>
                <w:szCs w:val="20"/>
              </w:rPr>
              <w:t>(time to start when needed, and time to stop when not needed)</w:t>
            </w:r>
          </w:p>
          <w:p w14:paraId="75B0785E" w14:textId="77777777" w:rsidR="00A53F94" w:rsidRDefault="00A53F94" w:rsidP="00D84897">
            <w:pPr>
              <w:rPr>
                <w:rFonts w:ascii="Arial" w:hAnsi="Arial" w:cs="Arial"/>
                <w:sz w:val="20"/>
                <w:szCs w:val="20"/>
              </w:rPr>
            </w:pPr>
            <w:r>
              <w:rPr>
                <w:rFonts w:ascii="Arial" w:hAnsi="Arial" w:cs="Arial"/>
                <w:sz w:val="20"/>
                <w:szCs w:val="20"/>
              </w:rPr>
              <w:t>Antiviral avoidance.</w:t>
            </w:r>
          </w:p>
          <w:p w14:paraId="0E06B480" w14:textId="77777777" w:rsidR="00A53F94" w:rsidRDefault="00A53F94" w:rsidP="00D84897">
            <w:pPr>
              <w:rPr>
                <w:rFonts w:ascii="Arial" w:hAnsi="Arial" w:cs="Arial"/>
                <w:sz w:val="20"/>
                <w:szCs w:val="20"/>
              </w:rPr>
            </w:pPr>
            <w:r>
              <w:rPr>
                <w:rFonts w:ascii="Arial" w:hAnsi="Arial" w:cs="Arial"/>
                <w:sz w:val="20"/>
                <w:szCs w:val="20"/>
              </w:rPr>
              <w:t>Antibiotic duration</w:t>
            </w:r>
          </w:p>
          <w:p w14:paraId="324739D7" w14:textId="77777777" w:rsidR="00A53F94" w:rsidRDefault="00A53F94" w:rsidP="00D84897">
            <w:pPr>
              <w:rPr>
                <w:rFonts w:ascii="Arial" w:hAnsi="Arial" w:cs="Arial"/>
                <w:sz w:val="20"/>
                <w:szCs w:val="20"/>
              </w:rPr>
            </w:pPr>
            <w:r>
              <w:rPr>
                <w:rFonts w:ascii="Arial" w:hAnsi="Arial" w:cs="Arial"/>
                <w:sz w:val="20"/>
                <w:szCs w:val="20"/>
              </w:rPr>
              <w:t>Antibiotic avoidance.</w:t>
            </w:r>
          </w:p>
          <w:p w14:paraId="7182AE71" w14:textId="77777777" w:rsidR="00A53F94" w:rsidRDefault="00A53F94" w:rsidP="00D84897">
            <w:pPr>
              <w:rPr>
                <w:rFonts w:ascii="Arial" w:hAnsi="Arial" w:cs="Arial"/>
                <w:sz w:val="20"/>
                <w:szCs w:val="20"/>
              </w:rPr>
            </w:pPr>
            <w:r>
              <w:rPr>
                <w:rFonts w:ascii="Arial" w:hAnsi="Arial" w:cs="Arial"/>
                <w:sz w:val="20"/>
                <w:szCs w:val="20"/>
              </w:rPr>
              <w:t>Time to targeted therapy.</w:t>
            </w:r>
          </w:p>
        </w:tc>
        <w:tc>
          <w:tcPr>
            <w:tcW w:w="5364" w:type="dxa"/>
          </w:tcPr>
          <w:p w14:paraId="3D6B0DE0" w14:textId="77777777" w:rsidR="00A53F94" w:rsidRPr="00411FE1" w:rsidRDefault="00A53F94" w:rsidP="00D84897">
            <w:pPr>
              <w:jc w:val="center"/>
              <w:rPr>
                <w:rFonts w:ascii="Arial" w:hAnsi="Arial" w:cs="Arial"/>
                <w:b/>
                <w:bCs/>
                <w:sz w:val="20"/>
                <w:szCs w:val="20"/>
              </w:rPr>
            </w:pPr>
            <w:r>
              <w:rPr>
                <w:rFonts w:ascii="Arial" w:hAnsi="Arial" w:cs="Arial"/>
                <w:b/>
                <w:bCs/>
                <w:sz w:val="20"/>
                <w:szCs w:val="20"/>
              </w:rPr>
              <w:t xml:space="preserve">Appropriate </w:t>
            </w:r>
            <w:r w:rsidRPr="00411FE1">
              <w:rPr>
                <w:rFonts w:ascii="Arial" w:hAnsi="Arial" w:cs="Arial"/>
                <w:b/>
                <w:bCs/>
                <w:sz w:val="20"/>
                <w:szCs w:val="20"/>
              </w:rPr>
              <w:t xml:space="preserve">Antiviral </w:t>
            </w:r>
            <w:r>
              <w:rPr>
                <w:rFonts w:ascii="Arial" w:hAnsi="Arial" w:cs="Arial"/>
                <w:b/>
                <w:bCs/>
                <w:sz w:val="20"/>
                <w:szCs w:val="20"/>
              </w:rPr>
              <w:t>Use</w:t>
            </w:r>
          </w:p>
        </w:tc>
      </w:tr>
      <w:tr w:rsidR="00A53F94" w:rsidRPr="00B17F07" w14:paraId="67C336C3" w14:textId="77777777" w:rsidTr="00D84897">
        <w:trPr>
          <w:trHeight w:val="576"/>
        </w:trPr>
        <w:tc>
          <w:tcPr>
            <w:tcW w:w="1795" w:type="dxa"/>
            <w:vMerge/>
          </w:tcPr>
          <w:p w14:paraId="54269BE4" w14:textId="77777777" w:rsidR="00A53F94" w:rsidRDefault="00A53F94" w:rsidP="00D84897">
            <w:pPr>
              <w:rPr>
                <w:rFonts w:ascii="Arial" w:hAnsi="Arial" w:cs="Arial"/>
                <w:sz w:val="20"/>
                <w:szCs w:val="20"/>
              </w:rPr>
            </w:pPr>
          </w:p>
        </w:tc>
        <w:tc>
          <w:tcPr>
            <w:tcW w:w="2310" w:type="dxa"/>
            <w:vMerge/>
          </w:tcPr>
          <w:p w14:paraId="6837687F" w14:textId="77777777" w:rsidR="00A53F94" w:rsidRDefault="00A53F94" w:rsidP="00D84897">
            <w:pPr>
              <w:rPr>
                <w:rFonts w:ascii="Arial" w:hAnsi="Arial" w:cs="Arial"/>
                <w:sz w:val="20"/>
                <w:szCs w:val="20"/>
              </w:rPr>
            </w:pPr>
          </w:p>
        </w:tc>
        <w:tc>
          <w:tcPr>
            <w:tcW w:w="2496" w:type="dxa"/>
            <w:vMerge/>
          </w:tcPr>
          <w:p w14:paraId="30B0B4D7" w14:textId="77777777" w:rsidR="00A53F94" w:rsidRDefault="00A53F94" w:rsidP="00D84897">
            <w:pPr>
              <w:rPr>
                <w:rFonts w:ascii="Arial" w:hAnsi="Arial" w:cs="Arial"/>
                <w:sz w:val="20"/>
                <w:szCs w:val="20"/>
              </w:rPr>
            </w:pPr>
          </w:p>
        </w:tc>
        <w:tc>
          <w:tcPr>
            <w:tcW w:w="5364" w:type="dxa"/>
          </w:tcPr>
          <w:p w14:paraId="06167ABE" w14:textId="77777777" w:rsidR="00A53F94" w:rsidRPr="00411FE1" w:rsidRDefault="00A53F94" w:rsidP="00A53F94">
            <w:pPr>
              <w:pStyle w:val="Paragraphedeliste"/>
              <w:numPr>
                <w:ilvl w:val="0"/>
                <w:numId w:val="26"/>
              </w:numPr>
              <w:contextualSpacing/>
              <w:rPr>
                <w:rFonts w:ascii="Arial" w:hAnsi="Arial" w:cs="Arial"/>
                <w:sz w:val="20"/>
                <w:szCs w:val="20"/>
              </w:rPr>
            </w:pPr>
            <w:r w:rsidRPr="00411FE1">
              <w:rPr>
                <w:rFonts w:ascii="Arial" w:hAnsi="Arial" w:cs="Arial"/>
                <w:sz w:val="20"/>
                <w:szCs w:val="20"/>
              </w:rPr>
              <w:t>Improvement in appropriate antiviral prescriptions for influenza positive patients shown in a majority of high quality studies (Vos, 2019)</w:t>
            </w:r>
          </w:p>
          <w:p w14:paraId="276F8E50" w14:textId="77777777" w:rsidR="00A53F94" w:rsidRPr="00411FE1" w:rsidRDefault="00A53F94" w:rsidP="00A53F94">
            <w:pPr>
              <w:pStyle w:val="Paragraphedeliste"/>
              <w:numPr>
                <w:ilvl w:val="0"/>
                <w:numId w:val="26"/>
              </w:numPr>
              <w:contextualSpacing/>
              <w:rPr>
                <w:rFonts w:ascii="Arial" w:hAnsi="Arial" w:cs="Arial"/>
                <w:sz w:val="20"/>
                <w:szCs w:val="20"/>
              </w:rPr>
            </w:pPr>
            <w:r w:rsidRPr="00411FE1">
              <w:rPr>
                <w:rFonts w:ascii="Arial" w:hAnsi="Arial" w:cs="Arial"/>
                <w:sz w:val="20"/>
                <w:szCs w:val="20"/>
              </w:rPr>
              <w:t>Appropriate neuraminidase inhibitor treatment of influenza positive patients more common in rapid molecular group (91% [52/57]) than with conventional testing (65% [24/37])</w:t>
            </w:r>
            <w:r>
              <w:rPr>
                <w:rFonts w:ascii="Arial" w:hAnsi="Arial" w:cs="Arial"/>
                <w:sz w:val="20"/>
                <w:szCs w:val="20"/>
              </w:rPr>
              <w:t>, p=0.003</w:t>
            </w:r>
            <w:r w:rsidRPr="00411FE1">
              <w:rPr>
                <w:rFonts w:ascii="Arial" w:hAnsi="Arial" w:cs="Arial"/>
                <w:sz w:val="20"/>
                <w:szCs w:val="20"/>
              </w:rPr>
              <w:t>. (Brendish, 2017)</w:t>
            </w:r>
          </w:p>
          <w:p w14:paraId="7DB34AE1" w14:textId="77777777" w:rsidR="00A53F94" w:rsidRPr="00411FE1" w:rsidRDefault="00A53F94" w:rsidP="00A53F94">
            <w:pPr>
              <w:pStyle w:val="Paragraphedeliste"/>
              <w:numPr>
                <w:ilvl w:val="0"/>
                <w:numId w:val="26"/>
              </w:numPr>
              <w:contextualSpacing/>
              <w:rPr>
                <w:rFonts w:ascii="Arial" w:hAnsi="Arial" w:cs="Arial"/>
                <w:sz w:val="20"/>
                <w:szCs w:val="20"/>
              </w:rPr>
            </w:pPr>
            <w:r w:rsidRPr="00411FE1">
              <w:rPr>
                <w:rFonts w:ascii="Arial" w:hAnsi="Arial" w:cs="Arial"/>
                <w:sz w:val="20"/>
                <w:szCs w:val="20"/>
              </w:rPr>
              <w:t xml:space="preserve">Influenza positive patients prescribed antibiotics more often in rapid-PCR group (80%, 24/30), than with conventional testing (62%, 13/21). </w:t>
            </w:r>
            <w:r w:rsidRPr="004C7623">
              <w:rPr>
                <w:rFonts w:ascii="Arial" w:hAnsi="Arial" w:cs="Arial"/>
                <w:sz w:val="20"/>
                <w:szCs w:val="20"/>
              </w:rPr>
              <w:t>The time to the first dose from the time of admission was known for all but one patient in each arm and was considerably reduced in the</w:t>
            </w:r>
            <w:r>
              <w:rPr>
                <w:rFonts w:ascii="Arial" w:hAnsi="Arial" w:cs="Arial"/>
                <w:sz w:val="20"/>
                <w:szCs w:val="20"/>
              </w:rPr>
              <w:t xml:space="preserve"> i</w:t>
            </w:r>
            <w:r w:rsidRPr="00411FE1">
              <w:rPr>
                <w:rFonts w:ascii="Arial" w:hAnsi="Arial" w:cs="Arial"/>
                <w:sz w:val="20"/>
                <w:szCs w:val="20"/>
              </w:rPr>
              <w:t>ntervention arm: median of 60.4 h in the control arm (IQR 22.7–85.2) and 24 h in the intervention arm (IQR 11.6–33.0)</w:t>
            </w:r>
            <w:r>
              <w:rPr>
                <w:rFonts w:ascii="Arial" w:hAnsi="Arial" w:cs="Arial"/>
                <w:sz w:val="20"/>
                <w:szCs w:val="20"/>
              </w:rPr>
              <w:t>.</w:t>
            </w:r>
            <w:r w:rsidRPr="00411FE1">
              <w:rPr>
                <w:rFonts w:ascii="Arial" w:hAnsi="Arial" w:cs="Arial"/>
                <w:sz w:val="20"/>
                <w:szCs w:val="20"/>
              </w:rPr>
              <w:t xml:space="preserve"> (Andrews, 2017)</w:t>
            </w:r>
          </w:p>
          <w:p w14:paraId="624CA64D" w14:textId="77777777" w:rsidR="00A53F94" w:rsidRDefault="00A53F94" w:rsidP="00A53F94">
            <w:pPr>
              <w:pStyle w:val="Paragraphedeliste"/>
              <w:numPr>
                <w:ilvl w:val="0"/>
                <w:numId w:val="26"/>
              </w:numPr>
              <w:contextualSpacing/>
              <w:rPr>
                <w:rFonts w:ascii="Arial" w:hAnsi="Arial" w:cs="Arial"/>
                <w:sz w:val="20"/>
                <w:szCs w:val="20"/>
              </w:rPr>
            </w:pPr>
            <w:r w:rsidRPr="00411FE1">
              <w:rPr>
                <w:rFonts w:ascii="Arial" w:hAnsi="Arial" w:cs="Arial"/>
                <w:sz w:val="20"/>
                <w:szCs w:val="20"/>
              </w:rPr>
              <w:t>86% (12/14) reported increased antiviral use associated with a positive diagnosis by POCT (mix of molecular and antigen-based techniques – only one multiplex PCR). (Egilmezer, 2018)</w:t>
            </w:r>
          </w:p>
          <w:p w14:paraId="3194CEE3" w14:textId="77777777" w:rsidR="00A53F94" w:rsidRDefault="00A53F94" w:rsidP="00A53F94">
            <w:pPr>
              <w:pStyle w:val="Paragraphedeliste"/>
              <w:numPr>
                <w:ilvl w:val="0"/>
                <w:numId w:val="26"/>
              </w:numPr>
              <w:contextualSpacing/>
              <w:rPr>
                <w:rFonts w:ascii="Arial" w:hAnsi="Arial" w:cs="Arial"/>
                <w:sz w:val="20"/>
                <w:szCs w:val="20"/>
              </w:rPr>
            </w:pPr>
            <w:r w:rsidRPr="00411FE1">
              <w:rPr>
                <w:rFonts w:ascii="Arial" w:hAnsi="Arial" w:cs="Arial"/>
                <w:sz w:val="20"/>
                <w:szCs w:val="20"/>
              </w:rPr>
              <w:t>No difference between intervention and control arm, 61% vs 61% (p=0.96). Subgroup analysis of discordant results (between RAT and PCR), showed discordant results had lower incidence of antiviral treatment (55% vs. 74%, p=0.034), and increased time to antiviral initiation (15.9h vs. 5.2h, p=0.013). (Rappo, 2016)</w:t>
            </w:r>
          </w:p>
          <w:p w14:paraId="34D1980F" w14:textId="77777777" w:rsidR="00A53F94" w:rsidRPr="002A72A4" w:rsidRDefault="00A53F94" w:rsidP="00A53F94">
            <w:pPr>
              <w:pStyle w:val="Paragraphedeliste"/>
              <w:numPr>
                <w:ilvl w:val="0"/>
                <w:numId w:val="26"/>
              </w:numPr>
              <w:contextualSpacing/>
              <w:rPr>
                <w:rFonts w:ascii="Arial" w:hAnsi="Arial" w:cs="Arial"/>
                <w:sz w:val="20"/>
                <w:szCs w:val="20"/>
              </w:rPr>
            </w:pPr>
            <w:r w:rsidRPr="002A72A4">
              <w:rPr>
                <w:rFonts w:ascii="Arial" w:hAnsi="Arial" w:cs="Arial"/>
                <w:sz w:val="20"/>
                <w:szCs w:val="20"/>
              </w:rPr>
              <w:t>Mean time to d/c empiric oseltamivir amongst negative influenza patients was 4 days for Luminex xTAG RVP (n=42) and 2 days for Filmarray (n=75), p&lt;0.001. (Pettit, 2015)</w:t>
            </w:r>
          </w:p>
        </w:tc>
      </w:tr>
      <w:tr w:rsidR="00A53F94" w:rsidRPr="00B17F07" w14:paraId="49C409A2" w14:textId="77777777" w:rsidTr="00D84897">
        <w:trPr>
          <w:trHeight w:val="288"/>
        </w:trPr>
        <w:tc>
          <w:tcPr>
            <w:tcW w:w="1795" w:type="dxa"/>
            <w:vMerge/>
          </w:tcPr>
          <w:p w14:paraId="4718C356" w14:textId="77777777" w:rsidR="00A53F94" w:rsidRDefault="00A53F94" w:rsidP="00D84897">
            <w:pPr>
              <w:rPr>
                <w:rFonts w:ascii="Arial" w:hAnsi="Arial" w:cs="Arial"/>
                <w:sz w:val="20"/>
                <w:szCs w:val="20"/>
              </w:rPr>
            </w:pPr>
          </w:p>
        </w:tc>
        <w:tc>
          <w:tcPr>
            <w:tcW w:w="2310" w:type="dxa"/>
            <w:vMerge/>
          </w:tcPr>
          <w:p w14:paraId="1C0A94AF" w14:textId="77777777" w:rsidR="00A53F94" w:rsidRDefault="00A53F94" w:rsidP="00D84897">
            <w:pPr>
              <w:rPr>
                <w:rFonts w:ascii="Arial" w:hAnsi="Arial" w:cs="Arial"/>
                <w:sz w:val="20"/>
                <w:szCs w:val="20"/>
              </w:rPr>
            </w:pPr>
          </w:p>
        </w:tc>
        <w:tc>
          <w:tcPr>
            <w:tcW w:w="2496" w:type="dxa"/>
            <w:vMerge/>
          </w:tcPr>
          <w:p w14:paraId="5CF6BA44" w14:textId="77777777" w:rsidR="00A53F94" w:rsidRDefault="00A53F94" w:rsidP="00D84897">
            <w:pPr>
              <w:rPr>
                <w:rFonts w:ascii="Arial" w:hAnsi="Arial" w:cs="Arial"/>
                <w:sz w:val="20"/>
                <w:szCs w:val="20"/>
              </w:rPr>
            </w:pPr>
          </w:p>
        </w:tc>
        <w:tc>
          <w:tcPr>
            <w:tcW w:w="5364" w:type="dxa"/>
          </w:tcPr>
          <w:p w14:paraId="0054A17E" w14:textId="77777777" w:rsidR="00A53F94" w:rsidRPr="002A72A4" w:rsidRDefault="00A53F94" w:rsidP="00D84897">
            <w:pPr>
              <w:jc w:val="center"/>
              <w:rPr>
                <w:rFonts w:ascii="Arial" w:hAnsi="Arial" w:cs="Arial"/>
                <w:b/>
                <w:bCs/>
                <w:sz w:val="20"/>
                <w:szCs w:val="20"/>
              </w:rPr>
            </w:pPr>
            <w:r w:rsidRPr="002A72A4">
              <w:rPr>
                <w:rFonts w:ascii="Arial" w:hAnsi="Arial" w:cs="Arial"/>
                <w:b/>
                <w:bCs/>
                <w:sz w:val="20"/>
                <w:szCs w:val="20"/>
              </w:rPr>
              <w:t>Antibiotic Duration</w:t>
            </w:r>
          </w:p>
        </w:tc>
      </w:tr>
      <w:tr w:rsidR="00A53F94" w:rsidRPr="00B17F07" w14:paraId="073965AC" w14:textId="77777777" w:rsidTr="00D84897">
        <w:trPr>
          <w:trHeight w:val="5472"/>
        </w:trPr>
        <w:tc>
          <w:tcPr>
            <w:tcW w:w="1795" w:type="dxa"/>
            <w:vMerge/>
          </w:tcPr>
          <w:p w14:paraId="00B261CD" w14:textId="77777777" w:rsidR="00A53F94" w:rsidRDefault="00A53F94" w:rsidP="00D84897">
            <w:pPr>
              <w:rPr>
                <w:rFonts w:ascii="Arial" w:hAnsi="Arial" w:cs="Arial"/>
                <w:sz w:val="20"/>
                <w:szCs w:val="20"/>
              </w:rPr>
            </w:pPr>
          </w:p>
        </w:tc>
        <w:tc>
          <w:tcPr>
            <w:tcW w:w="2310" w:type="dxa"/>
            <w:vMerge/>
          </w:tcPr>
          <w:p w14:paraId="565E9E15" w14:textId="77777777" w:rsidR="00A53F94" w:rsidRDefault="00A53F94" w:rsidP="00D84897">
            <w:pPr>
              <w:rPr>
                <w:rFonts w:ascii="Arial" w:hAnsi="Arial" w:cs="Arial"/>
                <w:sz w:val="20"/>
                <w:szCs w:val="20"/>
              </w:rPr>
            </w:pPr>
          </w:p>
        </w:tc>
        <w:tc>
          <w:tcPr>
            <w:tcW w:w="2496" w:type="dxa"/>
            <w:vMerge/>
          </w:tcPr>
          <w:p w14:paraId="06E376B5" w14:textId="77777777" w:rsidR="00A53F94" w:rsidRDefault="00A53F94" w:rsidP="00D84897">
            <w:pPr>
              <w:rPr>
                <w:rFonts w:ascii="Arial" w:hAnsi="Arial" w:cs="Arial"/>
                <w:sz w:val="20"/>
                <w:szCs w:val="20"/>
              </w:rPr>
            </w:pPr>
          </w:p>
        </w:tc>
        <w:tc>
          <w:tcPr>
            <w:tcW w:w="5364" w:type="dxa"/>
          </w:tcPr>
          <w:p w14:paraId="5F4DABFC" w14:textId="77777777" w:rsidR="00A53F94" w:rsidRPr="002E7911" w:rsidRDefault="00A53F94" w:rsidP="00A53F94">
            <w:pPr>
              <w:pStyle w:val="Paragraphedeliste"/>
              <w:numPr>
                <w:ilvl w:val="0"/>
                <w:numId w:val="28"/>
              </w:numPr>
              <w:ind w:left="360"/>
              <w:contextualSpacing/>
              <w:rPr>
                <w:rFonts w:ascii="Arial" w:hAnsi="Arial" w:cs="Arial"/>
                <w:strike/>
                <w:sz w:val="20"/>
                <w:szCs w:val="20"/>
              </w:rPr>
            </w:pPr>
            <w:r w:rsidRPr="002E7911">
              <w:rPr>
                <w:rFonts w:ascii="Arial" w:hAnsi="Arial" w:cs="Arial"/>
                <w:sz w:val="20"/>
                <w:szCs w:val="20"/>
              </w:rPr>
              <w:t>Overall, non-significant difference in duration between rapid molecular test and conventional testing (7.2d vs. 7.7d, p=0.17), however, the proportion of single dose antibiotics was higher for the molecular group than conventional testing (10% vs. 3%, p=0.001), as was the proportion of patients with short duration (&lt;48h) antibiotics (17% vs. 9%, p=0.0047). Post-hoc subgroup analysis looking only at those who were not prescribed antibiotics prior to randomization/result availability showed a reduction in antibiotic prescriptions for the rapid molecular group (51%, 61/120), than in the conventional testing group (65%, 107/167), p=0.0289; number needed to test to prevent one patient being treated with antibiotics is eight. An additional subgroup analysis of those with exacerbation of airway disease (as opposed to pneumonia, which requires a longer antibiotic course), showed a shorter duration of antibiotics in the rapid molecular group than with conventional testing (5.3d vs. 7.1d, p=0.0008). (Brendish, 2017)</w:t>
            </w:r>
          </w:p>
          <w:p w14:paraId="41CBBF29" w14:textId="77777777" w:rsidR="00A53F94" w:rsidRDefault="00A53F94" w:rsidP="00A53F94">
            <w:pPr>
              <w:pStyle w:val="Paragraphedeliste"/>
              <w:numPr>
                <w:ilvl w:val="0"/>
                <w:numId w:val="28"/>
              </w:numPr>
              <w:ind w:left="360"/>
              <w:contextualSpacing/>
              <w:rPr>
                <w:rFonts w:ascii="Arial" w:hAnsi="Arial" w:cs="Arial"/>
                <w:sz w:val="20"/>
                <w:szCs w:val="20"/>
              </w:rPr>
            </w:pPr>
            <w:r w:rsidRPr="002E7911">
              <w:rPr>
                <w:rFonts w:ascii="Arial" w:hAnsi="Arial" w:cs="Arial"/>
                <w:sz w:val="20"/>
                <w:szCs w:val="20"/>
              </w:rPr>
              <w:t>Days of therapy per 1000 patient days (DOT, if a patient is on 3 antimicrobials on any given day, it counts as 3 DOT), was significantly lower in FilmArray group. 1560 (±895) for FilmArray vs. 2232 (±2574) for standard, p=0.03. (Gilbert, 2016)</w:t>
            </w:r>
          </w:p>
          <w:p w14:paraId="40714EDA" w14:textId="77777777" w:rsidR="00A53F94" w:rsidRPr="002E7911" w:rsidRDefault="00A53F94" w:rsidP="00A53F94">
            <w:pPr>
              <w:pStyle w:val="Paragraphedeliste"/>
              <w:numPr>
                <w:ilvl w:val="0"/>
                <w:numId w:val="28"/>
              </w:numPr>
              <w:ind w:left="360"/>
              <w:contextualSpacing/>
              <w:rPr>
                <w:rFonts w:ascii="Arial" w:hAnsi="Arial" w:cs="Arial"/>
                <w:sz w:val="20"/>
                <w:szCs w:val="20"/>
              </w:rPr>
            </w:pPr>
            <w:r w:rsidRPr="002E7911">
              <w:rPr>
                <w:rFonts w:ascii="Arial" w:hAnsi="Arial" w:cs="Arial"/>
                <w:sz w:val="20"/>
                <w:szCs w:val="20"/>
              </w:rPr>
              <w:t>Univariate analysis showed non-significant difference (median 23.7h vs 2 48.1h, p=0.24), however, multivariate log. regression (adjusting for age, immunosuppression, asthma, and ICU admission) demonstrated influenza positive FilmArray patients had a significantly lower duration of antimicrobial use, p=0.032. (Rappo,2016)</w:t>
            </w:r>
          </w:p>
          <w:p w14:paraId="55EADB8F" w14:textId="77777777" w:rsidR="00A53F94" w:rsidRPr="002E7911" w:rsidRDefault="00A53F94" w:rsidP="00A53F94">
            <w:pPr>
              <w:pStyle w:val="Paragraphedeliste"/>
              <w:numPr>
                <w:ilvl w:val="0"/>
                <w:numId w:val="28"/>
              </w:numPr>
              <w:ind w:left="360"/>
              <w:contextualSpacing/>
              <w:rPr>
                <w:rFonts w:ascii="Arial" w:hAnsi="Arial" w:cs="Arial"/>
                <w:sz w:val="20"/>
                <w:szCs w:val="20"/>
              </w:rPr>
            </w:pPr>
            <w:r w:rsidRPr="002E7911">
              <w:rPr>
                <w:rFonts w:ascii="Arial" w:hAnsi="Arial" w:cs="Arial"/>
                <w:sz w:val="20"/>
                <w:szCs w:val="20"/>
              </w:rPr>
              <w:t>Overall antibiotic use (measured in days) went from 3.2d to 2.8 days after implementing RRP, p=0.003. Subgroup analysis of virus positive patients also showed a decrease from 3.2 days to 2.7d post RRP, p&lt;0.001. (Rogers, 2015)</w:t>
            </w:r>
          </w:p>
          <w:p w14:paraId="2DF5D90A" w14:textId="77777777" w:rsidR="00A53F94" w:rsidRPr="002E7911" w:rsidRDefault="00A53F94" w:rsidP="00A53F94">
            <w:pPr>
              <w:pStyle w:val="Paragraphedeliste"/>
              <w:numPr>
                <w:ilvl w:val="0"/>
                <w:numId w:val="28"/>
              </w:numPr>
              <w:ind w:left="360"/>
              <w:contextualSpacing/>
              <w:rPr>
                <w:rFonts w:ascii="Arial" w:hAnsi="Arial" w:cs="Arial"/>
                <w:sz w:val="20"/>
                <w:szCs w:val="20"/>
              </w:rPr>
            </w:pPr>
            <w:r w:rsidRPr="002E7911">
              <w:rPr>
                <w:rFonts w:ascii="Arial" w:hAnsi="Arial" w:cs="Arial"/>
                <w:sz w:val="20"/>
                <w:szCs w:val="20"/>
              </w:rPr>
              <w:t>Mean duration of inappropriate inpatient antibiotics decreased from 9.7d to 6.2d in adult, p=0.007. In children, decreased from 6.5d to 4.6d, p&lt;0.001.  (Keske, 2018)</w:t>
            </w:r>
          </w:p>
          <w:p w14:paraId="4B94112D" w14:textId="77777777" w:rsidR="00A53F94" w:rsidRPr="002E7911" w:rsidRDefault="00A53F94" w:rsidP="00A53F94">
            <w:pPr>
              <w:pStyle w:val="Paragraphedeliste"/>
              <w:numPr>
                <w:ilvl w:val="0"/>
                <w:numId w:val="28"/>
              </w:numPr>
              <w:ind w:left="360"/>
              <w:contextualSpacing/>
              <w:rPr>
                <w:rFonts w:ascii="Arial" w:hAnsi="Arial" w:cs="Arial"/>
                <w:sz w:val="20"/>
                <w:szCs w:val="20"/>
              </w:rPr>
            </w:pPr>
            <w:r w:rsidRPr="002E7911">
              <w:rPr>
                <w:rFonts w:ascii="Arial" w:hAnsi="Arial" w:cs="Arial"/>
                <w:sz w:val="20"/>
                <w:szCs w:val="20"/>
              </w:rPr>
              <w:t>Implementation of rapid molecular tests did not decrease the number of antibiotic prescriptions or the duration of antibiotic treatment. (Vos, 2019)</w:t>
            </w:r>
          </w:p>
          <w:p w14:paraId="0A63BC33" w14:textId="77777777" w:rsidR="00A53F94" w:rsidRPr="002E7911" w:rsidRDefault="00A53F94" w:rsidP="00A53F94">
            <w:pPr>
              <w:pStyle w:val="Paragraphedeliste"/>
              <w:numPr>
                <w:ilvl w:val="0"/>
                <w:numId w:val="28"/>
              </w:numPr>
              <w:ind w:left="360"/>
              <w:contextualSpacing/>
              <w:rPr>
                <w:rFonts w:ascii="Arial" w:hAnsi="Arial" w:cs="Arial"/>
                <w:sz w:val="20"/>
                <w:szCs w:val="20"/>
              </w:rPr>
            </w:pPr>
            <w:r w:rsidRPr="002E7911">
              <w:rPr>
                <w:rFonts w:ascii="Arial" w:hAnsi="Arial" w:cs="Arial"/>
                <w:sz w:val="20"/>
                <w:szCs w:val="20"/>
              </w:rPr>
              <w:t>Median 6 days [IQR 4–7] vs 6 [5–7.3] (p=0.23). (Andrews, 2017)</w:t>
            </w:r>
          </w:p>
          <w:p w14:paraId="2F37A3A1" w14:textId="77777777" w:rsidR="00A53F94" w:rsidRPr="002E7911" w:rsidRDefault="00A53F94" w:rsidP="00A53F94">
            <w:pPr>
              <w:pStyle w:val="Paragraphedeliste"/>
              <w:numPr>
                <w:ilvl w:val="0"/>
                <w:numId w:val="28"/>
              </w:numPr>
              <w:ind w:left="360"/>
              <w:contextualSpacing/>
              <w:rPr>
                <w:rFonts w:ascii="Arial" w:hAnsi="Arial" w:cs="Arial"/>
                <w:sz w:val="20"/>
                <w:szCs w:val="20"/>
              </w:rPr>
            </w:pPr>
            <w:r w:rsidRPr="002E7911">
              <w:rPr>
                <w:rFonts w:ascii="Arial" w:hAnsi="Arial" w:cs="Arial"/>
                <w:sz w:val="20"/>
                <w:szCs w:val="20"/>
              </w:rPr>
              <w:t>Mean 683/1000 patient-days [SD 317] vs 917/1000 [220], p=0.052. (Gelfer, 2015)</w:t>
            </w:r>
          </w:p>
          <w:p w14:paraId="048D2CB0" w14:textId="77777777" w:rsidR="00A53F94" w:rsidRPr="002E7911" w:rsidRDefault="00A53F94" w:rsidP="00D84897">
            <w:pPr>
              <w:rPr>
                <w:rFonts w:ascii="Arial" w:hAnsi="Arial" w:cs="Arial"/>
                <w:b/>
                <w:bCs/>
                <w:sz w:val="20"/>
                <w:szCs w:val="20"/>
                <w:u w:val="single"/>
              </w:rPr>
            </w:pPr>
            <w:r w:rsidRPr="002E7911">
              <w:rPr>
                <w:rFonts w:ascii="Arial" w:hAnsi="Arial" w:cs="Arial"/>
                <w:b/>
                <w:bCs/>
                <w:sz w:val="20"/>
                <w:szCs w:val="20"/>
                <w:u w:val="single"/>
              </w:rPr>
              <w:t>Explanations/Recommendations</w:t>
            </w:r>
          </w:p>
          <w:p w14:paraId="36F7FD35" w14:textId="77777777" w:rsidR="00A53F94" w:rsidRPr="002E7911" w:rsidRDefault="00A53F94" w:rsidP="00A53F94">
            <w:pPr>
              <w:pStyle w:val="Paragraphedeliste"/>
              <w:numPr>
                <w:ilvl w:val="0"/>
                <w:numId w:val="28"/>
              </w:numPr>
              <w:ind w:left="360"/>
              <w:contextualSpacing/>
              <w:rPr>
                <w:rFonts w:ascii="Arial" w:hAnsi="Arial" w:cs="Arial"/>
                <w:sz w:val="20"/>
                <w:szCs w:val="20"/>
              </w:rPr>
            </w:pPr>
            <w:r w:rsidRPr="002E7911">
              <w:rPr>
                <w:rFonts w:ascii="Arial" w:hAnsi="Arial" w:cs="Arial"/>
                <w:sz w:val="20"/>
                <w:szCs w:val="20"/>
              </w:rPr>
              <w:t>Rapid-PCR results delayed by enrollment procedures and the majority of samples being run by investigator staff, rather than clinical team. Authors propose that antibiotic decisions may have been improved if results were available sooner. (Andrews, 2017)</w:t>
            </w:r>
          </w:p>
          <w:p w14:paraId="62B9A69B" w14:textId="77777777" w:rsidR="00A53F94" w:rsidRPr="002E7911" w:rsidRDefault="00A53F94" w:rsidP="00A53F94">
            <w:pPr>
              <w:pStyle w:val="Paragraphedeliste"/>
              <w:numPr>
                <w:ilvl w:val="0"/>
                <w:numId w:val="28"/>
              </w:numPr>
              <w:ind w:left="360"/>
              <w:contextualSpacing/>
              <w:rPr>
                <w:rFonts w:ascii="Arial" w:hAnsi="Arial" w:cs="Arial"/>
                <w:strike/>
                <w:sz w:val="20"/>
                <w:szCs w:val="20"/>
              </w:rPr>
            </w:pPr>
            <w:r w:rsidRPr="002E7911">
              <w:rPr>
                <w:rFonts w:ascii="Arial" w:hAnsi="Arial" w:cs="Arial"/>
                <w:sz w:val="20"/>
                <w:szCs w:val="20"/>
              </w:rPr>
              <w:t>Because antibiotics may be prescribed prior to rapid-PCR results are available, it may be beneficial to measure the proportion of patients who are on brief-courses of antibiotics. (Egilmezer, 2018)</w:t>
            </w:r>
          </w:p>
        </w:tc>
      </w:tr>
      <w:tr w:rsidR="00A53F94" w:rsidRPr="00B17F07" w14:paraId="582A02C9" w14:textId="77777777" w:rsidTr="00D84897">
        <w:trPr>
          <w:trHeight w:val="288"/>
        </w:trPr>
        <w:tc>
          <w:tcPr>
            <w:tcW w:w="1795" w:type="dxa"/>
            <w:vMerge/>
          </w:tcPr>
          <w:p w14:paraId="3FFE3766" w14:textId="77777777" w:rsidR="00A53F94" w:rsidRDefault="00A53F94" w:rsidP="00D84897">
            <w:pPr>
              <w:rPr>
                <w:rFonts w:ascii="Arial" w:hAnsi="Arial" w:cs="Arial"/>
                <w:sz w:val="20"/>
                <w:szCs w:val="20"/>
              </w:rPr>
            </w:pPr>
          </w:p>
        </w:tc>
        <w:tc>
          <w:tcPr>
            <w:tcW w:w="2310" w:type="dxa"/>
            <w:vMerge/>
          </w:tcPr>
          <w:p w14:paraId="16A01B93" w14:textId="77777777" w:rsidR="00A53F94" w:rsidRDefault="00A53F94" w:rsidP="00D84897">
            <w:pPr>
              <w:rPr>
                <w:rFonts w:ascii="Arial" w:hAnsi="Arial" w:cs="Arial"/>
                <w:sz w:val="20"/>
                <w:szCs w:val="20"/>
              </w:rPr>
            </w:pPr>
          </w:p>
        </w:tc>
        <w:tc>
          <w:tcPr>
            <w:tcW w:w="2496" w:type="dxa"/>
            <w:vMerge/>
          </w:tcPr>
          <w:p w14:paraId="174E8FE0" w14:textId="77777777" w:rsidR="00A53F94" w:rsidRDefault="00A53F94" w:rsidP="00D84897">
            <w:pPr>
              <w:rPr>
                <w:rFonts w:ascii="Arial" w:hAnsi="Arial" w:cs="Arial"/>
                <w:sz w:val="20"/>
                <w:szCs w:val="20"/>
              </w:rPr>
            </w:pPr>
          </w:p>
        </w:tc>
        <w:tc>
          <w:tcPr>
            <w:tcW w:w="5364" w:type="dxa"/>
          </w:tcPr>
          <w:p w14:paraId="3BF24411" w14:textId="77777777" w:rsidR="00A53F94" w:rsidRPr="007E56D3" w:rsidRDefault="00A53F94" w:rsidP="00D84897">
            <w:pPr>
              <w:jc w:val="center"/>
              <w:rPr>
                <w:rFonts w:ascii="Arial" w:hAnsi="Arial" w:cs="Arial"/>
                <w:b/>
                <w:bCs/>
                <w:sz w:val="20"/>
                <w:szCs w:val="20"/>
              </w:rPr>
            </w:pPr>
            <w:r w:rsidRPr="007E56D3">
              <w:rPr>
                <w:rFonts w:ascii="Arial" w:hAnsi="Arial" w:cs="Arial"/>
                <w:b/>
                <w:bCs/>
                <w:sz w:val="20"/>
                <w:szCs w:val="20"/>
              </w:rPr>
              <w:t>Appropriate Antibiotic Use</w:t>
            </w:r>
          </w:p>
        </w:tc>
      </w:tr>
      <w:tr w:rsidR="00A53F94" w:rsidRPr="00B17F07" w14:paraId="56184ADA" w14:textId="77777777" w:rsidTr="00D84897">
        <w:trPr>
          <w:trHeight w:val="3669"/>
        </w:trPr>
        <w:tc>
          <w:tcPr>
            <w:tcW w:w="1795" w:type="dxa"/>
            <w:vMerge/>
          </w:tcPr>
          <w:p w14:paraId="5EB9C537" w14:textId="77777777" w:rsidR="00A53F94" w:rsidRDefault="00A53F94" w:rsidP="00D84897">
            <w:pPr>
              <w:rPr>
                <w:rFonts w:ascii="Arial" w:hAnsi="Arial" w:cs="Arial"/>
                <w:sz w:val="20"/>
                <w:szCs w:val="20"/>
              </w:rPr>
            </w:pPr>
          </w:p>
        </w:tc>
        <w:tc>
          <w:tcPr>
            <w:tcW w:w="2310" w:type="dxa"/>
            <w:vMerge/>
          </w:tcPr>
          <w:p w14:paraId="17CFB3E9" w14:textId="77777777" w:rsidR="00A53F94" w:rsidRDefault="00A53F94" w:rsidP="00D84897">
            <w:pPr>
              <w:rPr>
                <w:rFonts w:ascii="Arial" w:hAnsi="Arial" w:cs="Arial"/>
                <w:sz w:val="20"/>
                <w:szCs w:val="20"/>
              </w:rPr>
            </w:pPr>
          </w:p>
        </w:tc>
        <w:tc>
          <w:tcPr>
            <w:tcW w:w="2496" w:type="dxa"/>
            <w:vMerge/>
          </w:tcPr>
          <w:p w14:paraId="1635BED3" w14:textId="77777777" w:rsidR="00A53F94" w:rsidRDefault="00A53F94" w:rsidP="00D84897">
            <w:pPr>
              <w:rPr>
                <w:rFonts w:ascii="Arial" w:hAnsi="Arial" w:cs="Arial"/>
                <w:sz w:val="20"/>
                <w:szCs w:val="20"/>
              </w:rPr>
            </w:pPr>
          </w:p>
        </w:tc>
        <w:tc>
          <w:tcPr>
            <w:tcW w:w="5364" w:type="dxa"/>
          </w:tcPr>
          <w:p w14:paraId="26E65B94" w14:textId="77777777" w:rsidR="00A53F94" w:rsidRPr="004C47D6" w:rsidRDefault="00A53F94" w:rsidP="00A53F94">
            <w:pPr>
              <w:pStyle w:val="Paragraphedeliste"/>
              <w:numPr>
                <w:ilvl w:val="0"/>
                <w:numId w:val="29"/>
              </w:numPr>
              <w:ind w:left="360"/>
              <w:contextualSpacing/>
              <w:rPr>
                <w:rFonts w:ascii="Arial" w:hAnsi="Arial" w:cs="Arial"/>
                <w:sz w:val="20"/>
                <w:szCs w:val="20"/>
              </w:rPr>
            </w:pPr>
            <w:r w:rsidRPr="004C47D6">
              <w:rPr>
                <w:rFonts w:ascii="Arial" w:hAnsi="Arial" w:cs="Arial"/>
                <w:sz w:val="20"/>
                <w:szCs w:val="20"/>
              </w:rPr>
              <w:t>Proportion of patients prescribed inpatient antibiotics was 75% using multiplex PCR and 77% using conventional testing, p=0.99. (Andrews, 2017)</w:t>
            </w:r>
          </w:p>
          <w:p w14:paraId="6E53F5B5" w14:textId="77777777" w:rsidR="00A53F94" w:rsidRPr="004C47D6" w:rsidRDefault="00A53F94" w:rsidP="00A53F94">
            <w:pPr>
              <w:pStyle w:val="Paragraphedeliste"/>
              <w:numPr>
                <w:ilvl w:val="0"/>
                <w:numId w:val="29"/>
              </w:numPr>
              <w:ind w:left="360"/>
              <w:contextualSpacing/>
              <w:rPr>
                <w:rFonts w:ascii="Arial" w:hAnsi="Arial" w:cs="Arial"/>
                <w:sz w:val="20"/>
                <w:szCs w:val="20"/>
              </w:rPr>
            </w:pPr>
            <w:r w:rsidRPr="004C47D6">
              <w:rPr>
                <w:rFonts w:ascii="Arial" w:hAnsi="Arial" w:cs="Arial"/>
                <w:sz w:val="20"/>
                <w:szCs w:val="20"/>
              </w:rPr>
              <w:t>Proportion of patients prescribed antibiotics pre-RRP was 73.4%, and 72.0% and RRP implementation, p=0.61. (Rogers, 201</w:t>
            </w:r>
            <w:r>
              <w:rPr>
                <w:rFonts w:ascii="Arial" w:hAnsi="Arial" w:cs="Arial"/>
                <w:sz w:val="20"/>
                <w:szCs w:val="20"/>
              </w:rPr>
              <w:t>5</w:t>
            </w:r>
            <w:r w:rsidRPr="004C47D6">
              <w:rPr>
                <w:rFonts w:ascii="Arial" w:hAnsi="Arial" w:cs="Arial"/>
                <w:sz w:val="20"/>
                <w:szCs w:val="20"/>
              </w:rPr>
              <w:t>)</w:t>
            </w:r>
          </w:p>
          <w:p w14:paraId="260622C2" w14:textId="77777777" w:rsidR="00A53F94" w:rsidRPr="004C47D6" w:rsidRDefault="00A53F94" w:rsidP="00A53F94">
            <w:pPr>
              <w:pStyle w:val="Paragraphedeliste"/>
              <w:numPr>
                <w:ilvl w:val="0"/>
                <w:numId w:val="29"/>
              </w:numPr>
              <w:ind w:left="360"/>
              <w:contextualSpacing/>
              <w:rPr>
                <w:rFonts w:ascii="Arial" w:hAnsi="Arial" w:cs="Arial"/>
                <w:sz w:val="20"/>
                <w:szCs w:val="20"/>
              </w:rPr>
            </w:pPr>
            <w:r w:rsidRPr="004C47D6">
              <w:rPr>
                <w:rFonts w:ascii="Arial" w:hAnsi="Arial" w:cs="Arial"/>
                <w:sz w:val="20"/>
                <w:szCs w:val="20"/>
              </w:rPr>
              <w:t>Antibiotic prescription rates overall were 56.3% and 55.5% pre and post-PCR tests, respectively, p=0.92. Among hospitalized patients, antibiotics were continued inappropriately in 45% (160/359) of all inpatients, despite detection of the virus, but there was a reduction in 2016 when compared with 2015 [51.3% (81/158) in 2015 and 39.3% (79/201) in 2016, p = 0.024]. In children, the antibiotic continuation rate was 44.5% in 2015 and decreased to 28.8% in 2016 (p = 0.009); in adults, there was a decrease towards 2016 but this was not significant. (Rappo, 2016)</w:t>
            </w:r>
          </w:p>
          <w:p w14:paraId="547025A5" w14:textId="77777777" w:rsidR="00A53F94" w:rsidRPr="004C47D6" w:rsidRDefault="00A53F94" w:rsidP="00A53F94">
            <w:pPr>
              <w:pStyle w:val="Paragraphedeliste"/>
              <w:numPr>
                <w:ilvl w:val="0"/>
                <w:numId w:val="29"/>
              </w:numPr>
              <w:ind w:left="360"/>
              <w:contextualSpacing/>
              <w:rPr>
                <w:rFonts w:ascii="Arial" w:hAnsi="Arial" w:cs="Arial"/>
                <w:strike/>
                <w:sz w:val="20"/>
                <w:szCs w:val="20"/>
              </w:rPr>
            </w:pPr>
            <w:r w:rsidRPr="004C47D6">
              <w:rPr>
                <w:rFonts w:ascii="Arial" w:hAnsi="Arial" w:cs="Arial"/>
                <w:sz w:val="20"/>
                <w:szCs w:val="20"/>
              </w:rPr>
              <w:t>Twenty</w:t>
            </w:r>
            <w:r w:rsidRPr="004C47D6">
              <w:rPr>
                <w:rFonts w:ascii="Cambria Math" w:hAnsi="Cambria Math" w:cs="Cambria Math"/>
                <w:sz w:val="20"/>
                <w:szCs w:val="20"/>
              </w:rPr>
              <w:t>‐</w:t>
            </w:r>
            <w:r w:rsidRPr="004C47D6">
              <w:rPr>
                <w:rFonts w:ascii="Arial" w:hAnsi="Arial" w:cs="Arial"/>
                <w:sz w:val="20"/>
                <w:szCs w:val="20"/>
              </w:rPr>
              <w:t>six studies assessed the effect of POCT on antibiotic prescription rates. Eleven (42.3%) of these papers compared POCT with standard testing and reported significant decreases in antibiotic use in patients receiving an influenza positive POCT diagnosis. Three of the studies also assessed differences between positive and negative POCT results, demonstrating that patients positive for influenza by POCT were significantly less likely to receive antibiotics. Eight other studies (30.8%) reported similar findings. There were six (23.1%) studies that found no significant changes in antibiotic prescription with POCT use. (Egilmezer, 2018)</w:t>
            </w:r>
          </w:p>
          <w:p w14:paraId="6D611B7B" w14:textId="77777777" w:rsidR="00A53F94" w:rsidRPr="004C47D6" w:rsidRDefault="00A53F94" w:rsidP="00A53F94">
            <w:pPr>
              <w:pStyle w:val="Paragraphedeliste"/>
              <w:numPr>
                <w:ilvl w:val="0"/>
                <w:numId w:val="29"/>
              </w:numPr>
              <w:ind w:left="360"/>
              <w:contextualSpacing/>
              <w:rPr>
                <w:rFonts w:ascii="Arial" w:hAnsi="Arial" w:cs="Arial"/>
                <w:sz w:val="20"/>
                <w:szCs w:val="20"/>
              </w:rPr>
            </w:pPr>
            <w:r w:rsidRPr="004C47D6">
              <w:rPr>
                <w:rFonts w:ascii="Arial" w:hAnsi="Arial" w:cs="Arial"/>
                <w:sz w:val="20"/>
                <w:szCs w:val="20"/>
              </w:rPr>
              <w:t>789/2031 (38.8%) patients had opportunity for antibiotic avoidance (according to PCR and/or PCT results). (Timbrook, 2015)</w:t>
            </w:r>
          </w:p>
          <w:p w14:paraId="41683725" w14:textId="77777777" w:rsidR="00A53F94" w:rsidRPr="004C47D6" w:rsidRDefault="00A53F94" w:rsidP="00A53F94">
            <w:pPr>
              <w:pStyle w:val="Paragraphedeliste"/>
              <w:numPr>
                <w:ilvl w:val="0"/>
                <w:numId w:val="29"/>
              </w:numPr>
              <w:ind w:left="360"/>
              <w:contextualSpacing/>
              <w:rPr>
                <w:rFonts w:ascii="Arial" w:hAnsi="Arial" w:cs="Arial"/>
                <w:sz w:val="20"/>
                <w:szCs w:val="20"/>
              </w:rPr>
            </w:pPr>
            <w:r w:rsidRPr="004C47D6">
              <w:rPr>
                <w:rFonts w:ascii="Arial" w:hAnsi="Arial" w:cs="Arial"/>
                <w:sz w:val="20"/>
                <w:szCs w:val="20"/>
              </w:rPr>
              <w:t>Inappropriate antibiotics continued in 45% (160/359), but after molecular respiratory tests introduced there was a decrease in inpatient antibiotics (after viral detection) from 51.3% (81/158) to 39.3% (79/201), p=0.024. In children, this went from 44.5% (53/119) to 28.8% (40/139), p=0.009. (Keske, 2018)</w:t>
            </w:r>
          </w:p>
        </w:tc>
      </w:tr>
      <w:tr w:rsidR="00A53F94" w:rsidRPr="00B17F07" w14:paraId="4634AAED" w14:textId="77777777" w:rsidTr="00D84897">
        <w:tc>
          <w:tcPr>
            <w:tcW w:w="1795" w:type="dxa"/>
          </w:tcPr>
          <w:p w14:paraId="7CFC60D0" w14:textId="77777777" w:rsidR="00A53F94" w:rsidRDefault="00A53F94" w:rsidP="00D84897">
            <w:pPr>
              <w:rPr>
                <w:rFonts w:ascii="Arial" w:hAnsi="Arial" w:cs="Arial"/>
                <w:sz w:val="20"/>
                <w:szCs w:val="20"/>
              </w:rPr>
            </w:pPr>
            <w:r>
              <w:rPr>
                <w:rFonts w:ascii="Arial" w:hAnsi="Arial" w:cs="Arial"/>
                <w:sz w:val="20"/>
                <w:szCs w:val="20"/>
              </w:rPr>
              <w:t>Cost</w:t>
            </w:r>
          </w:p>
        </w:tc>
        <w:tc>
          <w:tcPr>
            <w:tcW w:w="2310" w:type="dxa"/>
          </w:tcPr>
          <w:p w14:paraId="791B00AC" w14:textId="77777777" w:rsidR="00A53F94" w:rsidRPr="00B17F07" w:rsidRDefault="00A53F94" w:rsidP="00D84897">
            <w:pPr>
              <w:rPr>
                <w:rFonts w:ascii="Arial" w:hAnsi="Arial" w:cs="Arial"/>
                <w:sz w:val="20"/>
                <w:szCs w:val="20"/>
              </w:rPr>
            </w:pPr>
            <w:r>
              <w:rPr>
                <w:rFonts w:ascii="Arial" w:hAnsi="Arial" w:cs="Arial"/>
                <w:sz w:val="20"/>
                <w:szCs w:val="20"/>
              </w:rPr>
              <w:t xml:space="preserve">Economic data related to diagnostic testing and/or downstream effects of testing. </w:t>
            </w:r>
          </w:p>
        </w:tc>
        <w:tc>
          <w:tcPr>
            <w:tcW w:w="2496" w:type="dxa"/>
          </w:tcPr>
          <w:p w14:paraId="1BF5C318" w14:textId="77777777" w:rsidR="00A53F94" w:rsidRDefault="00A53F94" w:rsidP="00D84897">
            <w:pPr>
              <w:rPr>
                <w:rFonts w:ascii="Arial" w:hAnsi="Arial" w:cs="Arial"/>
                <w:sz w:val="20"/>
                <w:szCs w:val="20"/>
              </w:rPr>
            </w:pPr>
            <w:r>
              <w:rPr>
                <w:rFonts w:ascii="Arial" w:hAnsi="Arial" w:cs="Arial"/>
                <w:sz w:val="20"/>
                <w:szCs w:val="20"/>
              </w:rPr>
              <w:t xml:space="preserve">May be related to patient care activities (i.e. decision to provide antibiotics, decision to perform additional testing) or to direct laboratory costs. </w:t>
            </w:r>
          </w:p>
        </w:tc>
        <w:tc>
          <w:tcPr>
            <w:tcW w:w="5364" w:type="dxa"/>
          </w:tcPr>
          <w:p w14:paraId="3E4A25E4" w14:textId="77777777" w:rsidR="00A53F94" w:rsidRPr="00F9607C" w:rsidRDefault="00A53F94" w:rsidP="00A53F94">
            <w:pPr>
              <w:pStyle w:val="Paragraphedeliste"/>
              <w:numPr>
                <w:ilvl w:val="0"/>
                <w:numId w:val="30"/>
              </w:numPr>
              <w:ind w:left="360"/>
              <w:contextualSpacing/>
              <w:rPr>
                <w:rFonts w:ascii="Arial" w:hAnsi="Arial" w:cs="Arial"/>
                <w:sz w:val="20"/>
                <w:szCs w:val="20"/>
              </w:rPr>
            </w:pPr>
            <w:r w:rsidRPr="00F9607C">
              <w:rPr>
                <w:rFonts w:ascii="Arial" w:hAnsi="Arial" w:cs="Arial"/>
                <w:sz w:val="20"/>
                <w:szCs w:val="20"/>
              </w:rPr>
              <w:t>Reduction shown in a majority of high quality studies (Vos, 2019)</w:t>
            </w:r>
          </w:p>
          <w:p w14:paraId="3D9C822E" w14:textId="77777777" w:rsidR="00A53F94" w:rsidRPr="00F9607C" w:rsidRDefault="00A53F94" w:rsidP="00A53F94">
            <w:pPr>
              <w:pStyle w:val="Paragraphedeliste"/>
              <w:numPr>
                <w:ilvl w:val="0"/>
                <w:numId w:val="30"/>
              </w:numPr>
              <w:ind w:left="360"/>
              <w:contextualSpacing/>
              <w:rPr>
                <w:rFonts w:ascii="Arial" w:hAnsi="Arial" w:cs="Arial"/>
                <w:sz w:val="20"/>
                <w:szCs w:val="20"/>
              </w:rPr>
            </w:pPr>
            <w:r w:rsidRPr="00F9607C">
              <w:rPr>
                <w:rFonts w:ascii="Arial" w:hAnsi="Arial" w:cs="Arial"/>
                <w:sz w:val="20"/>
                <w:szCs w:val="20"/>
              </w:rPr>
              <w:t>Median cost of antimicrobial therapy was lower in FilmArray patients vs. standard patients ($3037 vs. $7952, p=0.02). (Gilbert, 2016)</w:t>
            </w:r>
          </w:p>
          <w:p w14:paraId="383AFD32" w14:textId="77777777" w:rsidR="00A53F94" w:rsidRPr="00F9607C" w:rsidRDefault="00A53F94" w:rsidP="00A53F94">
            <w:pPr>
              <w:pStyle w:val="Paragraphedeliste"/>
              <w:numPr>
                <w:ilvl w:val="0"/>
                <w:numId w:val="30"/>
              </w:numPr>
              <w:ind w:left="360"/>
              <w:contextualSpacing/>
              <w:rPr>
                <w:rFonts w:ascii="Arial" w:hAnsi="Arial" w:cs="Arial"/>
                <w:sz w:val="20"/>
                <w:szCs w:val="20"/>
              </w:rPr>
            </w:pPr>
            <w:r w:rsidRPr="00F9607C">
              <w:rPr>
                <w:rFonts w:ascii="Arial" w:hAnsi="Arial" w:cs="Arial"/>
                <w:sz w:val="20"/>
                <w:szCs w:val="20"/>
              </w:rPr>
              <w:t>Mean cost (related to reduced oseltamivir usage in flu negative patients) was ~$34.16 per patient. The amount of oseltamivir utilized after we began using the FilmArray RP (24 h a day/7 days per week) would cost US$9564.80 (if all 112 influenza-positive patients received the standard 75 mg every 12 h dose for a duration of 5 days), in addition to US$2527.84 for those that would have received empiric therapy for a duration of 2 days prior to discontinuation following a negative influenza result, totaling US$12,009.64 in expenditure on oseltamivir during this time period. (Pettit, 2015)</w:t>
            </w:r>
          </w:p>
          <w:p w14:paraId="4A1042E0" w14:textId="77777777" w:rsidR="00A53F94" w:rsidRPr="00F9607C" w:rsidRDefault="00A53F94" w:rsidP="00A53F94">
            <w:pPr>
              <w:pStyle w:val="Paragraphedeliste"/>
              <w:numPr>
                <w:ilvl w:val="0"/>
                <w:numId w:val="30"/>
              </w:numPr>
              <w:ind w:left="360"/>
              <w:contextualSpacing/>
              <w:rPr>
                <w:rFonts w:ascii="Arial" w:hAnsi="Arial" w:cs="Arial"/>
                <w:sz w:val="20"/>
                <w:szCs w:val="20"/>
              </w:rPr>
            </w:pPr>
            <w:r w:rsidRPr="00F9607C">
              <w:rPr>
                <w:rFonts w:ascii="Arial" w:hAnsi="Arial" w:cs="Arial"/>
                <w:sz w:val="20"/>
                <w:szCs w:val="20"/>
              </w:rPr>
              <w:t>Estimated cost savings of using RRP was $178 less per sample. (Rogers, 2015)</w:t>
            </w:r>
          </w:p>
          <w:p w14:paraId="6CE271CD" w14:textId="77777777" w:rsidR="00A53F94" w:rsidRPr="00F9607C" w:rsidRDefault="00A53F94" w:rsidP="00A53F94">
            <w:pPr>
              <w:pStyle w:val="Paragraphedeliste"/>
              <w:numPr>
                <w:ilvl w:val="0"/>
                <w:numId w:val="30"/>
              </w:numPr>
              <w:ind w:left="360"/>
              <w:contextualSpacing/>
              <w:rPr>
                <w:rFonts w:ascii="Arial" w:hAnsi="Arial" w:cs="Arial"/>
                <w:sz w:val="20"/>
                <w:szCs w:val="20"/>
              </w:rPr>
            </w:pPr>
            <w:r w:rsidRPr="00F9607C">
              <w:rPr>
                <w:rFonts w:ascii="Arial" w:hAnsi="Arial" w:cs="Arial"/>
                <w:sz w:val="20"/>
                <w:szCs w:val="20"/>
              </w:rPr>
              <w:t>$8308/1000 patient-days [SD 10165] vs $11890/1000 [11712] (p=0.02) (Gilbert, 2016)</w:t>
            </w:r>
          </w:p>
        </w:tc>
      </w:tr>
      <w:tr w:rsidR="00A53F94" w:rsidRPr="00B17F07" w14:paraId="43A3356D" w14:textId="77777777" w:rsidTr="00D84897">
        <w:trPr>
          <w:trHeight w:val="288"/>
        </w:trPr>
        <w:tc>
          <w:tcPr>
            <w:tcW w:w="1795" w:type="dxa"/>
            <w:vMerge w:val="restart"/>
          </w:tcPr>
          <w:p w14:paraId="6D8E1DD6" w14:textId="77777777" w:rsidR="00A53F94" w:rsidRDefault="00A53F94" w:rsidP="00D84897">
            <w:pPr>
              <w:rPr>
                <w:rFonts w:ascii="Arial" w:hAnsi="Arial" w:cs="Arial"/>
                <w:sz w:val="20"/>
                <w:szCs w:val="20"/>
              </w:rPr>
            </w:pPr>
            <w:r>
              <w:rPr>
                <w:rFonts w:ascii="Arial" w:hAnsi="Arial" w:cs="Arial"/>
                <w:sz w:val="20"/>
                <w:szCs w:val="20"/>
              </w:rPr>
              <w:t>Etiologic Determination (including negative bacterial detection)</w:t>
            </w:r>
          </w:p>
        </w:tc>
        <w:tc>
          <w:tcPr>
            <w:tcW w:w="2310" w:type="dxa"/>
            <w:vMerge w:val="restart"/>
          </w:tcPr>
          <w:p w14:paraId="001B8F7C" w14:textId="77777777" w:rsidR="00A53F94" w:rsidRDefault="00A53F94" w:rsidP="00D84897">
            <w:pPr>
              <w:rPr>
                <w:rFonts w:ascii="Arial" w:hAnsi="Arial" w:cs="Arial"/>
                <w:sz w:val="20"/>
                <w:szCs w:val="20"/>
              </w:rPr>
            </w:pPr>
            <w:r>
              <w:rPr>
                <w:rFonts w:ascii="Arial" w:hAnsi="Arial" w:cs="Arial"/>
                <w:sz w:val="20"/>
                <w:szCs w:val="20"/>
              </w:rPr>
              <w:t>Outcomes related to having a pathogen detected or ruled-out.</w:t>
            </w:r>
          </w:p>
          <w:p w14:paraId="3C5C3B86" w14:textId="77777777" w:rsidR="00A53F94" w:rsidRDefault="00A53F94" w:rsidP="00D84897">
            <w:pPr>
              <w:rPr>
                <w:rFonts w:ascii="Arial" w:hAnsi="Arial" w:cs="Arial"/>
                <w:sz w:val="20"/>
                <w:szCs w:val="20"/>
              </w:rPr>
            </w:pPr>
          </w:p>
          <w:p w14:paraId="3964555B" w14:textId="77777777" w:rsidR="00A53F94" w:rsidRPr="00B17F07" w:rsidRDefault="00A53F94" w:rsidP="00D84897">
            <w:pPr>
              <w:rPr>
                <w:rFonts w:ascii="Arial" w:hAnsi="Arial" w:cs="Arial"/>
                <w:sz w:val="20"/>
                <w:szCs w:val="20"/>
              </w:rPr>
            </w:pPr>
          </w:p>
        </w:tc>
        <w:tc>
          <w:tcPr>
            <w:tcW w:w="2496" w:type="dxa"/>
            <w:vMerge w:val="restart"/>
          </w:tcPr>
          <w:p w14:paraId="592B4578" w14:textId="77777777" w:rsidR="00A53F94" w:rsidRDefault="00A53F94" w:rsidP="00D84897">
            <w:pPr>
              <w:rPr>
                <w:rFonts w:ascii="Arial" w:hAnsi="Arial" w:cs="Arial"/>
                <w:sz w:val="20"/>
                <w:szCs w:val="20"/>
              </w:rPr>
            </w:pPr>
            <w:r w:rsidRPr="00574055">
              <w:rPr>
                <w:rFonts w:ascii="Arial" w:hAnsi="Arial" w:cs="Arial"/>
                <w:sz w:val="20"/>
                <w:szCs w:val="20"/>
              </w:rPr>
              <w:t>Discriminating viral pathogens from bacterial/fungal causes of disease may impact patient management decisions and clinical outcomes.</w:t>
            </w:r>
            <w:r>
              <w:rPr>
                <w:rFonts w:ascii="Arial" w:hAnsi="Arial" w:cs="Arial"/>
                <w:sz w:val="20"/>
                <w:szCs w:val="20"/>
              </w:rPr>
              <w:t xml:space="preserve"> </w:t>
            </w:r>
          </w:p>
          <w:p w14:paraId="6C14FC62" w14:textId="77777777" w:rsidR="00A53F94" w:rsidRDefault="00A53F94" w:rsidP="00D84897">
            <w:pPr>
              <w:rPr>
                <w:rFonts w:ascii="Arial" w:hAnsi="Arial" w:cs="Arial"/>
                <w:sz w:val="20"/>
                <w:szCs w:val="20"/>
              </w:rPr>
            </w:pPr>
          </w:p>
          <w:p w14:paraId="7C233C1A" w14:textId="77777777" w:rsidR="00A53F94" w:rsidRPr="00574055" w:rsidRDefault="00A53F94" w:rsidP="00D84897">
            <w:pPr>
              <w:rPr>
                <w:rFonts w:ascii="Arial" w:hAnsi="Arial" w:cs="Arial"/>
                <w:sz w:val="20"/>
                <w:szCs w:val="20"/>
              </w:rPr>
            </w:pPr>
            <w:r w:rsidRPr="00574055">
              <w:rPr>
                <w:rFonts w:ascii="Arial" w:hAnsi="Arial" w:cs="Arial"/>
                <w:sz w:val="20"/>
                <w:szCs w:val="20"/>
              </w:rPr>
              <w:t xml:space="preserve">Viral etiologies may often require only supportive care, and often do not require antibiotics or antiviral treatment. </w:t>
            </w:r>
          </w:p>
          <w:p w14:paraId="6EC59F10" w14:textId="77777777" w:rsidR="00A53F94" w:rsidRDefault="00A53F94" w:rsidP="00D84897">
            <w:pPr>
              <w:rPr>
                <w:rFonts w:ascii="Arial" w:hAnsi="Arial" w:cs="Arial"/>
                <w:sz w:val="20"/>
                <w:szCs w:val="20"/>
              </w:rPr>
            </w:pPr>
          </w:p>
          <w:p w14:paraId="2E741F20" w14:textId="77777777" w:rsidR="00A53F94" w:rsidRDefault="00A53F94" w:rsidP="00D84897">
            <w:pPr>
              <w:rPr>
                <w:rFonts w:ascii="Arial" w:hAnsi="Arial" w:cs="Arial"/>
                <w:sz w:val="20"/>
                <w:szCs w:val="20"/>
              </w:rPr>
            </w:pPr>
            <w:r w:rsidRPr="00574055">
              <w:rPr>
                <w:rFonts w:ascii="Arial" w:hAnsi="Arial" w:cs="Arial"/>
                <w:sz w:val="20"/>
                <w:szCs w:val="20"/>
              </w:rPr>
              <w:t>Viral etiologies may require less hospitalization.</w:t>
            </w:r>
          </w:p>
          <w:p w14:paraId="37DAE146" w14:textId="77777777" w:rsidR="00A53F94" w:rsidRDefault="00A53F94" w:rsidP="00D84897">
            <w:pPr>
              <w:rPr>
                <w:rFonts w:ascii="Arial" w:hAnsi="Arial" w:cs="Arial"/>
                <w:sz w:val="20"/>
                <w:szCs w:val="20"/>
              </w:rPr>
            </w:pPr>
          </w:p>
          <w:p w14:paraId="6300FB51" w14:textId="77777777" w:rsidR="00A53F94" w:rsidRPr="00574055" w:rsidRDefault="00A53F94" w:rsidP="00D84897">
            <w:pPr>
              <w:rPr>
                <w:rFonts w:ascii="Arial" w:hAnsi="Arial" w:cs="Arial"/>
                <w:sz w:val="20"/>
                <w:szCs w:val="20"/>
              </w:rPr>
            </w:pPr>
            <w:r>
              <w:rPr>
                <w:rFonts w:ascii="Arial" w:hAnsi="Arial" w:cs="Arial"/>
                <w:sz w:val="20"/>
                <w:szCs w:val="20"/>
              </w:rPr>
              <w:t xml:space="preserve">Clinical presentation/ suspicion that matches negative bacterial detection, may guide antibiotic treatment decisions. </w:t>
            </w:r>
          </w:p>
          <w:p w14:paraId="37B637CE" w14:textId="77777777" w:rsidR="00A53F94" w:rsidRDefault="00A53F94" w:rsidP="00D84897">
            <w:pPr>
              <w:rPr>
                <w:rFonts w:ascii="Arial" w:hAnsi="Arial" w:cs="Arial"/>
                <w:sz w:val="20"/>
                <w:szCs w:val="20"/>
              </w:rPr>
            </w:pPr>
          </w:p>
        </w:tc>
        <w:tc>
          <w:tcPr>
            <w:tcW w:w="5364" w:type="dxa"/>
          </w:tcPr>
          <w:p w14:paraId="6487AA75" w14:textId="77777777" w:rsidR="00A53F94" w:rsidRPr="00281DA6" w:rsidRDefault="00A53F94" w:rsidP="00D84897">
            <w:pPr>
              <w:jc w:val="center"/>
              <w:rPr>
                <w:rFonts w:ascii="Arial" w:hAnsi="Arial" w:cs="Arial"/>
                <w:b/>
                <w:bCs/>
                <w:sz w:val="20"/>
                <w:szCs w:val="20"/>
              </w:rPr>
            </w:pPr>
            <w:r w:rsidRPr="00281DA6">
              <w:rPr>
                <w:rFonts w:ascii="Arial" w:hAnsi="Arial" w:cs="Arial"/>
                <w:b/>
                <w:bCs/>
                <w:sz w:val="20"/>
                <w:szCs w:val="20"/>
              </w:rPr>
              <w:t>Positive Detection Effect</w:t>
            </w:r>
          </w:p>
        </w:tc>
      </w:tr>
      <w:tr w:rsidR="00A53F94" w:rsidRPr="00B17F07" w14:paraId="3A01887B" w14:textId="77777777" w:rsidTr="00D84897">
        <w:trPr>
          <w:trHeight w:val="145"/>
        </w:trPr>
        <w:tc>
          <w:tcPr>
            <w:tcW w:w="1795" w:type="dxa"/>
            <w:vMerge/>
          </w:tcPr>
          <w:p w14:paraId="67457827" w14:textId="77777777" w:rsidR="00A53F94" w:rsidRDefault="00A53F94" w:rsidP="00D84897">
            <w:pPr>
              <w:rPr>
                <w:rFonts w:ascii="Arial" w:hAnsi="Arial" w:cs="Arial"/>
                <w:sz w:val="20"/>
                <w:szCs w:val="20"/>
              </w:rPr>
            </w:pPr>
          </w:p>
        </w:tc>
        <w:tc>
          <w:tcPr>
            <w:tcW w:w="2310" w:type="dxa"/>
            <w:vMerge/>
          </w:tcPr>
          <w:p w14:paraId="6F1F5D09" w14:textId="77777777" w:rsidR="00A53F94" w:rsidRDefault="00A53F94" w:rsidP="00D84897">
            <w:pPr>
              <w:rPr>
                <w:rFonts w:ascii="Arial" w:hAnsi="Arial" w:cs="Arial"/>
                <w:sz w:val="20"/>
                <w:szCs w:val="20"/>
              </w:rPr>
            </w:pPr>
          </w:p>
        </w:tc>
        <w:tc>
          <w:tcPr>
            <w:tcW w:w="2496" w:type="dxa"/>
            <w:vMerge/>
          </w:tcPr>
          <w:p w14:paraId="21411F8D" w14:textId="77777777" w:rsidR="00A53F94" w:rsidRPr="00574055" w:rsidRDefault="00A53F94" w:rsidP="00D84897">
            <w:pPr>
              <w:rPr>
                <w:rFonts w:ascii="Arial" w:hAnsi="Arial" w:cs="Arial"/>
                <w:sz w:val="20"/>
                <w:szCs w:val="20"/>
              </w:rPr>
            </w:pPr>
          </w:p>
        </w:tc>
        <w:tc>
          <w:tcPr>
            <w:tcW w:w="5364" w:type="dxa"/>
          </w:tcPr>
          <w:p w14:paraId="5A6432AC" w14:textId="77777777" w:rsidR="00A53F94" w:rsidRPr="00950FA5" w:rsidRDefault="00A53F94" w:rsidP="00A53F94">
            <w:pPr>
              <w:pStyle w:val="Paragraphedeliste"/>
              <w:numPr>
                <w:ilvl w:val="0"/>
                <w:numId w:val="31"/>
              </w:numPr>
              <w:contextualSpacing/>
              <w:rPr>
                <w:rFonts w:ascii="Arial" w:hAnsi="Arial" w:cs="Arial"/>
                <w:sz w:val="20"/>
                <w:szCs w:val="20"/>
              </w:rPr>
            </w:pPr>
            <w:r w:rsidRPr="00950FA5">
              <w:rPr>
                <w:rFonts w:ascii="Arial" w:hAnsi="Arial" w:cs="Arial"/>
                <w:sz w:val="20"/>
                <w:szCs w:val="20"/>
              </w:rPr>
              <w:t>Post-hoc analysis showed shorter antibiotic course in patients with a positive result (6.2 d, SD 4.8) than in those with a negative result (8d, SD 5.3), p=0.0033. Additionally LOS was shorter with a positive result (4.7d, SD 4.6) than with a negative result (6.5d, SD 7.2), p=0.0085. (Brendish, 2017).</w:t>
            </w:r>
          </w:p>
          <w:p w14:paraId="50F8D124" w14:textId="77777777" w:rsidR="00A53F94" w:rsidRPr="00950FA5" w:rsidRDefault="00A53F94" w:rsidP="00A53F94">
            <w:pPr>
              <w:pStyle w:val="Paragraphedeliste"/>
              <w:numPr>
                <w:ilvl w:val="0"/>
                <w:numId w:val="31"/>
              </w:numPr>
              <w:contextualSpacing/>
              <w:rPr>
                <w:rFonts w:ascii="Arial" w:hAnsi="Arial" w:cs="Arial"/>
                <w:sz w:val="20"/>
                <w:szCs w:val="20"/>
              </w:rPr>
            </w:pPr>
            <w:r w:rsidRPr="00950FA5">
              <w:rPr>
                <w:rFonts w:ascii="Arial" w:hAnsi="Arial" w:cs="Arial"/>
                <w:sz w:val="20"/>
                <w:szCs w:val="20"/>
              </w:rPr>
              <w:t>Trend toward higher rates of discharge from the ED for patients testing positive for non-influenza viruses on FilmArray than for the rapid antigen group (44% versus 17%; P  0.067). Significantly more patients who tested positive by FilmArray for noninfluenza viruses were discharged from the ED before arrival on the ward, despite being initially slated for admission (21% versus 5%; P= 0.049) (Rappo, 2016)</w:t>
            </w:r>
          </w:p>
          <w:p w14:paraId="747C380D" w14:textId="77777777" w:rsidR="00A53F94" w:rsidRPr="00950FA5" w:rsidRDefault="00A53F94" w:rsidP="00A53F94">
            <w:pPr>
              <w:pStyle w:val="Paragraphedeliste"/>
              <w:numPr>
                <w:ilvl w:val="0"/>
                <w:numId w:val="31"/>
              </w:numPr>
              <w:contextualSpacing/>
              <w:rPr>
                <w:rFonts w:ascii="Arial" w:hAnsi="Arial" w:cs="Arial"/>
                <w:sz w:val="20"/>
                <w:szCs w:val="20"/>
              </w:rPr>
            </w:pPr>
            <w:r w:rsidRPr="00950FA5">
              <w:rPr>
                <w:rFonts w:ascii="Arial" w:hAnsi="Arial" w:cs="Arial"/>
                <w:sz w:val="20"/>
                <w:szCs w:val="20"/>
              </w:rPr>
              <w:t>Patients who were positive only for RSV in the post-RRP group showed a shorter test turnaround time (P = .001), more patients with a result in the ED (P = .001), a longer ED stay (P=.01), and a decreased duration of antibiotic use by 0.4 day (P = .02). The inpatient LOS was shorter for the group with a positive viral test result following implementation of the RRP (3.5 days pre-RRP versus 3.2 days post-RRP, P =.03). There was no difference in the inpatient LOS for patients with a negative result regardless of whether the test was before or after RRP implementation (P=.88).</w:t>
            </w:r>
            <w:r>
              <w:rPr>
                <w:rFonts w:ascii="Arial" w:hAnsi="Arial" w:cs="Arial"/>
                <w:sz w:val="20"/>
                <w:szCs w:val="20"/>
              </w:rPr>
              <w:t xml:space="preserve"> </w:t>
            </w:r>
            <w:r w:rsidRPr="00950FA5">
              <w:rPr>
                <w:rFonts w:ascii="Arial" w:hAnsi="Arial" w:cs="Arial"/>
                <w:sz w:val="20"/>
                <w:szCs w:val="20"/>
              </w:rPr>
              <w:t>This may be related to providers being more comfortable discharging patients with a known/confirmed viral pathogen. Patients with a positive viral test result in the post-RRP group were prescribed antibiotics for less time (3.2 days pre-RRP versus 2.7 days post-RRP, P = .001) and were in isolation for a shorter period (82 hours pre-RRP versus 75 hours post-RRP, P = .03) than patients tested before RRP implementation. (Rogers, 2015)</w:t>
            </w:r>
          </w:p>
          <w:p w14:paraId="5C7F5317" w14:textId="77777777" w:rsidR="00A53F94" w:rsidRPr="00950FA5" w:rsidRDefault="00A53F94" w:rsidP="00A53F94">
            <w:pPr>
              <w:pStyle w:val="Paragraphedeliste"/>
              <w:numPr>
                <w:ilvl w:val="0"/>
                <w:numId w:val="31"/>
              </w:numPr>
              <w:contextualSpacing/>
              <w:rPr>
                <w:rFonts w:ascii="Arial" w:hAnsi="Arial" w:cs="Arial"/>
                <w:sz w:val="20"/>
                <w:szCs w:val="20"/>
              </w:rPr>
            </w:pPr>
            <w:r w:rsidRPr="00950FA5">
              <w:rPr>
                <w:rFonts w:ascii="Arial" w:hAnsi="Arial" w:cs="Arial"/>
                <w:sz w:val="20"/>
                <w:szCs w:val="20"/>
              </w:rPr>
              <w:t>Detection of viruses does not rule-out other disease causes. (Vos, 2019; Brendish, 2017)</w:t>
            </w:r>
          </w:p>
          <w:p w14:paraId="1BA389AD" w14:textId="77777777" w:rsidR="00A53F94" w:rsidRPr="00950FA5" w:rsidRDefault="00A53F94" w:rsidP="00A53F94">
            <w:pPr>
              <w:pStyle w:val="Paragraphedeliste"/>
              <w:numPr>
                <w:ilvl w:val="0"/>
                <w:numId w:val="31"/>
              </w:numPr>
              <w:contextualSpacing/>
              <w:rPr>
                <w:rFonts w:ascii="Arial" w:hAnsi="Arial" w:cs="Arial"/>
                <w:sz w:val="20"/>
                <w:szCs w:val="20"/>
              </w:rPr>
            </w:pPr>
            <w:r w:rsidRPr="00950FA5">
              <w:rPr>
                <w:rFonts w:ascii="Arial" w:hAnsi="Arial" w:cs="Arial"/>
                <w:sz w:val="20"/>
                <w:szCs w:val="20"/>
              </w:rPr>
              <w:t>Positive viral detection may allow for earlier discontinuation of empiric antibiotics in those with exacerbation of airway disease. (Brendish, 2017).</w:t>
            </w:r>
          </w:p>
          <w:p w14:paraId="6BE57009" w14:textId="77777777" w:rsidR="00A53F94" w:rsidRDefault="00A53F94" w:rsidP="00A53F94">
            <w:pPr>
              <w:pStyle w:val="Paragraphedeliste"/>
              <w:numPr>
                <w:ilvl w:val="0"/>
                <w:numId w:val="31"/>
              </w:numPr>
              <w:contextualSpacing/>
              <w:rPr>
                <w:rFonts w:ascii="Arial" w:hAnsi="Arial" w:cs="Arial"/>
                <w:sz w:val="20"/>
                <w:szCs w:val="20"/>
              </w:rPr>
            </w:pPr>
            <w:r w:rsidRPr="00950FA5">
              <w:rPr>
                <w:rFonts w:ascii="Arial" w:hAnsi="Arial" w:cs="Arial"/>
                <w:sz w:val="20"/>
                <w:szCs w:val="20"/>
              </w:rPr>
              <w:t>Positive viral detection removes diagnostic uncertainty, which enhances use of appropriate antiviral prescriptions, which also may lead to eliminating unnecessary antibiotics. (Egilmezer, 2018)</w:t>
            </w:r>
          </w:p>
          <w:p w14:paraId="5C080054" w14:textId="5D2A3DC6" w:rsidR="00A53F94" w:rsidRPr="00281DA6" w:rsidRDefault="00A53F94" w:rsidP="00300EA3">
            <w:pPr>
              <w:pStyle w:val="Paragraphedeliste"/>
              <w:ind w:left="360"/>
              <w:contextualSpacing/>
              <w:rPr>
                <w:rFonts w:ascii="Arial" w:hAnsi="Arial" w:cs="Arial"/>
                <w:sz w:val="20"/>
                <w:szCs w:val="20"/>
              </w:rPr>
            </w:pPr>
          </w:p>
        </w:tc>
      </w:tr>
      <w:tr w:rsidR="00A53F94" w:rsidRPr="00B17F07" w14:paraId="28ADF520" w14:textId="77777777" w:rsidTr="00D84897">
        <w:trPr>
          <w:trHeight w:val="145"/>
        </w:trPr>
        <w:tc>
          <w:tcPr>
            <w:tcW w:w="1795" w:type="dxa"/>
            <w:vMerge/>
          </w:tcPr>
          <w:p w14:paraId="67DDBB16" w14:textId="77777777" w:rsidR="00A53F94" w:rsidRDefault="00A53F94" w:rsidP="00D84897">
            <w:pPr>
              <w:rPr>
                <w:rFonts w:ascii="Arial" w:hAnsi="Arial" w:cs="Arial"/>
                <w:sz w:val="20"/>
                <w:szCs w:val="20"/>
              </w:rPr>
            </w:pPr>
          </w:p>
        </w:tc>
        <w:tc>
          <w:tcPr>
            <w:tcW w:w="2310" w:type="dxa"/>
            <w:vMerge/>
          </w:tcPr>
          <w:p w14:paraId="405F241E" w14:textId="77777777" w:rsidR="00A53F94" w:rsidRDefault="00A53F94" w:rsidP="00D84897">
            <w:pPr>
              <w:rPr>
                <w:rFonts w:ascii="Arial" w:hAnsi="Arial" w:cs="Arial"/>
                <w:sz w:val="20"/>
                <w:szCs w:val="20"/>
              </w:rPr>
            </w:pPr>
          </w:p>
        </w:tc>
        <w:tc>
          <w:tcPr>
            <w:tcW w:w="2496" w:type="dxa"/>
            <w:vMerge/>
          </w:tcPr>
          <w:p w14:paraId="1CF966AC" w14:textId="77777777" w:rsidR="00A53F94" w:rsidRPr="00574055" w:rsidRDefault="00A53F94" w:rsidP="00D84897">
            <w:pPr>
              <w:rPr>
                <w:rFonts w:ascii="Arial" w:hAnsi="Arial" w:cs="Arial"/>
                <w:sz w:val="20"/>
                <w:szCs w:val="20"/>
              </w:rPr>
            </w:pPr>
          </w:p>
        </w:tc>
        <w:tc>
          <w:tcPr>
            <w:tcW w:w="5364" w:type="dxa"/>
          </w:tcPr>
          <w:p w14:paraId="26E48ACF" w14:textId="77777777" w:rsidR="00A53F94" w:rsidRPr="00950FA5" w:rsidRDefault="00A53F94" w:rsidP="00D84897">
            <w:pPr>
              <w:jc w:val="center"/>
              <w:rPr>
                <w:rFonts w:ascii="Arial" w:hAnsi="Arial" w:cs="Arial"/>
                <w:b/>
                <w:bCs/>
                <w:sz w:val="20"/>
                <w:szCs w:val="20"/>
              </w:rPr>
            </w:pPr>
            <w:r w:rsidRPr="00950FA5">
              <w:rPr>
                <w:rFonts w:ascii="Arial" w:hAnsi="Arial" w:cs="Arial"/>
                <w:b/>
                <w:bCs/>
                <w:sz w:val="20"/>
                <w:szCs w:val="20"/>
              </w:rPr>
              <w:t>Negative Detection Effect</w:t>
            </w:r>
          </w:p>
        </w:tc>
      </w:tr>
      <w:tr w:rsidR="00A53F94" w:rsidRPr="00B17F07" w14:paraId="167EB524" w14:textId="77777777" w:rsidTr="00D84897">
        <w:trPr>
          <w:trHeight w:val="1080"/>
        </w:trPr>
        <w:tc>
          <w:tcPr>
            <w:tcW w:w="1795" w:type="dxa"/>
            <w:vMerge/>
          </w:tcPr>
          <w:p w14:paraId="34A1A2DE" w14:textId="77777777" w:rsidR="00A53F94" w:rsidRDefault="00A53F94" w:rsidP="00D84897">
            <w:pPr>
              <w:rPr>
                <w:rFonts w:ascii="Arial" w:hAnsi="Arial" w:cs="Arial"/>
                <w:sz w:val="20"/>
                <w:szCs w:val="20"/>
              </w:rPr>
            </w:pPr>
          </w:p>
        </w:tc>
        <w:tc>
          <w:tcPr>
            <w:tcW w:w="2310" w:type="dxa"/>
            <w:vMerge/>
          </w:tcPr>
          <w:p w14:paraId="37F1FB1C" w14:textId="77777777" w:rsidR="00A53F94" w:rsidRDefault="00A53F94" w:rsidP="00D84897">
            <w:pPr>
              <w:rPr>
                <w:rFonts w:ascii="Arial" w:hAnsi="Arial" w:cs="Arial"/>
                <w:sz w:val="20"/>
                <w:szCs w:val="20"/>
              </w:rPr>
            </w:pPr>
          </w:p>
        </w:tc>
        <w:tc>
          <w:tcPr>
            <w:tcW w:w="2496" w:type="dxa"/>
            <w:vMerge/>
          </w:tcPr>
          <w:p w14:paraId="593B408E" w14:textId="77777777" w:rsidR="00A53F94" w:rsidRPr="00574055" w:rsidRDefault="00A53F94" w:rsidP="00D84897">
            <w:pPr>
              <w:rPr>
                <w:rFonts w:ascii="Arial" w:hAnsi="Arial" w:cs="Arial"/>
                <w:sz w:val="20"/>
                <w:szCs w:val="20"/>
              </w:rPr>
            </w:pPr>
          </w:p>
        </w:tc>
        <w:tc>
          <w:tcPr>
            <w:tcW w:w="5364" w:type="dxa"/>
          </w:tcPr>
          <w:p w14:paraId="51286A31" w14:textId="77777777" w:rsidR="00A53F94" w:rsidRPr="00F448C6" w:rsidRDefault="00A53F94" w:rsidP="00A53F94">
            <w:pPr>
              <w:pStyle w:val="Paragraphedeliste"/>
              <w:numPr>
                <w:ilvl w:val="0"/>
                <w:numId w:val="32"/>
              </w:numPr>
              <w:contextualSpacing/>
              <w:rPr>
                <w:rFonts w:ascii="Arial" w:hAnsi="Arial" w:cs="Arial"/>
                <w:sz w:val="20"/>
                <w:szCs w:val="20"/>
              </w:rPr>
            </w:pPr>
            <w:r w:rsidRPr="00281DA6">
              <w:rPr>
                <w:rFonts w:ascii="Arial" w:hAnsi="Arial" w:cs="Arial"/>
                <w:sz w:val="20"/>
                <w:szCs w:val="20"/>
              </w:rPr>
              <w:t>Negative results may prevent or shorten the use of isolation facilities and neuraminidase inhibitors. (Brendish, 2017).</w:t>
            </w:r>
          </w:p>
        </w:tc>
      </w:tr>
      <w:tr w:rsidR="00A53F94" w:rsidRPr="003D3471" w14:paraId="71FAD659" w14:textId="77777777" w:rsidTr="00D84897">
        <w:tc>
          <w:tcPr>
            <w:tcW w:w="1795" w:type="dxa"/>
          </w:tcPr>
          <w:p w14:paraId="15F7E9AB" w14:textId="77777777" w:rsidR="00A53F94" w:rsidRDefault="00A53F94" w:rsidP="00D84897">
            <w:pPr>
              <w:rPr>
                <w:rFonts w:ascii="Arial" w:hAnsi="Arial" w:cs="Arial"/>
                <w:sz w:val="20"/>
                <w:szCs w:val="20"/>
              </w:rPr>
            </w:pPr>
            <w:r>
              <w:rPr>
                <w:rFonts w:ascii="Arial" w:hAnsi="Arial" w:cs="Arial"/>
                <w:sz w:val="20"/>
                <w:szCs w:val="20"/>
              </w:rPr>
              <w:t>Infection Control measures</w:t>
            </w:r>
          </w:p>
        </w:tc>
        <w:tc>
          <w:tcPr>
            <w:tcW w:w="2310" w:type="dxa"/>
          </w:tcPr>
          <w:p w14:paraId="62CBF273" w14:textId="77777777" w:rsidR="00A53F94" w:rsidRPr="00B17F07" w:rsidRDefault="00A53F94" w:rsidP="00D84897">
            <w:pPr>
              <w:rPr>
                <w:rFonts w:ascii="Arial" w:hAnsi="Arial" w:cs="Arial"/>
                <w:sz w:val="20"/>
                <w:szCs w:val="20"/>
              </w:rPr>
            </w:pPr>
            <w:r>
              <w:rPr>
                <w:rFonts w:ascii="Arial" w:hAnsi="Arial" w:cs="Arial"/>
                <w:sz w:val="20"/>
                <w:szCs w:val="20"/>
              </w:rPr>
              <w:t xml:space="preserve">Isolation precautions are required certain pathogens. Infection control measures entail the amount of resources (e.g. time, staff, PPE) needed to effectively isolate infected patients to prevent nosocomial infection. </w:t>
            </w:r>
          </w:p>
        </w:tc>
        <w:tc>
          <w:tcPr>
            <w:tcW w:w="2496" w:type="dxa"/>
          </w:tcPr>
          <w:p w14:paraId="452121DC" w14:textId="77777777" w:rsidR="00A53F94" w:rsidRDefault="00A53F94" w:rsidP="00D84897">
            <w:pPr>
              <w:rPr>
                <w:rFonts w:ascii="Arial" w:hAnsi="Arial" w:cs="Arial"/>
                <w:sz w:val="20"/>
                <w:szCs w:val="20"/>
              </w:rPr>
            </w:pPr>
            <w:r>
              <w:rPr>
                <w:rFonts w:ascii="Arial" w:hAnsi="Arial" w:cs="Arial"/>
                <w:sz w:val="20"/>
                <w:szCs w:val="20"/>
              </w:rPr>
              <w:t xml:space="preserve">While there are many facets of infection control measures, studies typically report outcomes related to the time in infection control precautions- interventions may vary significantly from site to site depending on resource availability, however a common denominator is the time spent in isolation, as this has a bearing on all other resources. </w:t>
            </w:r>
          </w:p>
        </w:tc>
        <w:tc>
          <w:tcPr>
            <w:tcW w:w="5364" w:type="dxa"/>
          </w:tcPr>
          <w:p w14:paraId="231CC6F8" w14:textId="77777777" w:rsidR="00A53F94" w:rsidRPr="001351F0" w:rsidRDefault="00A53F94" w:rsidP="00A53F94">
            <w:pPr>
              <w:pStyle w:val="Paragraphedeliste"/>
              <w:numPr>
                <w:ilvl w:val="0"/>
                <w:numId w:val="33"/>
              </w:numPr>
              <w:ind w:left="360"/>
              <w:contextualSpacing/>
              <w:rPr>
                <w:rFonts w:ascii="Arial" w:hAnsi="Arial" w:cs="Arial"/>
                <w:strike/>
                <w:sz w:val="20"/>
                <w:szCs w:val="20"/>
              </w:rPr>
            </w:pPr>
            <w:r w:rsidRPr="001351F0">
              <w:rPr>
                <w:rFonts w:ascii="Arial" w:hAnsi="Arial" w:cs="Arial"/>
                <w:sz w:val="20"/>
                <w:szCs w:val="20"/>
              </w:rPr>
              <w:t>Improved appropriate use of isolation rooms, as evidenced by greater proportion of patients with confirmed influenza in isolation, quicker time to isolation with more rapid confirmation of influenza, and quicker time to de-isolation in those with negative influenza, in those with rapid molecular testing than those with conventional testing. Use of isolation facilities 33% vs 25% (p=0.12) overall and 74% vs 57% (p=0.24) for influenza positive. (Brendish, 2017)</w:t>
            </w:r>
          </w:p>
          <w:p w14:paraId="2209EDF7" w14:textId="77777777" w:rsidR="00A53F94" w:rsidRPr="00F448C6" w:rsidRDefault="00A53F94" w:rsidP="00A53F94">
            <w:pPr>
              <w:pStyle w:val="Paragraphedeliste"/>
              <w:numPr>
                <w:ilvl w:val="0"/>
                <w:numId w:val="33"/>
              </w:numPr>
              <w:ind w:left="360"/>
              <w:contextualSpacing/>
              <w:rPr>
                <w:rFonts w:ascii="Arial" w:hAnsi="Arial" w:cs="Arial"/>
                <w:sz w:val="20"/>
                <w:szCs w:val="20"/>
              </w:rPr>
            </w:pPr>
            <w:r w:rsidRPr="001351F0">
              <w:rPr>
                <w:rFonts w:ascii="Arial" w:hAnsi="Arial" w:cs="Arial"/>
                <w:sz w:val="20"/>
                <w:szCs w:val="20"/>
              </w:rPr>
              <w:t>Overall, no change in time in isolation after implementing RRP (73h pre, 70h post, p=0.27). Subgroup analysis of virus positive patients, showed less time in isolation post-RRP (82h pre, 74h post, p=0.03). (Rogers, 2015)</w:t>
            </w:r>
          </w:p>
        </w:tc>
      </w:tr>
      <w:tr w:rsidR="00A53F94" w:rsidRPr="009C52E3" w14:paraId="0AFE1608" w14:textId="77777777" w:rsidTr="00D84897">
        <w:tc>
          <w:tcPr>
            <w:tcW w:w="1795" w:type="dxa"/>
          </w:tcPr>
          <w:p w14:paraId="3EFE0852" w14:textId="77777777" w:rsidR="00A53F94" w:rsidRDefault="00A53F94" w:rsidP="00D84897">
            <w:pPr>
              <w:rPr>
                <w:rFonts w:ascii="Arial" w:hAnsi="Arial" w:cs="Arial"/>
                <w:sz w:val="20"/>
                <w:szCs w:val="20"/>
              </w:rPr>
            </w:pPr>
            <w:r>
              <w:rPr>
                <w:rFonts w:ascii="Arial" w:hAnsi="Arial" w:cs="Arial"/>
                <w:sz w:val="20"/>
                <w:szCs w:val="20"/>
              </w:rPr>
              <w:t>Admission avoidance</w:t>
            </w:r>
          </w:p>
        </w:tc>
        <w:tc>
          <w:tcPr>
            <w:tcW w:w="2310" w:type="dxa"/>
          </w:tcPr>
          <w:p w14:paraId="32921286" w14:textId="77777777" w:rsidR="00A53F94" w:rsidRPr="00B17F07" w:rsidRDefault="00A53F94" w:rsidP="00D84897">
            <w:pPr>
              <w:rPr>
                <w:rFonts w:ascii="Arial" w:hAnsi="Arial" w:cs="Arial"/>
                <w:sz w:val="20"/>
                <w:szCs w:val="20"/>
              </w:rPr>
            </w:pPr>
            <w:r>
              <w:rPr>
                <w:rFonts w:ascii="Arial" w:hAnsi="Arial" w:cs="Arial"/>
                <w:sz w:val="20"/>
                <w:szCs w:val="20"/>
              </w:rPr>
              <w:t xml:space="preserve">Ability of test result to prevent an unnecessary hospitalization. </w:t>
            </w:r>
          </w:p>
        </w:tc>
        <w:tc>
          <w:tcPr>
            <w:tcW w:w="2496" w:type="dxa"/>
          </w:tcPr>
          <w:p w14:paraId="28DD6544" w14:textId="77777777" w:rsidR="00A53F94" w:rsidRDefault="00A53F94" w:rsidP="00D84897">
            <w:pPr>
              <w:rPr>
                <w:rFonts w:ascii="Arial" w:hAnsi="Arial" w:cs="Arial"/>
                <w:sz w:val="20"/>
                <w:szCs w:val="20"/>
              </w:rPr>
            </w:pPr>
            <w:r>
              <w:rPr>
                <w:rFonts w:ascii="Arial" w:hAnsi="Arial" w:cs="Arial"/>
                <w:sz w:val="20"/>
                <w:szCs w:val="20"/>
              </w:rPr>
              <w:t xml:space="preserve">Highly dependent on the inclusions/exclusion criteria of the study population. Multiple studies only include patients that have been admitted to the hospital. While IP outcome measures are important and in need of further study, fewer studies examine diagnostic tests’ ability to avoid becoming and IP.  </w:t>
            </w:r>
          </w:p>
        </w:tc>
        <w:tc>
          <w:tcPr>
            <w:tcW w:w="5364" w:type="dxa"/>
          </w:tcPr>
          <w:p w14:paraId="50829939" w14:textId="77777777" w:rsidR="00A53F94" w:rsidRPr="001351F0" w:rsidRDefault="00A53F94" w:rsidP="00A53F94">
            <w:pPr>
              <w:pStyle w:val="Paragraphedeliste"/>
              <w:numPr>
                <w:ilvl w:val="0"/>
                <w:numId w:val="34"/>
              </w:numPr>
              <w:ind w:left="360"/>
              <w:contextualSpacing/>
              <w:rPr>
                <w:rFonts w:ascii="Arial" w:hAnsi="Arial" w:cs="Arial"/>
                <w:sz w:val="20"/>
                <w:szCs w:val="20"/>
              </w:rPr>
            </w:pPr>
            <w:r w:rsidRPr="001351F0">
              <w:rPr>
                <w:rFonts w:ascii="Arial" w:hAnsi="Arial" w:cs="Arial"/>
                <w:sz w:val="20"/>
                <w:szCs w:val="20"/>
              </w:rPr>
              <w:t>Non-significant increase in proportion of ED discharge  rates after introduction of FilmArray panel (61% post FilmArray, 50% pre-FilmArray), p=0.25. (Rappo, 2016)</w:t>
            </w:r>
          </w:p>
          <w:p w14:paraId="3D3D1066" w14:textId="77777777" w:rsidR="00A53F94" w:rsidRPr="001351F0" w:rsidRDefault="00A53F94" w:rsidP="00A53F94">
            <w:pPr>
              <w:pStyle w:val="Paragraphedeliste"/>
              <w:numPr>
                <w:ilvl w:val="0"/>
                <w:numId w:val="34"/>
              </w:numPr>
              <w:ind w:left="360"/>
              <w:contextualSpacing/>
              <w:rPr>
                <w:rFonts w:ascii="Arial" w:hAnsi="Arial" w:cs="Arial"/>
                <w:sz w:val="20"/>
                <w:szCs w:val="20"/>
              </w:rPr>
            </w:pPr>
            <w:r w:rsidRPr="001351F0">
              <w:rPr>
                <w:rFonts w:ascii="Arial" w:hAnsi="Arial" w:cs="Arial"/>
                <w:sz w:val="20"/>
                <w:szCs w:val="20"/>
              </w:rPr>
              <w:t>Despite being “initially slated for admission” more patients who tested positive for non-influenza viruses were discharged from the ED after introduction of the FilmArray panel (21% vs. 5%), p=0.049. Difference in discharge rates became more pronounced and significant when comparing the influenza patients tested by FilmArray to the influenza patients with discordant results in season 1 (61% versus 37%; P = 0.036). (Rappo, 2016)</w:t>
            </w:r>
          </w:p>
          <w:p w14:paraId="6AAAFA16" w14:textId="77777777" w:rsidR="00A53F94" w:rsidRDefault="00A53F94" w:rsidP="00A53F94">
            <w:pPr>
              <w:pStyle w:val="Paragraphedeliste"/>
              <w:numPr>
                <w:ilvl w:val="0"/>
                <w:numId w:val="34"/>
              </w:numPr>
              <w:ind w:left="360"/>
              <w:contextualSpacing/>
              <w:rPr>
                <w:rFonts w:ascii="Arial" w:hAnsi="Arial" w:cs="Arial"/>
                <w:sz w:val="20"/>
                <w:szCs w:val="20"/>
              </w:rPr>
            </w:pPr>
            <w:r w:rsidRPr="001351F0">
              <w:rPr>
                <w:rFonts w:ascii="Arial" w:hAnsi="Arial" w:cs="Arial"/>
                <w:sz w:val="20"/>
                <w:szCs w:val="20"/>
              </w:rPr>
              <w:t>Multivariate log. regression (adjusting for age, immunosuppression, asthma, and emergency severity index) on patients who were influenza positive had a lower odds ratio of being admitted if tested in the ED  when using the FilmArray (OR 0.32, 95% CI 0.1 to 0.98, p=0.046). (Rappo, 2016)</w:t>
            </w:r>
          </w:p>
          <w:p w14:paraId="3C490073" w14:textId="77777777" w:rsidR="00A53F94" w:rsidRDefault="00A53F94" w:rsidP="00A53F94">
            <w:pPr>
              <w:pStyle w:val="Paragraphedeliste"/>
              <w:numPr>
                <w:ilvl w:val="0"/>
                <w:numId w:val="34"/>
              </w:numPr>
              <w:ind w:left="360"/>
              <w:contextualSpacing/>
              <w:rPr>
                <w:rFonts w:ascii="Arial" w:hAnsi="Arial" w:cs="Arial"/>
                <w:sz w:val="20"/>
                <w:szCs w:val="20"/>
              </w:rPr>
            </w:pPr>
            <w:r w:rsidRPr="001351F0">
              <w:rPr>
                <w:rFonts w:ascii="Arial" w:hAnsi="Arial" w:cs="Arial"/>
                <w:sz w:val="20"/>
                <w:szCs w:val="20"/>
              </w:rPr>
              <w:t>The number of hospital admissions was not reduced by rapid molecular testing (Vos, 2019)</w:t>
            </w:r>
          </w:p>
          <w:p w14:paraId="57A3092D" w14:textId="77777777" w:rsidR="00A53F94" w:rsidRDefault="00A53F94" w:rsidP="00A53F94">
            <w:pPr>
              <w:pStyle w:val="Paragraphedeliste"/>
              <w:numPr>
                <w:ilvl w:val="0"/>
                <w:numId w:val="34"/>
              </w:numPr>
              <w:ind w:left="360"/>
              <w:contextualSpacing/>
              <w:rPr>
                <w:rFonts w:ascii="Arial" w:hAnsi="Arial" w:cs="Arial"/>
                <w:sz w:val="20"/>
                <w:szCs w:val="20"/>
              </w:rPr>
            </w:pPr>
            <w:r w:rsidRPr="0025118D">
              <w:rPr>
                <w:rFonts w:ascii="Arial" w:hAnsi="Arial" w:cs="Arial"/>
                <w:sz w:val="20"/>
                <w:szCs w:val="20"/>
              </w:rPr>
              <w:t>No reduction in hospital admissions (92% vs 92%, p=0.94), ICU admission 3% vs 2% (p=0.36) and 30-day readmission 13% vs 16% (p=0.28) (Brendish, 2017)</w:t>
            </w:r>
          </w:p>
          <w:p w14:paraId="24A3F58A" w14:textId="77777777" w:rsidR="00A53F94" w:rsidRDefault="00A53F94" w:rsidP="00A53F94">
            <w:pPr>
              <w:pStyle w:val="Paragraphedeliste"/>
              <w:numPr>
                <w:ilvl w:val="0"/>
                <w:numId w:val="34"/>
              </w:numPr>
              <w:ind w:left="360"/>
              <w:contextualSpacing/>
              <w:rPr>
                <w:rFonts w:ascii="Arial" w:hAnsi="Arial" w:cs="Arial"/>
                <w:sz w:val="20"/>
                <w:szCs w:val="20"/>
              </w:rPr>
            </w:pPr>
            <w:r w:rsidRPr="0025118D">
              <w:rPr>
                <w:rFonts w:ascii="Arial" w:hAnsi="Arial" w:cs="Arial"/>
                <w:sz w:val="20"/>
                <w:szCs w:val="20"/>
              </w:rPr>
              <w:t>30-day readmission 19% vs 20% (p=0.70) (Andrews, 2017)</w:t>
            </w:r>
          </w:p>
          <w:p w14:paraId="410F8214" w14:textId="77777777" w:rsidR="00A53F94" w:rsidRPr="0025118D" w:rsidRDefault="00A53F94" w:rsidP="00A53F94">
            <w:pPr>
              <w:pStyle w:val="Paragraphedeliste"/>
              <w:numPr>
                <w:ilvl w:val="0"/>
                <w:numId w:val="34"/>
              </w:numPr>
              <w:ind w:left="360"/>
              <w:contextualSpacing/>
              <w:rPr>
                <w:rFonts w:ascii="Arial" w:hAnsi="Arial" w:cs="Arial"/>
                <w:sz w:val="20"/>
                <w:szCs w:val="20"/>
              </w:rPr>
            </w:pPr>
            <w:r w:rsidRPr="0025118D">
              <w:rPr>
                <w:rFonts w:ascii="Arial" w:hAnsi="Arial" w:cs="Arial"/>
                <w:sz w:val="20"/>
                <w:szCs w:val="20"/>
              </w:rPr>
              <w:t>ICU admission 0% vs 0% (p=1.00) (Rogers, 2014)</w:t>
            </w:r>
          </w:p>
        </w:tc>
      </w:tr>
      <w:tr w:rsidR="00A53F94" w:rsidRPr="00B17F07" w14:paraId="0AB05222" w14:textId="77777777" w:rsidTr="00D84897">
        <w:tc>
          <w:tcPr>
            <w:tcW w:w="1795" w:type="dxa"/>
          </w:tcPr>
          <w:p w14:paraId="577D9285" w14:textId="77777777" w:rsidR="00A53F94" w:rsidRDefault="00A53F94" w:rsidP="00D84897">
            <w:pPr>
              <w:rPr>
                <w:rFonts w:ascii="Arial" w:hAnsi="Arial" w:cs="Arial"/>
                <w:sz w:val="20"/>
                <w:szCs w:val="20"/>
              </w:rPr>
            </w:pPr>
            <w:r>
              <w:rPr>
                <w:rFonts w:ascii="Arial" w:hAnsi="Arial" w:cs="Arial"/>
                <w:sz w:val="20"/>
                <w:szCs w:val="20"/>
              </w:rPr>
              <w:t>Pathogen incidence/ distribution</w:t>
            </w:r>
          </w:p>
          <w:p w14:paraId="076AD78E" w14:textId="77777777" w:rsidR="00A53F94" w:rsidRDefault="00A53F94" w:rsidP="00D84897">
            <w:pPr>
              <w:rPr>
                <w:rFonts w:ascii="Arial" w:hAnsi="Arial" w:cs="Arial"/>
                <w:sz w:val="20"/>
                <w:szCs w:val="20"/>
              </w:rPr>
            </w:pPr>
          </w:p>
        </w:tc>
        <w:tc>
          <w:tcPr>
            <w:tcW w:w="2310" w:type="dxa"/>
          </w:tcPr>
          <w:p w14:paraId="28DC10E5" w14:textId="77777777" w:rsidR="00A53F94" w:rsidRDefault="00A53F94" w:rsidP="00D84897">
            <w:pPr>
              <w:rPr>
                <w:rFonts w:ascii="Arial" w:hAnsi="Arial" w:cs="Arial"/>
                <w:sz w:val="20"/>
                <w:szCs w:val="20"/>
              </w:rPr>
            </w:pPr>
          </w:p>
        </w:tc>
        <w:tc>
          <w:tcPr>
            <w:tcW w:w="2496" w:type="dxa"/>
          </w:tcPr>
          <w:p w14:paraId="1D80DE69" w14:textId="77777777" w:rsidR="00A53F94" w:rsidRDefault="00A53F94" w:rsidP="00D84897">
            <w:pPr>
              <w:rPr>
                <w:rFonts w:ascii="Arial" w:hAnsi="Arial" w:cs="Arial"/>
                <w:sz w:val="20"/>
                <w:szCs w:val="20"/>
              </w:rPr>
            </w:pPr>
          </w:p>
        </w:tc>
        <w:tc>
          <w:tcPr>
            <w:tcW w:w="5364" w:type="dxa"/>
          </w:tcPr>
          <w:p w14:paraId="73E124FA" w14:textId="77777777" w:rsidR="00A53F94" w:rsidRDefault="00A53F94" w:rsidP="00A53F94">
            <w:pPr>
              <w:pStyle w:val="Paragraphedeliste"/>
              <w:numPr>
                <w:ilvl w:val="0"/>
                <w:numId w:val="19"/>
              </w:numPr>
              <w:contextualSpacing/>
              <w:rPr>
                <w:rFonts w:ascii="Arial" w:hAnsi="Arial" w:cs="Arial"/>
                <w:sz w:val="20"/>
                <w:szCs w:val="20"/>
              </w:rPr>
            </w:pPr>
            <w:r w:rsidRPr="007E3D37">
              <w:rPr>
                <w:rFonts w:ascii="Arial" w:hAnsi="Arial" w:cs="Arial"/>
                <w:sz w:val="20"/>
                <w:szCs w:val="20"/>
              </w:rPr>
              <w:t>Eleven infants had a dual infection (9.2%). RSV and RV were the most frequent viral pathogens; RSV was detected in 58 infants (48.3%) and RV in 27 infants (22.5%)</w:t>
            </w:r>
            <w:r>
              <w:rPr>
                <w:rFonts w:ascii="Arial" w:hAnsi="Arial" w:cs="Arial"/>
                <w:sz w:val="20"/>
                <w:szCs w:val="20"/>
              </w:rPr>
              <w:t xml:space="preserve"> (Van Leeuwen, 2012)</w:t>
            </w:r>
          </w:p>
          <w:p w14:paraId="1F548BED" w14:textId="77777777" w:rsidR="00A53F94" w:rsidRPr="00733E75" w:rsidRDefault="00A53F94" w:rsidP="00A53F94">
            <w:pPr>
              <w:pStyle w:val="Paragraphedeliste"/>
              <w:numPr>
                <w:ilvl w:val="0"/>
                <w:numId w:val="19"/>
              </w:numPr>
              <w:contextualSpacing/>
              <w:rPr>
                <w:rFonts w:ascii="Arial" w:hAnsi="Arial" w:cs="Arial"/>
                <w:sz w:val="20"/>
                <w:szCs w:val="20"/>
              </w:rPr>
            </w:pPr>
            <w:r w:rsidRPr="00733E75">
              <w:rPr>
                <w:rFonts w:ascii="Arial" w:hAnsi="Arial" w:cs="Arial"/>
                <w:sz w:val="20"/>
                <w:szCs w:val="20"/>
              </w:rPr>
              <w:t>Only single pathogens were detected by routine testing but FilmArray® detected dual infections in</w:t>
            </w:r>
          </w:p>
          <w:p w14:paraId="0988B561" w14:textId="77777777" w:rsidR="00A53F94" w:rsidRDefault="00A53F94" w:rsidP="00A53F94">
            <w:pPr>
              <w:pStyle w:val="Paragraphedeliste"/>
              <w:numPr>
                <w:ilvl w:val="0"/>
                <w:numId w:val="19"/>
              </w:numPr>
              <w:contextualSpacing/>
              <w:rPr>
                <w:rFonts w:ascii="Arial" w:hAnsi="Arial" w:cs="Arial"/>
                <w:sz w:val="20"/>
                <w:szCs w:val="20"/>
              </w:rPr>
            </w:pPr>
            <w:r w:rsidRPr="00733E75">
              <w:rPr>
                <w:rFonts w:ascii="Arial" w:hAnsi="Arial" w:cs="Arial"/>
                <w:sz w:val="20"/>
                <w:szCs w:val="20"/>
              </w:rPr>
              <w:t xml:space="preserve">five samples. FilmArray® also detected </w:t>
            </w:r>
            <w:r>
              <w:rPr>
                <w:rFonts w:ascii="Arial" w:hAnsi="Arial" w:cs="Arial"/>
                <w:sz w:val="20"/>
                <w:szCs w:val="20"/>
              </w:rPr>
              <w:t>c</w:t>
            </w:r>
            <w:r w:rsidRPr="00733E75">
              <w:rPr>
                <w:rFonts w:ascii="Arial" w:hAnsi="Arial" w:cs="Arial"/>
                <w:sz w:val="20"/>
                <w:szCs w:val="20"/>
              </w:rPr>
              <w:t>oronaviruses, not</w:t>
            </w:r>
            <w:r>
              <w:rPr>
                <w:rFonts w:ascii="Arial" w:hAnsi="Arial" w:cs="Arial"/>
                <w:sz w:val="20"/>
                <w:szCs w:val="20"/>
              </w:rPr>
              <w:t xml:space="preserve"> </w:t>
            </w:r>
            <w:r w:rsidRPr="00733E75">
              <w:rPr>
                <w:rFonts w:ascii="Arial" w:hAnsi="Arial" w:cs="Arial"/>
                <w:sz w:val="20"/>
                <w:szCs w:val="20"/>
              </w:rPr>
              <w:t>detected using standard tests</w:t>
            </w:r>
            <w:r>
              <w:rPr>
                <w:rFonts w:ascii="Arial" w:hAnsi="Arial" w:cs="Arial"/>
                <w:sz w:val="20"/>
                <w:szCs w:val="20"/>
              </w:rPr>
              <w:t xml:space="preserve"> (Andrews, 2017)</w:t>
            </w:r>
          </w:p>
          <w:p w14:paraId="5CA2F924" w14:textId="77777777" w:rsidR="00A53F94" w:rsidRDefault="00A53F94" w:rsidP="00A53F94">
            <w:pPr>
              <w:pStyle w:val="Paragraphedeliste"/>
              <w:numPr>
                <w:ilvl w:val="0"/>
                <w:numId w:val="19"/>
              </w:numPr>
              <w:contextualSpacing/>
              <w:rPr>
                <w:rFonts w:ascii="Arial" w:hAnsi="Arial" w:cs="Arial"/>
                <w:sz w:val="20"/>
                <w:szCs w:val="20"/>
              </w:rPr>
            </w:pPr>
            <w:r w:rsidRPr="009D0948">
              <w:rPr>
                <w:rFonts w:ascii="Arial" w:hAnsi="Arial" w:cs="Arial"/>
                <w:sz w:val="20"/>
                <w:szCs w:val="20"/>
              </w:rPr>
              <w:t>one or more potential pathogens were detected in 90 of 127</w:t>
            </w:r>
            <w:r>
              <w:rPr>
                <w:rFonts w:ascii="Arial" w:hAnsi="Arial" w:cs="Arial"/>
                <w:sz w:val="20"/>
                <w:szCs w:val="20"/>
              </w:rPr>
              <w:t xml:space="preserve"> </w:t>
            </w:r>
            <w:r w:rsidRPr="009D0948">
              <w:rPr>
                <w:rFonts w:ascii="Arial" w:hAnsi="Arial" w:cs="Arial"/>
                <w:sz w:val="20"/>
                <w:szCs w:val="20"/>
              </w:rPr>
              <w:t>(71%) patients. In 40 of 127 (32%) only a potential bacterial pathogen was found; in 25 of 127 (20%) only a potential viral pathogen was detected; and in 24 of 127 (19%) both viral and bacterial pathogens were found</w:t>
            </w:r>
            <w:r>
              <w:rPr>
                <w:rFonts w:ascii="Arial" w:hAnsi="Arial" w:cs="Arial"/>
                <w:sz w:val="20"/>
                <w:szCs w:val="20"/>
              </w:rPr>
              <w:t xml:space="preserve"> (Gilbert, 2016)</w:t>
            </w:r>
          </w:p>
          <w:p w14:paraId="733CCF0A" w14:textId="77777777" w:rsidR="00A53F94" w:rsidRPr="00F8607C" w:rsidRDefault="00A53F94" w:rsidP="00A53F94">
            <w:pPr>
              <w:pStyle w:val="Paragraphedeliste"/>
              <w:numPr>
                <w:ilvl w:val="0"/>
                <w:numId w:val="19"/>
              </w:numPr>
              <w:contextualSpacing/>
              <w:rPr>
                <w:rFonts w:ascii="Arial" w:hAnsi="Arial" w:cs="Arial"/>
                <w:sz w:val="20"/>
                <w:szCs w:val="20"/>
              </w:rPr>
            </w:pPr>
            <w:r w:rsidRPr="00F8607C">
              <w:rPr>
                <w:rFonts w:ascii="Arial" w:hAnsi="Arial" w:cs="Arial"/>
                <w:sz w:val="20"/>
                <w:szCs w:val="20"/>
              </w:rPr>
              <w:t>Viral PCR panels detected a respiratory virus in 49 of the 127 38.6%) of the patients</w:t>
            </w:r>
            <w:r>
              <w:rPr>
                <w:rFonts w:ascii="Arial" w:hAnsi="Arial" w:cs="Arial"/>
                <w:sz w:val="20"/>
                <w:szCs w:val="20"/>
              </w:rPr>
              <w:t xml:space="preserve"> (Gilbert, 2016)</w:t>
            </w:r>
          </w:p>
          <w:p w14:paraId="7EDFA139" w14:textId="77777777" w:rsidR="00A53F94" w:rsidRDefault="00A53F94" w:rsidP="00A53F94">
            <w:pPr>
              <w:pStyle w:val="Paragraphedeliste"/>
              <w:numPr>
                <w:ilvl w:val="0"/>
                <w:numId w:val="19"/>
              </w:numPr>
              <w:contextualSpacing/>
              <w:rPr>
                <w:rFonts w:ascii="Arial" w:hAnsi="Arial" w:cs="Arial"/>
                <w:sz w:val="20"/>
                <w:szCs w:val="20"/>
              </w:rPr>
            </w:pPr>
            <w:r w:rsidRPr="00380AA2">
              <w:rPr>
                <w:rFonts w:ascii="Arial" w:hAnsi="Arial" w:cs="Arial"/>
                <w:sz w:val="20"/>
                <w:szCs w:val="20"/>
              </w:rPr>
              <w:t>Among the patients who have viral pathogens in etiology, 211 (28.2%) were adult, and influenza A (52 of 211) (25%), rhinovirus/ enterovirus (49 of 211) (23%), and influenza B (33 of 211) (16%) were the most commonly detected viruses. Among children, rhinovirus/enterovirus (182 of 536) (34%), adenovirus (92 of 536) (17%), influenza A (66 of 536) (12%), RSV (63 of 536) (12%), and influenza B (53 of 536) (10%) were the most commonly detected viruses (Fig. 2). In 71 patients out of 747 (9.5%), multiple viral pathogens were detecte</w:t>
            </w:r>
            <w:r>
              <w:rPr>
                <w:rFonts w:ascii="Arial" w:hAnsi="Arial" w:cs="Arial"/>
                <w:sz w:val="20"/>
                <w:szCs w:val="20"/>
              </w:rPr>
              <w:t>d (Keske, 2018)</w:t>
            </w:r>
          </w:p>
          <w:p w14:paraId="64390BCE" w14:textId="77777777" w:rsidR="00A53F94" w:rsidRDefault="00A53F94" w:rsidP="00A53F94">
            <w:pPr>
              <w:pStyle w:val="Paragraphedeliste"/>
              <w:numPr>
                <w:ilvl w:val="0"/>
                <w:numId w:val="19"/>
              </w:numPr>
              <w:contextualSpacing/>
              <w:rPr>
                <w:rFonts w:ascii="Arial" w:hAnsi="Arial" w:cs="Arial"/>
                <w:sz w:val="20"/>
                <w:szCs w:val="20"/>
              </w:rPr>
            </w:pPr>
            <w:r w:rsidRPr="00A5509E">
              <w:rPr>
                <w:rFonts w:ascii="Arial" w:hAnsi="Arial" w:cs="Arial"/>
                <w:sz w:val="20"/>
                <w:szCs w:val="20"/>
              </w:rPr>
              <w:t>Influenza A and B viruses were the predominant viruses identified in season 1 (158/198 [80%]) and season 2 (54/139 [39%]), followed by RSV (15%) in season 1 and rhinovirus/enterovirus (30%) and metapneumovirus (19%) in season 2</w:t>
            </w:r>
            <w:r>
              <w:rPr>
                <w:rFonts w:ascii="Arial" w:hAnsi="Arial" w:cs="Arial"/>
                <w:sz w:val="20"/>
                <w:szCs w:val="20"/>
              </w:rPr>
              <w:t xml:space="preserve"> (Rappo, 2016)</w:t>
            </w:r>
          </w:p>
          <w:p w14:paraId="7B86C0AA" w14:textId="77777777" w:rsidR="00A53F94" w:rsidRDefault="00A53F94" w:rsidP="00A53F94">
            <w:pPr>
              <w:pStyle w:val="Paragraphedeliste"/>
              <w:numPr>
                <w:ilvl w:val="0"/>
                <w:numId w:val="19"/>
              </w:numPr>
              <w:contextualSpacing/>
              <w:rPr>
                <w:rFonts w:ascii="Arial" w:hAnsi="Arial" w:cs="Arial"/>
                <w:sz w:val="20"/>
                <w:szCs w:val="20"/>
              </w:rPr>
            </w:pPr>
            <w:r>
              <w:rPr>
                <w:rFonts w:ascii="Arial" w:hAnsi="Arial" w:cs="Arial"/>
                <w:sz w:val="20"/>
                <w:szCs w:val="20"/>
              </w:rPr>
              <w:t>T</w:t>
            </w:r>
            <w:r w:rsidRPr="00773466">
              <w:rPr>
                <w:rFonts w:ascii="Arial" w:hAnsi="Arial" w:cs="Arial"/>
                <w:sz w:val="20"/>
                <w:szCs w:val="20"/>
              </w:rPr>
              <w:t>he virus detected most commonly was RSV both before and after RRP implementation. However, influenza A was found in 82 positive post-RRP samples (13.7%), while the virus was absent from positive pre-RRP samples. Viruses detected in the post-RRP group that were not tested for in the pre-RRP group include rhinovirus/enterovirus (126 [21.1%]), coronavirus NL62 (7 [1.2%]), and adenovirus (4 [0.7%]). Parainfluenza 1 through 3 were tested for in both groups, with 3 positive samples (1.4%) in the pre-RRP group compared with 21 positive samples (2.7%) in the post-RRP group. Parainfluenza 4 was only tested for in the post-RRP</w:t>
            </w:r>
            <w:r>
              <w:rPr>
                <w:rFonts w:ascii="Arial" w:hAnsi="Arial" w:cs="Arial"/>
                <w:sz w:val="20"/>
                <w:szCs w:val="20"/>
              </w:rPr>
              <w:t xml:space="preserve"> </w:t>
            </w:r>
            <w:r w:rsidRPr="00773466">
              <w:rPr>
                <w:rFonts w:ascii="Arial" w:hAnsi="Arial" w:cs="Arial"/>
                <w:sz w:val="20"/>
                <w:szCs w:val="20"/>
              </w:rPr>
              <w:t>group and was identified in one patient (0.002%). Human metapneumovirus was tested for in less than 1% of samples in the pre-RRP group, and all were negative. After RRP implementation, the number of samples positive for human metapneumovirus was 57 (9.5%)</w:t>
            </w:r>
            <w:r>
              <w:rPr>
                <w:rFonts w:ascii="Arial" w:hAnsi="Arial" w:cs="Arial"/>
                <w:sz w:val="20"/>
                <w:szCs w:val="20"/>
              </w:rPr>
              <w:t xml:space="preserve"> (Rogers, 2015)</w:t>
            </w:r>
          </w:p>
          <w:p w14:paraId="7B9A29FF" w14:textId="77777777" w:rsidR="00A53F94" w:rsidRDefault="00A53F94" w:rsidP="00A53F94">
            <w:pPr>
              <w:pStyle w:val="Paragraphedeliste"/>
              <w:numPr>
                <w:ilvl w:val="0"/>
                <w:numId w:val="19"/>
              </w:numPr>
              <w:contextualSpacing/>
              <w:rPr>
                <w:rFonts w:ascii="Arial" w:hAnsi="Arial" w:cs="Arial"/>
                <w:sz w:val="20"/>
                <w:szCs w:val="20"/>
              </w:rPr>
            </w:pPr>
            <w:r w:rsidRPr="0085170C">
              <w:rPr>
                <w:rFonts w:ascii="Arial" w:hAnsi="Arial" w:cs="Arial"/>
                <w:sz w:val="20"/>
                <w:szCs w:val="20"/>
              </w:rPr>
              <w:t>The most frequently detected respiratory viruses were influenza A/B (34% of total) and rhinovirus/enterovirus</w:t>
            </w:r>
            <w:r>
              <w:rPr>
                <w:rFonts w:ascii="Arial" w:hAnsi="Arial" w:cs="Arial"/>
                <w:sz w:val="20"/>
                <w:szCs w:val="20"/>
              </w:rPr>
              <w:t xml:space="preserve"> (Timbrook, 2015)</w:t>
            </w:r>
          </w:p>
          <w:p w14:paraId="644A1FBC" w14:textId="77777777" w:rsidR="00A53F94" w:rsidRPr="00F448C6" w:rsidRDefault="00A53F94" w:rsidP="00D84897">
            <w:pPr>
              <w:rPr>
                <w:rFonts w:ascii="Arial" w:hAnsi="Arial" w:cs="Arial"/>
                <w:sz w:val="20"/>
                <w:szCs w:val="20"/>
              </w:rPr>
            </w:pPr>
          </w:p>
        </w:tc>
      </w:tr>
      <w:bookmarkEnd w:id="1"/>
    </w:tbl>
    <w:p w14:paraId="0D4259BC" w14:textId="77777777" w:rsidR="00AC501A" w:rsidRPr="001C7D62" w:rsidRDefault="00AC501A" w:rsidP="00A4184F">
      <w:pPr>
        <w:spacing w:after="0" w:line="240" w:lineRule="auto"/>
        <w:rPr>
          <w:rStyle w:val="Lienhypertexte"/>
          <w:rFonts w:ascii="Arial" w:hAnsi="Arial" w:cs="Arial"/>
          <w:sz w:val="24"/>
          <w:szCs w:val="24"/>
          <w:shd w:val="clear" w:color="auto" w:fill="FFFFFF"/>
        </w:rPr>
      </w:pPr>
    </w:p>
    <w:p w14:paraId="3F63E34D" w14:textId="77777777" w:rsidR="00801026" w:rsidRPr="004339C8" w:rsidRDefault="00801026" w:rsidP="00A4184F">
      <w:pPr>
        <w:spacing w:after="0" w:line="240" w:lineRule="auto"/>
        <w:rPr>
          <w:rFonts w:ascii="Arial" w:hAnsi="Arial" w:cs="Arial"/>
          <w:sz w:val="24"/>
          <w:szCs w:val="24"/>
        </w:rPr>
      </w:pPr>
    </w:p>
    <w:p w14:paraId="7613CD79" w14:textId="2CF17094" w:rsidR="00D84897" w:rsidRDefault="00D84897">
      <w:r>
        <w:br w:type="page"/>
      </w:r>
    </w:p>
    <w:p w14:paraId="4578AD57" w14:textId="0BF03013" w:rsidR="00A4184F" w:rsidRDefault="00D84897" w:rsidP="005445DF">
      <w:pPr>
        <w:spacing w:after="0" w:line="240" w:lineRule="auto"/>
        <w:rPr>
          <w:rFonts w:ascii="Arial" w:hAnsi="Arial" w:cs="Arial"/>
          <w:sz w:val="24"/>
          <w:szCs w:val="24"/>
        </w:rPr>
      </w:pPr>
      <w:r w:rsidRPr="00640354">
        <w:rPr>
          <w:rFonts w:ascii="Arial" w:hAnsi="Arial" w:cs="Arial"/>
          <w:b/>
          <w:bCs/>
          <w:sz w:val="24"/>
          <w:szCs w:val="24"/>
        </w:rPr>
        <w:t>Supplementary Table 4</w:t>
      </w:r>
      <w:r w:rsidR="00BC214E" w:rsidRPr="00640354">
        <w:rPr>
          <w:rFonts w:ascii="Arial" w:hAnsi="Arial" w:cs="Arial"/>
          <w:b/>
          <w:bCs/>
          <w:sz w:val="24"/>
          <w:szCs w:val="24"/>
        </w:rPr>
        <w:t>.</w:t>
      </w:r>
      <w:r w:rsidRPr="00640354">
        <w:rPr>
          <w:rFonts w:ascii="Arial" w:hAnsi="Arial" w:cs="Arial"/>
          <w:b/>
          <w:bCs/>
          <w:sz w:val="24"/>
          <w:szCs w:val="24"/>
        </w:rPr>
        <w:t xml:space="preserve"> </w:t>
      </w:r>
      <w:r w:rsidR="00E23405" w:rsidRPr="00E23405">
        <w:rPr>
          <w:rFonts w:ascii="Arial" w:hAnsi="Arial" w:cs="Arial"/>
          <w:sz w:val="24"/>
          <w:szCs w:val="24"/>
        </w:rPr>
        <w:t>Description of outcome domains and summary of examples</w:t>
      </w:r>
    </w:p>
    <w:tbl>
      <w:tblPr>
        <w:tblStyle w:val="TableauListe1Clair"/>
        <w:tblW w:w="5000" w:type="pct"/>
        <w:tblLook w:val="04A0" w:firstRow="1" w:lastRow="0" w:firstColumn="1" w:lastColumn="0" w:noHBand="0" w:noVBand="1"/>
      </w:tblPr>
      <w:tblGrid>
        <w:gridCol w:w="4932"/>
        <w:gridCol w:w="3535"/>
        <w:gridCol w:w="4483"/>
      </w:tblGrid>
      <w:tr w:rsidR="00E23405" w:rsidRPr="004339C8" w14:paraId="6388B8A4" w14:textId="77777777" w:rsidTr="00790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pct"/>
            <w:tcBorders>
              <w:top w:val="single" w:sz="4" w:space="0" w:color="auto"/>
              <w:left w:val="single" w:sz="4" w:space="0" w:color="auto"/>
              <w:bottom w:val="single" w:sz="4" w:space="0" w:color="auto"/>
            </w:tcBorders>
          </w:tcPr>
          <w:p w14:paraId="05D532A1" w14:textId="77777777" w:rsidR="00E23405" w:rsidRPr="004339C8" w:rsidRDefault="00E23405" w:rsidP="00992468">
            <w:pPr>
              <w:rPr>
                <w:rFonts w:ascii="Arial" w:hAnsi="Arial" w:cs="Arial"/>
                <w:b w:val="0"/>
                <w:bCs w:val="0"/>
                <w:sz w:val="24"/>
                <w:szCs w:val="24"/>
              </w:rPr>
            </w:pPr>
            <w:r w:rsidRPr="004339C8">
              <w:rPr>
                <w:rFonts w:ascii="Arial" w:hAnsi="Arial" w:cs="Arial"/>
                <w:sz w:val="24"/>
                <w:szCs w:val="24"/>
              </w:rPr>
              <w:t>Outcome Domains</w:t>
            </w:r>
          </w:p>
        </w:tc>
        <w:tc>
          <w:tcPr>
            <w:tcW w:w="1365" w:type="pct"/>
            <w:tcBorders>
              <w:top w:val="single" w:sz="4" w:space="0" w:color="auto"/>
              <w:bottom w:val="single" w:sz="4" w:space="0" w:color="auto"/>
            </w:tcBorders>
          </w:tcPr>
          <w:p w14:paraId="5F040E86" w14:textId="77777777" w:rsidR="00E23405" w:rsidRPr="004339C8" w:rsidRDefault="00E23405" w:rsidP="0099246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4339C8">
              <w:rPr>
                <w:rFonts w:ascii="Arial" w:hAnsi="Arial" w:cs="Arial"/>
                <w:sz w:val="24"/>
                <w:szCs w:val="24"/>
              </w:rPr>
              <w:t>Description</w:t>
            </w:r>
          </w:p>
        </w:tc>
        <w:tc>
          <w:tcPr>
            <w:tcW w:w="1731" w:type="pct"/>
            <w:tcBorders>
              <w:top w:val="single" w:sz="4" w:space="0" w:color="auto"/>
              <w:bottom w:val="single" w:sz="4" w:space="0" w:color="auto"/>
              <w:right w:val="single" w:sz="4" w:space="0" w:color="auto"/>
            </w:tcBorders>
          </w:tcPr>
          <w:p w14:paraId="39AE01D2" w14:textId="77777777" w:rsidR="00E23405" w:rsidRPr="004339C8" w:rsidRDefault="00E23405" w:rsidP="0099246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4339C8">
              <w:rPr>
                <w:rFonts w:ascii="Arial" w:hAnsi="Arial" w:cs="Arial"/>
                <w:sz w:val="24"/>
                <w:szCs w:val="24"/>
              </w:rPr>
              <w:t>Examples</w:t>
            </w:r>
          </w:p>
        </w:tc>
      </w:tr>
      <w:tr w:rsidR="00E23405" w:rsidRPr="004339C8" w14:paraId="49E74616" w14:textId="77777777" w:rsidTr="0079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pct"/>
            <w:tcBorders>
              <w:top w:val="single" w:sz="4" w:space="0" w:color="auto"/>
              <w:left w:val="single" w:sz="4" w:space="0" w:color="auto"/>
            </w:tcBorders>
          </w:tcPr>
          <w:p w14:paraId="0F20663D" w14:textId="77777777" w:rsidR="00E23405" w:rsidRPr="004339C8" w:rsidRDefault="00E23405" w:rsidP="00992468">
            <w:pPr>
              <w:rPr>
                <w:rFonts w:ascii="Arial" w:hAnsi="Arial" w:cs="Arial"/>
                <w:b w:val="0"/>
                <w:bCs w:val="0"/>
                <w:sz w:val="24"/>
                <w:szCs w:val="24"/>
              </w:rPr>
            </w:pPr>
            <w:r>
              <w:rPr>
                <w:rFonts w:ascii="Arial" w:hAnsi="Arial" w:cs="Arial"/>
                <w:b w:val="0"/>
                <w:bCs w:val="0"/>
                <w:sz w:val="24"/>
                <w:szCs w:val="24"/>
              </w:rPr>
              <w:t>Operational</w:t>
            </w:r>
          </w:p>
        </w:tc>
        <w:tc>
          <w:tcPr>
            <w:tcW w:w="1365" w:type="pct"/>
            <w:tcBorders>
              <w:top w:val="single" w:sz="4" w:space="0" w:color="auto"/>
            </w:tcBorders>
          </w:tcPr>
          <w:p w14:paraId="68FEF2E5" w14:textId="77777777" w:rsidR="00E23405" w:rsidRPr="004339C8" w:rsidRDefault="00E23405" w:rsidP="0099246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Test performance</w:t>
            </w:r>
          </w:p>
        </w:tc>
        <w:tc>
          <w:tcPr>
            <w:tcW w:w="1731" w:type="pct"/>
            <w:tcBorders>
              <w:top w:val="single" w:sz="4" w:space="0" w:color="auto"/>
              <w:right w:val="single" w:sz="4" w:space="0" w:color="auto"/>
            </w:tcBorders>
          </w:tcPr>
          <w:p w14:paraId="17B93900" w14:textId="77777777" w:rsidR="00E23405" w:rsidRDefault="00E23405" w:rsidP="00E23405">
            <w:pPr>
              <w:pStyle w:val="Paragraphedeliste"/>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Turnaround time (TAT)</w:t>
            </w:r>
          </w:p>
          <w:p w14:paraId="37AB83AD" w14:textId="7CB0FBAC" w:rsidR="00E23405" w:rsidRPr="00037351" w:rsidRDefault="00E23405" w:rsidP="00037351">
            <w:pPr>
              <w:pStyle w:val="Paragraphedeliste"/>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Sensitivity, specificity</w:t>
            </w:r>
          </w:p>
        </w:tc>
      </w:tr>
      <w:tr w:rsidR="00E23405" w:rsidRPr="004339C8" w14:paraId="64F9CFC7" w14:textId="77777777" w:rsidTr="007909B4">
        <w:tc>
          <w:tcPr>
            <w:cnfStyle w:val="001000000000" w:firstRow="0" w:lastRow="0" w:firstColumn="1" w:lastColumn="0" w:oddVBand="0" w:evenVBand="0" w:oddHBand="0" w:evenHBand="0" w:firstRowFirstColumn="0" w:firstRowLastColumn="0" w:lastRowFirstColumn="0" w:lastRowLastColumn="0"/>
            <w:tcW w:w="1904" w:type="pct"/>
            <w:tcBorders>
              <w:left w:val="single" w:sz="4" w:space="0" w:color="auto"/>
            </w:tcBorders>
          </w:tcPr>
          <w:p w14:paraId="48788359" w14:textId="77777777" w:rsidR="00E23405" w:rsidRPr="004339C8" w:rsidRDefault="00E23405" w:rsidP="00992468">
            <w:pPr>
              <w:rPr>
                <w:rFonts w:ascii="Arial" w:hAnsi="Arial" w:cs="Arial"/>
                <w:b w:val="0"/>
                <w:bCs w:val="0"/>
                <w:sz w:val="24"/>
                <w:szCs w:val="24"/>
              </w:rPr>
            </w:pPr>
            <w:r>
              <w:rPr>
                <w:rFonts w:ascii="Arial" w:hAnsi="Arial" w:cs="Arial"/>
                <w:b w:val="0"/>
                <w:bCs w:val="0"/>
                <w:sz w:val="24"/>
                <w:szCs w:val="24"/>
              </w:rPr>
              <w:t>Patient</w:t>
            </w:r>
          </w:p>
        </w:tc>
        <w:tc>
          <w:tcPr>
            <w:tcW w:w="1365" w:type="pct"/>
          </w:tcPr>
          <w:p w14:paraId="5253C080" w14:textId="77777777" w:rsidR="00E23405" w:rsidRPr="004339C8" w:rsidRDefault="00E23405" w:rsidP="009924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339C8">
              <w:rPr>
                <w:rFonts w:ascii="Arial" w:hAnsi="Arial" w:cs="Arial"/>
                <w:sz w:val="24"/>
                <w:szCs w:val="24"/>
              </w:rPr>
              <w:t>Clinical patient outcome change based on management changes</w:t>
            </w:r>
          </w:p>
        </w:tc>
        <w:tc>
          <w:tcPr>
            <w:tcW w:w="1731" w:type="pct"/>
            <w:tcBorders>
              <w:right w:val="single" w:sz="4" w:space="0" w:color="auto"/>
            </w:tcBorders>
          </w:tcPr>
          <w:p w14:paraId="576D52D2" w14:textId="77777777" w:rsidR="00037351" w:rsidRDefault="00037351" w:rsidP="00037351">
            <w:pPr>
              <w:pStyle w:val="Paragraphedeliste"/>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00D65">
              <w:rPr>
                <w:rFonts w:ascii="Arial" w:hAnsi="Arial" w:cs="Arial"/>
                <w:sz w:val="24"/>
                <w:szCs w:val="24"/>
              </w:rPr>
              <w:t>De-escalation of antibiotic therapy</w:t>
            </w:r>
          </w:p>
          <w:p w14:paraId="180F323C" w14:textId="77777777" w:rsidR="00037351" w:rsidRDefault="00037351" w:rsidP="00037351">
            <w:pPr>
              <w:pStyle w:val="Paragraphedeliste"/>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Appropriate antiviral use</w:t>
            </w:r>
          </w:p>
          <w:p w14:paraId="1A06E983" w14:textId="77777777" w:rsidR="00037351" w:rsidRDefault="00037351" w:rsidP="00037351">
            <w:pPr>
              <w:pStyle w:val="Paragraphedeliste"/>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w:t>
            </w:r>
            <w:r w:rsidRPr="000C71BE">
              <w:rPr>
                <w:rFonts w:ascii="Arial" w:hAnsi="Arial" w:cs="Arial"/>
                <w:sz w:val="24"/>
                <w:szCs w:val="24"/>
              </w:rPr>
              <w:t xml:space="preserve">umber of days with </w:t>
            </w:r>
            <w:r>
              <w:rPr>
                <w:rFonts w:ascii="Arial" w:hAnsi="Arial" w:cs="Arial"/>
                <w:sz w:val="24"/>
                <w:szCs w:val="24"/>
              </w:rPr>
              <w:t xml:space="preserve">antibiotic </w:t>
            </w:r>
            <w:r w:rsidRPr="000C71BE">
              <w:rPr>
                <w:rFonts w:ascii="Arial" w:hAnsi="Arial" w:cs="Arial"/>
                <w:sz w:val="24"/>
                <w:szCs w:val="24"/>
              </w:rPr>
              <w:t>treatment</w:t>
            </w:r>
          </w:p>
          <w:p w14:paraId="16390588" w14:textId="77777777" w:rsidR="00037351" w:rsidRDefault="00037351" w:rsidP="00037351">
            <w:pPr>
              <w:pStyle w:val="Paragraphedeliste"/>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30-day mortality</w:t>
            </w:r>
          </w:p>
          <w:p w14:paraId="2495FC10" w14:textId="77777777" w:rsidR="00037351" w:rsidRPr="00E00D65" w:rsidRDefault="00037351" w:rsidP="00037351">
            <w:pPr>
              <w:pStyle w:val="Paragraphedeliste"/>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00D65">
              <w:rPr>
                <w:rFonts w:ascii="Arial" w:hAnsi="Arial" w:cs="Arial"/>
                <w:sz w:val="24"/>
                <w:szCs w:val="24"/>
              </w:rPr>
              <w:t>Hospital length of stay</w:t>
            </w:r>
          </w:p>
          <w:p w14:paraId="28F3BA7F" w14:textId="77777777" w:rsidR="00037351" w:rsidRDefault="00037351" w:rsidP="00037351">
            <w:pPr>
              <w:pStyle w:val="Paragraphedeliste"/>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30-day readmission</w:t>
            </w:r>
          </w:p>
          <w:p w14:paraId="1D8A7D68" w14:textId="294654F5" w:rsidR="000C71BE" w:rsidRPr="000C71BE" w:rsidRDefault="00037351" w:rsidP="00037351">
            <w:pPr>
              <w:pStyle w:val="Paragraphedeliste"/>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Antibiotic avoidance</w:t>
            </w:r>
          </w:p>
        </w:tc>
      </w:tr>
      <w:tr w:rsidR="00E23405" w:rsidRPr="004339C8" w14:paraId="67D48132" w14:textId="77777777" w:rsidTr="0079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pct"/>
            <w:tcBorders>
              <w:left w:val="single" w:sz="4" w:space="0" w:color="auto"/>
            </w:tcBorders>
          </w:tcPr>
          <w:p w14:paraId="5EA4ECB1" w14:textId="77777777" w:rsidR="00E23405" w:rsidRPr="004339C8" w:rsidRDefault="00E23405" w:rsidP="00992468">
            <w:pPr>
              <w:rPr>
                <w:rFonts w:ascii="Arial" w:hAnsi="Arial" w:cs="Arial"/>
                <w:b w:val="0"/>
                <w:bCs w:val="0"/>
                <w:sz w:val="24"/>
                <w:szCs w:val="24"/>
              </w:rPr>
            </w:pPr>
            <w:r w:rsidRPr="004339C8">
              <w:rPr>
                <w:rFonts w:ascii="Arial" w:hAnsi="Arial" w:cs="Arial"/>
                <w:b w:val="0"/>
                <w:bCs w:val="0"/>
                <w:sz w:val="24"/>
                <w:szCs w:val="24"/>
              </w:rPr>
              <w:t>Economic</w:t>
            </w:r>
          </w:p>
        </w:tc>
        <w:tc>
          <w:tcPr>
            <w:tcW w:w="1365" w:type="pct"/>
          </w:tcPr>
          <w:p w14:paraId="7819359D" w14:textId="77777777" w:rsidR="00E23405" w:rsidRPr="004339C8" w:rsidRDefault="00E23405" w:rsidP="0099246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339C8">
              <w:rPr>
                <w:rFonts w:ascii="Arial" w:hAnsi="Arial" w:cs="Arial"/>
                <w:sz w:val="24"/>
                <w:szCs w:val="24"/>
              </w:rPr>
              <w:t>Cost avoidance related to clinical management and/or medical outcomes impact</w:t>
            </w:r>
          </w:p>
        </w:tc>
        <w:tc>
          <w:tcPr>
            <w:tcW w:w="1731" w:type="pct"/>
            <w:tcBorders>
              <w:right w:val="single" w:sz="4" w:space="0" w:color="auto"/>
            </w:tcBorders>
          </w:tcPr>
          <w:p w14:paraId="00BB13D6" w14:textId="77777777" w:rsidR="00037351" w:rsidRDefault="00037351" w:rsidP="00037351">
            <w:pPr>
              <w:pStyle w:val="Paragraphedeliste"/>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Isolation rooms</w:t>
            </w:r>
          </w:p>
          <w:p w14:paraId="0FB32D10" w14:textId="23F4A6D3" w:rsidR="000C71BE" w:rsidRPr="004339C8" w:rsidRDefault="00037351" w:rsidP="00037351">
            <w:pPr>
              <w:pStyle w:val="Paragraphedeliste"/>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Lab costs</w:t>
            </w:r>
          </w:p>
        </w:tc>
      </w:tr>
      <w:tr w:rsidR="00E23405" w:rsidRPr="004339C8" w14:paraId="6408CD8A" w14:textId="77777777" w:rsidTr="007909B4">
        <w:tc>
          <w:tcPr>
            <w:cnfStyle w:val="001000000000" w:firstRow="0" w:lastRow="0" w:firstColumn="1" w:lastColumn="0" w:oddVBand="0" w:evenVBand="0" w:oddHBand="0" w:evenHBand="0" w:firstRowFirstColumn="0" w:firstRowLastColumn="0" w:lastRowFirstColumn="0" w:lastRowLastColumn="0"/>
            <w:tcW w:w="1904" w:type="pct"/>
            <w:tcBorders>
              <w:left w:val="single" w:sz="4" w:space="0" w:color="auto"/>
              <w:bottom w:val="single" w:sz="4" w:space="0" w:color="auto"/>
            </w:tcBorders>
          </w:tcPr>
          <w:p w14:paraId="5E6D58D1" w14:textId="77777777" w:rsidR="00E23405" w:rsidRPr="004339C8" w:rsidRDefault="00E23405" w:rsidP="00992468">
            <w:pPr>
              <w:rPr>
                <w:rFonts w:ascii="Arial" w:hAnsi="Arial" w:cs="Arial"/>
                <w:b w:val="0"/>
                <w:bCs w:val="0"/>
                <w:sz w:val="24"/>
                <w:szCs w:val="24"/>
              </w:rPr>
            </w:pPr>
            <w:r>
              <w:rPr>
                <w:rFonts w:ascii="Arial" w:hAnsi="Arial" w:cs="Arial"/>
                <w:b w:val="0"/>
                <w:bCs w:val="0"/>
                <w:sz w:val="24"/>
                <w:szCs w:val="24"/>
              </w:rPr>
              <w:t>Societal</w:t>
            </w:r>
          </w:p>
        </w:tc>
        <w:tc>
          <w:tcPr>
            <w:tcW w:w="1365" w:type="pct"/>
            <w:tcBorders>
              <w:bottom w:val="single" w:sz="4" w:space="0" w:color="auto"/>
            </w:tcBorders>
          </w:tcPr>
          <w:p w14:paraId="23F53B38" w14:textId="037572C4" w:rsidR="00E23405" w:rsidRPr="004339C8" w:rsidRDefault="000C71BE" w:rsidP="009924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Aggregate evaluations with public health impacts</w:t>
            </w:r>
          </w:p>
        </w:tc>
        <w:tc>
          <w:tcPr>
            <w:tcW w:w="1731" w:type="pct"/>
            <w:tcBorders>
              <w:bottom w:val="single" w:sz="4" w:space="0" w:color="auto"/>
              <w:right w:val="single" w:sz="4" w:space="0" w:color="auto"/>
            </w:tcBorders>
          </w:tcPr>
          <w:p w14:paraId="0C06D83B" w14:textId="77777777" w:rsidR="00E23405" w:rsidRDefault="00E23405" w:rsidP="00E23405">
            <w:pPr>
              <w:pStyle w:val="Paragraphedeliste"/>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339C8">
              <w:rPr>
                <w:rFonts w:ascii="Arial" w:hAnsi="Arial" w:cs="Arial"/>
                <w:sz w:val="24"/>
                <w:szCs w:val="24"/>
              </w:rPr>
              <w:t>Reduction in resistance (MDROs) for a given time period</w:t>
            </w:r>
          </w:p>
          <w:p w14:paraId="11ED9F66" w14:textId="00579771" w:rsidR="000C71BE" w:rsidRPr="004339C8" w:rsidRDefault="000C71BE" w:rsidP="00E23405">
            <w:pPr>
              <w:pStyle w:val="Paragraphedeliste"/>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Quality-adjusted life years</w:t>
            </w:r>
          </w:p>
        </w:tc>
      </w:tr>
    </w:tbl>
    <w:p w14:paraId="18710FB6" w14:textId="77777777" w:rsidR="00E23405" w:rsidRPr="00640354" w:rsidRDefault="00E23405" w:rsidP="005445DF">
      <w:pPr>
        <w:spacing w:after="0" w:line="240" w:lineRule="auto"/>
        <w:rPr>
          <w:rFonts w:ascii="Arial" w:hAnsi="Arial" w:cs="Arial"/>
          <w:sz w:val="24"/>
          <w:szCs w:val="24"/>
        </w:rPr>
      </w:pPr>
    </w:p>
    <w:p w14:paraId="38F621DF" w14:textId="77777777" w:rsidR="00414A5D" w:rsidRDefault="00414A5D"/>
    <w:p w14:paraId="6635AAF0" w14:textId="77777777" w:rsidR="00414A5D" w:rsidRDefault="00414A5D"/>
    <w:p w14:paraId="1589119B" w14:textId="3C3EB90B" w:rsidR="00C8266B" w:rsidRDefault="007909B4">
      <w:r>
        <w:fldChar w:fldCharType="begin"/>
      </w:r>
      <w:r>
        <w:instrText xml:space="preserve"> ADDIN EN.REFLIST </w:instrText>
      </w:r>
      <w:r>
        <w:fldChar w:fldCharType="end"/>
      </w:r>
    </w:p>
    <w:sectPr w:rsidR="00C8266B" w:rsidSect="00850AD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B675A" w14:textId="77777777" w:rsidR="005B476E" w:rsidRDefault="005B476E">
      <w:pPr>
        <w:spacing w:after="0" w:line="240" w:lineRule="auto"/>
      </w:pPr>
    </w:p>
  </w:endnote>
  <w:endnote w:type="continuationSeparator" w:id="0">
    <w:p w14:paraId="5689746D" w14:textId="77777777" w:rsidR="005B476E" w:rsidRDefault="005B4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roman"/>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8532F" w14:textId="77777777" w:rsidR="005B476E" w:rsidRDefault="005B476E">
      <w:pPr>
        <w:spacing w:after="0" w:line="240" w:lineRule="auto"/>
      </w:pPr>
    </w:p>
  </w:footnote>
  <w:footnote w:type="continuationSeparator" w:id="0">
    <w:p w14:paraId="0E66B6B9" w14:textId="77777777" w:rsidR="005B476E" w:rsidRDefault="005B47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62A"/>
    <w:multiLevelType w:val="hybridMultilevel"/>
    <w:tmpl w:val="434E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645D3"/>
    <w:multiLevelType w:val="multilevel"/>
    <w:tmpl w:val="F776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97856"/>
    <w:multiLevelType w:val="multilevel"/>
    <w:tmpl w:val="A43A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83709"/>
    <w:multiLevelType w:val="multilevel"/>
    <w:tmpl w:val="0618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A483C"/>
    <w:multiLevelType w:val="hybridMultilevel"/>
    <w:tmpl w:val="D64C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012AA"/>
    <w:multiLevelType w:val="hybridMultilevel"/>
    <w:tmpl w:val="72BE6CC6"/>
    <w:lvl w:ilvl="0" w:tplc="4F5E47E4">
      <w:start w:val="1"/>
      <w:numFmt w:val="bullet"/>
      <w:lvlText w:val="-"/>
      <w:lvlJc w:val="left"/>
      <w:pPr>
        <w:ind w:left="720" w:hanging="360"/>
      </w:pPr>
      <w:rPr>
        <w:rFonts w:ascii="Calibri" w:eastAsia="DengXi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1800359"/>
    <w:multiLevelType w:val="hybridMultilevel"/>
    <w:tmpl w:val="49DE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42DEF"/>
    <w:multiLevelType w:val="hybridMultilevel"/>
    <w:tmpl w:val="E014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A0923"/>
    <w:multiLevelType w:val="hybridMultilevel"/>
    <w:tmpl w:val="6354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9191C"/>
    <w:multiLevelType w:val="hybridMultilevel"/>
    <w:tmpl w:val="603C76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47712C"/>
    <w:multiLevelType w:val="multilevel"/>
    <w:tmpl w:val="F07E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644704"/>
    <w:multiLevelType w:val="hybridMultilevel"/>
    <w:tmpl w:val="6BCA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76A6C"/>
    <w:multiLevelType w:val="hybridMultilevel"/>
    <w:tmpl w:val="EF24B7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175D6D67"/>
    <w:multiLevelType w:val="hybridMultilevel"/>
    <w:tmpl w:val="AB32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54031"/>
    <w:multiLevelType w:val="hybridMultilevel"/>
    <w:tmpl w:val="90EAD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027039"/>
    <w:multiLevelType w:val="hybridMultilevel"/>
    <w:tmpl w:val="DCB6C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2E7307"/>
    <w:multiLevelType w:val="hybridMultilevel"/>
    <w:tmpl w:val="5978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04718"/>
    <w:multiLevelType w:val="hybridMultilevel"/>
    <w:tmpl w:val="ECE0F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0B28D7"/>
    <w:multiLevelType w:val="hybridMultilevel"/>
    <w:tmpl w:val="D2466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545BA4"/>
    <w:multiLevelType w:val="hybridMultilevel"/>
    <w:tmpl w:val="BB6A4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432C4"/>
    <w:multiLevelType w:val="multilevel"/>
    <w:tmpl w:val="74C4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332947"/>
    <w:multiLevelType w:val="hybridMultilevel"/>
    <w:tmpl w:val="7CC2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65F05"/>
    <w:multiLevelType w:val="multilevel"/>
    <w:tmpl w:val="26C6C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E50DF8"/>
    <w:multiLevelType w:val="hybridMultilevel"/>
    <w:tmpl w:val="18861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1B28BD"/>
    <w:multiLevelType w:val="hybridMultilevel"/>
    <w:tmpl w:val="5FA4A204"/>
    <w:lvl w:ilvl="0" w:tplc="025E0C2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6D51E79"/>
    <w:multiLevelType w:val="hybridMultilevel"/>
    <w:tmpl w:val="7634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D21395"/>
    <w:multiLevelType w:val="multilevel"/>
    <w:tmpl w:val="035E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383F65"/>
    <w:multiLevelType w:val="hybridMultilevel"/>
    <w:tmpl w:val="75360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AF7736"/>
    <w:multiLevelType w:val="hybridMultilevel"/>
    <w:tmpl w:val="344E00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FD050B"/>
    <w:multiLevelType w:val="hybridMultilevel"/>
    <w:tmpl w:val="70C6C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5040A0"/>
    <w:multiLevelType w:val="hybridMultilevel"/>
    <w:tmpl w:val="0CE88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9D6812"/>
    <w:multiLevelType w:val="hybridMultilevel"/>
    <w:tmpl w:val="3550C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136004"/>
    <w:multiLevelType w:val="hybridMultilevel"/>
    <w:tmpl w:val="8100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53AD7"/>
    <w:multiLevelType w:val="hybridMultilevel"/>
    <w:tmpl w:val="2E944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05C66"/>
    <w:multiLevelType w:val="hybridMultilevel"/>
    <w:tmpl w:val="94B44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3"/>
  </w:num>
  <w:num w:numId="3">
    <w:abstractNumId w:val="29"/>
  </w:num>
  <w:num w:numId="4">
    <w:abstractNumId w:val="20"/>
  </w:num>
  <w:num w:numId="5">
    <w:abstractNumId w:val="10"/>
  </w:num>
  <w:num w:numId="6">
    <w:abstractNumId w:val="26"/>
  </w:num>
  <w:num w:numId="7">
    <w:abstractNumId w:val="3"/>
  </w:num>
  <w:num w:numId="8">
    <w:abstractNumId w:val="2"/>
  </w:num>
  <w:num w:numId="9">
    <w:abstractNumId w:val="1"/>
  </w:num>
  <w:num w:numId="10">
    <w:abstractNumId w:val="22"/>
  </w:num>
  <w:num w:numId="11">
    <w:abstractNumId w:val="19"/>
  </w:num>
  <w:num w:numId="12">
    <w:abstractNumId w:val="33"/>
  </w:num>
  <w:num w:numId="13">
    <w:abstractNumId w:val="14"/>
  </w:num>
  <w:num w:numId="14">
    <w:abstractNumId w:val="30"/>
  </w:num>
  <w:num w:numId="15">
    <w:abstractNumId w:val="23"/>
  </w:num>
  <w:num w:numId="16">
    <w:abstractNumId w:val="25"/>
  </w:num>
  <w:num w:numId="17">
    <w:abstractNumId w:val="12"/>
  </w:num>
  <w:num w:numId="18">
    <w:abstractNumId w:val="31"/>
  </w:num>
  <w:num w:numId="19">
    <w:abstractNumId w:val="28"/>
  </w:num>
  <w:num w:numId="20">
    <w:abstractNumId w:val="9"/>
  </w:num>
  <w:num w:numId="21">
    <w:abstractNumId w:val="17"/>
  </w:num>
  <w:num w:numId="22">
    <w:abstractNumId w:val="0"/>
  </w:num>
  <w:num w:numId="23">
    <w:abstractNumId w:val="16"/>
  </w:num>
  <w:num w:numId="24">
    <w:abstractNumId w:val="6"/>
  </w:num>
  <w:num w:numId="25">
    <w:abstractNumId w:val="4"/>
  </w:num>
  <w:num w:numId="26">
    <w:abstractNumId w:val="15"/>
  </w:num>
  <w:num w:numId="27">
    <w:abstractNumId w:val="27"/>
  </w:num>
  <w:num w:numId="28">
    <w:abstractNumId w:val="11"/>
  </w:num>
  <w:num w:numId="29">
    <w:abstractNumId w:val="32"/>
  </w:num>
  <w:num w:numId="30">
    <w:abstractNumId w:val="7"/>
  </w:num>
  <w:num w:numId="31">
    <w:abstractNumId w:val="18"/>
  </w:num>
  <w:num w:numId="32">
    <w:abstractNumId w:val="34"/>
  </w:num>
  <w:num w:numId="33">
    <w:abstractNumId w:val="21"/>
  </w:num>
  <w:num w:numId="34">
    <w:abstractNumId w:val="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9fepxf7pss0fe02fmp0wtbrt9ev5daraxe&quot;&gt;Untitled2&lt;record-ids&gt;&lt;item&gt;24&lt;/item&gt;&lt;item&gt;29&lt;/item&gt;&lt;item&gt;30&lt;/item&gt;&lt;item&gt;32&lt;/item&gt;&lt;item&gt;34&lt;/item&gt;&lt;item&gt;36&lt;/item&gt;&lt;/record-ids&gt;&lt;/item&gt;&lt;/Libraries&gt;"/>
  </w:docVars>
  <w:rsids>
    <w:rsidRoot w:val="00801026"/>
    <w:rsid w:val="00037351"/>
    <w:rsid w:val="000807EC"/>
    <w:rsid w:val="000C71BE"/>
    <w:rsid w:val="000D756A"/>
    <w:rsid w:val="000F5D8E"/>
    <w:rsid w:val="00130F4F"/>
    <w:rsid w:val="001705CB"/>
    <w:rsid w:val="001D1F23"/>
    <w:rsid w:val="001D65BC"/>
    <w:rsid w:val="002D2C7F"/>
    <w:rsid w:val="00300EA3"/>
    <w:rsid w:val="00337440"/>
    <w:rsid w:val="00355EAB"/>
    <w:rsid w:val="0040671C"/>
    <w:rsid w:val="00414A5D"/>
    <w:rsid w:val="00461B3A"/>
    <w:rsid w:val="004A054E"/>
    <w:rsid w:val="004E1D3C"/>
    <w:rsid w:val="0051178A"/>
    <w:rsid w:val="00514CF9"/>
    <w:rsid w:val="005445DF"/>
    <w:rsid w:val="005826BE"/>
    <w:rsid w:val="005B476E"/>
    <w:rsid w:val="005D04FE"/>
    <w:rsid w:val="005F4128"/>
    <w:rsid w:val="00640354"/>
    <w:rsid w:val="00650F7E"/>
    <w:rsid w:val="006E15A0"/>
    <w:rsid w:val="006F7770"/>
    <w:rsid w:val="00730933"/>
    <w:rsid w:val="007909B4"/>
    <w:rsid w:val="007D6126"/>
    <w:rsid w:val="00801026"/>
    <w:rsid w:val="00830C19"/>
    <w:rsid w:val="00850AD2"/>
    <w:rsid w:val="008B47E3"/>
    <w:rsid w:val="008D6C03"/>
    <w:rsid w:val="008F1533"/>
    <w:rsid w:val="00907E80"/>
    <w:rsid w:val="00912745"/>
    <w:rsid w:val="009272DF"/>
    <w:rsid w:val="00965EB7"/>
    <w:rsid w:val="00981DED"/>
    <w:rsid w:val="009851E3"/>
    <w:rsid w:val="009C6A32"/>
    <w:rsid w:val="009D06B7"/>
    <w:rsid w:val="00A4184F"/>
    <w:rsid w:val="00A53F94"/>
    <w:rsid w:val="00A77C89"/>
    <w:rsid w:val="00AC501A"/>
    <w:rsid w:val="00B30CB9"/>
    <w:rsid w:val="00BC214E"/>
    <w:rsid w:val="00C127CD"/>
    <w:rsid w:val="00C8266B"/>
    <w:rsid w:val="00CE7234"/>
    <w:rsid w:val="00D614F0"/>
    <w:rsid w:val="00D71558"/>
    <w:rsid w:val="00D84897"/>
    <w:rsid w:val="00E23405"/>
    <w:rsid w:val="00E3183A"/>
    <w:rsid w:val="00EB1F81"/>
    <w:rsid w:val="00EB38A7"/>
    <w:rsid w:val="00F66E72"/>
    <w:rsid w:val="00FC756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DD95D"/>
  <w15:chartTrackingRefBased/>
  <w15:docId w15:val="{C1240FF0-FC8F-4CAF-899B-E926F073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897"/>
  </w:style>
  <w:style w:type="paragraph" w:styleId="Titre1">
    <w:name w:val="heading 1"/>
    <w:basedOn w:val="Normal"/>
    <w:next w:val="Normal"/>
    <w:link w:val="Titre1Car"/>
    <w:uiPriority w:val="9"/>
    <w:qFormat/>
    <w:rsid w:val="008010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1026"/>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801026"/>
    <w:pPr>
      <w:spacing w:after="0" w:line="240" w:lineRule="auto"/>
      <w:ind w:left="720"/>
    </w:pPr>
    <w:rPr>
      <w:rFonts w:ascii="Calibri" w:hAnsi="Calibri" w:cs="Calibri"/>
    </w:rPr>
  </w:style>
  <w:style w:type="character" w:styleId="Marquedecommentaire">
    <w:name w:val="annotation reference"/>
    <w:basedOn w:val="Policepardfaut"/>
    <w:uiPriority w:val="99"/>
    <w:semiHidden/>
    <w:unhideWhenUsed/>
    <w:rsid w:val="00801026"/>
    <w:rPr>
      <w:sz w:val="16"/>
      <w:szCs w:val="16"/>
    </w:rPr>
  </w:style>
  <w:style w:type="paragraph" w:styleId="Commentaire">
    <w:name w:val="annotation text"/>
    <w:basedOn w:val="Normal"/>
    <w:link w:val="CommentaireCar"/>
    <w:uiPriority w:val="99"/>
    <w:unhideWhenUsed/>
    <w:rsid w:val="00801026"/>
    <w:pPr>
      <w:spacing w:line="240" w:lineRule="auto"/>
    </w:pPr>
    <w:rPr>
      <w:sz w:val="20"/>
      <w:szCs w:val="20"/>
    </w:rPr>
  </w:style>
  <w:style w:type="character" w:customStyle="1" w:styleId="CommentaireCar">
    <w:name w:val="Commentaire Car"/>
    <w:basedOn w:val="Policepardfaut"/>
    <w:link w:val="Commentaire"/>
    <w:uiPriority w:val="99"/>
    <w:rsid w:val="00801026"/>
    <w:rPr>
      <w:sz w:val="20"/>
      <w:szCs w:val="20"/>
    </w:rPr>
  </w:style>
  <w:style w:type="paragraph" w:styleId="Objetducommentaire">
    <w:name w:val="annotation subject"/>
    <w:basedOn w:val="Commentaire"/>
    <w:next w:val="Commentaire"/>
    <w:link w:val="ObjetducommentaireCar"/>
    <w:uiPriority w:val="99"/>
    <w:semiHidden/>
    <w:unhideWhenUsed/>
    <w:rsid w:val="00801026"/>
    <w:rPr>
      <w:b/>
      <w:bCs/>
    </w:rPr>
  </w:style>
  <w:style w:type="character" w:customStyle="1" w:styleId="ObjetducommentaireCar">
    <w:name w:val="Objet du commentaire Car"/>
    <w:basedOn w:val="CommentaireCar"/>
    <w:link w:val="Objetducommentaire"/>
    <w:uiPriority w:val="99"/>
    <w:semiHidden/>
    <w:rsid w:val="00801026"/>
    <w:rPr>
      <w:b/>
      <w:bCs/>
      <w:sz w:val="20"/>
      <w:szCs w:val="20"/>
    </w:rPr>
  </w:style>
  <w:style w:type="paragraph" w:styleId="Textedebulles">
    <w:name w:val="Balloon Text"/>
    <w:basedOn w:val="Normal"/>
    <w:link w:val="TextedebullesCar"/>
    <w:uiPriority w:val="99"/>
    <w:semiHidden/>
    <w:unhideWhenUsed/>
    <w:rsid w:val="008010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1026"/>
    <w:rPr>
      <w:rFonts w:ascii="Segoe UI" w:hAnsi="Segoe UI" w:cs="Segoe UI"/>
      <w:sz w:val="18"/>
      <w:szCs w:val="18"/>
    </w:rPr>
  </w:style>
  <w:style w:type="character" w:styleId="Lienhypertexte">
    <w:name w:val="Hyperlink"/>
    <w:basedOn w:val="Policepardfaut"/>
    <w:uiPriority w:val="99"/>
    <w:unhideWhenUsed/>
    <w:rsid w:val="00801026"/>
    <w:rPr>
      <w:color w:val="0563C1" w:themeColor="hyperlink"/>
      <w:u w:val="single"/>
    </w:rPr>
  </w:style>
  <w:style w:type="character" w:customStyle="1" w:styleId="UnresolvedMention">
    <w:name w:val="Unresolved Mention"/>
    <w:basedOn w:val="Policepardfaut"/>
    <w:uiPriority w:val="99"/>
    <w:semiHidden/>
    <w:unhideWhenUsed/>
    <w:rsid w:val="00801026"/>
    <w:rPr>
      <w:color w:val="605E5C"/>
      <w:shd w:val="clear" w:color="auto" w:fill="E1DFDD"/>
    </w:rPr>
  </w:style>
  <w:style w:type="paragraph" w:styleId="NormalWeb">
    <w:name w:val="Normal (Web)"/>
    <w:basedOn w:val="Normal"/>
    <w:uiPriority w:val="99"/>
    <w:semiHidden/>
    <w:unhideWhenUsed/>
    <w:rsid w:val="00801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der">
    <w:name w:val="order"/>
    <w:basedOn w:val="Policepardfaut"/>
    <w:rsid w:val="00801026"/>
  </w:style>
  <w:style w:type="paragraph" w:customStyle="1" w:styleId="EndNoteBibliographyTitle">
    <w:name w:val="EndNote Bibliography Title"/>
    <w:basedOn w:val="Normal"/>
    <w:link w:val="EndNoteBibliographyTitleChar"/>
    <w:rsid w:val="00801026"/>
    <w:pPr>
      <w:spacing w:after="0"/>
      <w:jc w:val="center"/>
    </w:pPr>
    <w:rPr>
      <w:rFonts w:ascii="Calibri" w:hAnsi="Calibri" w:cs="Calibri"/>
      <w:noProof/>
    </w:rPr>
  </w:style>
  <w:style w:type="character" w:customStyle="1" w:styleId="EndNoteBibliographyTitleChar">
    <w:name w:val="EndNote Bibliography Title Char"/>
    <w:basedOn w:val="Policepardfaut"/>
    <w:link w:val="EndNoteBibliographyTitle"/>
    <w:rsid w:val="00801026"/>
    <w:rPr>
      <w:rFonts w:ascii="Calibri" w:hAnsi="Calibri" w:cs="Calibri"/>
      <w:noProof/>
    </w:rPr>
  </w:style>
  <w:style w:type="paragraph" w:customStyle="1" w:styleId="EndNoteBibliography">
    <w:name w:val="EndNote Bibliography"/>
    <w:basedOn w:val="Normal"/>
    <w:link w:val="EndNoteBibliographyChar"/>
    <w:rsid w:val="00801026"/>
    <w:pPr>
      <w:spacing w:line="240" w:lineRule="auto"/>
    </w:pPr>
    <w:rPr>
      <w:rFonts w:ascii="Calibri" w:hAnsi="Calibri" w:cs="Calibri"/>
      <w:noProof/>
    </w:rPr>
  </w:style>
  <w:style w:type="character" w:customStyle="1" w:styleId="EndNoteBibliographyChar">
    <w:name w:val="EndNote Bibliography Char"/>
    <w:basedOn w:val="Policepardfaut"/>
    <w:link w:val="EndNoteBibliography"/>
    <w:rsid w:val="00801026"/>
    <w:rPr>
      <w:rFonts w:ascii="Calibri" w:hAnsi="Calibri" w:cs="Calibri"/>
      <w:noProof/>
    </w:rPr>
  </w:style>
  <w:style w:type="table" w:styleId="Grilledutableau">
    <w:name w:val="Table Grid"/>
    <w:basedOn w:val="TableauNormal"/>
    <w:uiPriority w:val="39"/>
    <w:rsid w:val="0080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01026"/>
    <w:rPr>
      <w:color w:val="954F72" w:themeColor="followedHyperlink"/>
      <w:u w:val="single"/>
    </w:rPr>
  </w:style>
  <w:style w:type="table" w:styleId="TableauListe1Clair">
    <w:name w:val="List Table 1 Light"/>
    <w:basedOn w:val="TableauNormal"/>
    <w:uiPriority w:val="46"/>
    <w:rsid w:val="0080102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
    <w:name w:val="List Table 2"/>
    <w:basedOn w:val="TableauNormal"/>
    <w:uiPriority w:val="47"/>
    <w:rsid w:val="0080102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umrodeligne">
    <w:name w:val="line number"/>
    <w:basedOn w:val="Policepardfaut"/>
    <w:uiPriority w:val="99"/>
    <w:semiHidden/>
    <w:unhideWhenUsed/>
    <w:rsid w:val="00801026"/>
  </w:style>
  <w:style w:type="paragraph" w:styleId="En-tte">
    <w:name w:val="header"/>
    <w:basedOn w:val="Normal"/>
    <w:link w:val="En-tteCar"/>
    <w:uiPriority w:val="99"/>
    <w:unhideWhenUsed/>
    <w:rsid w:val="00801026"/>
    <w:pPr>
      <w:tabs>
        <w:tab w:val="center" w:pos="4680"/>
        <w:tab w:val="right" w:pos="9360"/>
      </w:tabs>
      <w:spacing w:after="0" w:line="240" w:lineRule="auto"/>
    </w:pPr>
  </w:style>
  <w:style w:type="character" w:customStyle="1" w:styleId="En-tteCar">
    <w:name w:val="En-tête Car"/>
    <w:basedOn w:val="Policepardfaut"/>
    <w:link w:val="En-tte"/>
    <w:uiPriority w:val="99"/>
    <w:rsid w:val="00801026"/>
  </w:style>
  <w:style w:type="paragraph" w:styleId="Pieddepage">
    <w:name w:val="footer"/>
    <w:basedOn w:val="Normal"/>
    <w:link w:val="PieddepageCar"/>
    <w:uiPriority w:val="99"/>
    <w:unhideWhenUsed/>
    <w:rsid w:val="0080102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01026"/>
  </w:style>
  <w:style w:type="paragraph" w:styleId="Rvision">
    <w:name w:val="Revision"/>
    <w:hidden/>
    <w:uiPriority w:val="99"/>
    <w:semiHidden/>
    <w:rsid w:val="008B47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9475">
      <w:bodyDiv w:val="1"/>
      <w:marLeft w:val="0"/>
      <w:marRight w:val="0"/>
      <w:marTop w:val="0"/>
      <w:marBottom w:val="0"/>
      <w:divBdr>
        <w:top w:val="none" w:sz="0" w:space="0" w:color="auto"/>
        <w:left w:val="none" w:sz="0" w:space="0" w:color="auto"/>
        <w:bottom w:val="none" w:sz="0" w:space="0" w:color="auto"/>
        <w:right w:val="none" w:sz="0" w:space="0" w:color="auto"/>
      </w:divBdr>
    </w:div>
    <w:div w:id="519244345">
      <w:bodyDiv w:val="1"/>
      <w:marLeft w:val="0"/>
      <w:marRight w:val="0"/>
      <w:marTop w:val="0"/>
      <w:marBottom w:val="0"/>
      <w:divBdr>
        <w:top w:val="none" w:sz="0" w:space="0" w:color="auto"/>
        <w:left w:val="none" w:sz="0" w:space="0" w:color="auto"/>
        <w:bottom w:val="none" w:sz="0" w:space="0" w:color="auto"/>
        <w:right w:val="none" w:sz="0" w:space="0" w:color="auto"/>
      </w:divBdr>
    </w:div>
    <w:div w:id="1437366837">
      <w:bodyDiv w:val="1"/>
      <w:marLeft w:val="0"/>
      <w:marRight w:val="0"/>
      <w:marTop w:val="0"/>
      <w:marBottom w:val="0"/>
      <w:divBdr>
        <w:top w:val="none" w:sz="0" w:space="0" w:color="auto"/>
        <w:left w:val="none" w:sz="0" w:space="0" w:color="auto"/>
        <w:bottom w:val="none" w:sz="0" w:space="0" w:color="auto"/>
        <w:right w:val="none" w:sz="0" w:space="0" w:color="auto"/>
      </w:divBdr>
    </w:div>
    <w:div w:id="1572426370">
      <w:bodyDiv w:val="1"/>
      <w:marLeft w:val="0"/>
      <w:marRight w:val="0"/>
      <w:marTop w:val="0"/>
      <w:marBottom w:val="0"/>
      <w:divBdr>
        <w:top w:val="none" w:sz="0" w:space="0" w:color="auto"/>
        <w:left w:val="none" w:sz="0" w:space="0" w:color="auto"/>
        <w:bottom w:val="none" w:sz="0" w:space="0" w:color="auto"/>
        <w:right w:val="none" w:sz="0" w:space="0" w:color="auto"/>
      </w:divBdr>
    </w:div>
    <w:div w:id="211478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7680F77A98D64D82962EA19ABAED81" ma:contentTypeVersion="13" ma:contentTypeDescription="Create a new document." ma:contentTypeScope="" ma:versionID="525f13f7e78e6a2d8d75bebfd3284db4">
  <xsd:schema xmlns:xsd="http://www.w3.org/2001/XMLSchema" xmlns:xs="http://www.w3.org/2001/XMLSchema" xmlns:p="http://schemas.microsoft.com/office/2006/metadata/properties" xmlns:ns3="ebefb79e-6df3-4373-ae0b-988b48fe71bb" xmlns:ns4="f437f421-b562-4aeb-aeea-2d070c13978d" targetNamespace="http://schemas.microsoft.com/office/2006/metadata/properties" ma:root="true" ma:fieldsID="6e7098068a6ce219332ee2c8c2bacc68" ns3:_="" ns4:_="">
    <xsd:import namespace="ebefb79e-6df3-4373-ae0b-988b48fe71bb"/>
    <xsd:import namespace="f437f421-b562-4aeb-aeea-2d070c139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fb79e-6df3-4373-ae0b-988b48fe7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37f421-b562-4aeb-aeea-2d070c1397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004F9-D406-4C1F-8EF7-2CA5233F1A61}">
  <ds:schemaRefs>
    <ds:schemaRef ds:uri="f437f421-b562-4aeb-aeea-2d070c13978d"/>
    <ds:schemaRef ds:uri="http://purl.org/dc/terms/"/>
    <ds:schemaRef ds:uri="http://www.w3.org/XML/1998/namespace"/>
    <ds:schemaRef ds:uri="http://schemas.microsoft.com/office/2006/documentManagement/types"/>
    <ds:schemaRef ds:uri="ebefb79e-6df3-4373-ae0b-988b48fe71bb"/>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4DB763E-EDA7-4C31-BD88-340057019DA3}">
  <ds:schemaRefs>
    <ds:schemaRef ds:uri="http://schemas.microsoft.com/sharepoint/v3/contenttype/forms"/>
  </ds:schemaRefs>
</ds:datastoreItem>
</file>

<file path=customXml/itemProps3.xml><?xml version="1.0" encoding="utf-8"?>
<ds:datastoreItem xmlns:ds="http://schemas.openxmlformats.org/officeDocument/2006/customXml" ds:itemID="{DF2AB89F-4BCE-4739-A419-95D7E521D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fb79e-6df3-4373-ae0b-988b48fe71bb"/>
    <ds:schemaRef ds:uri="f437f421-b562-4aeb-aeea-2d070c139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4394</Words>
  <Characters>24170</Characters>
  <Application>Microsoft Office Word</Application>
  <DocSecurity>4</DocSecurity>
  <Lines>201</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Timbrook, PharmD</dc:creator>
  <cp:keywords/>
  <dc:description/>
  <cp:lastModifiedBy>TONGIO Isabelle</cp:lastModifiedBy>
  <cp:revision>2</cp:revision>
  <dcterms:created xsi:type="dcterms:W3CDTF">2022-04-08T08:49:00Z</dcterms:created>
  <dcterms:modified xsi:type="dcterms:W3CDTF">2022-04-08T08:49:00Z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0x010100AD7680F77A98D64D82962EA19ABAED81</vt:lpwstr>
  </property>
</Properties>
</file>