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D035" w14:textId="77777777" w:rsidR="00F42E14" w:rsidRDefault="00F42E14" w:rsidP="00F42E14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Supplementary Materials</w:t>
      </w:r>
    </w:p>
    <w:p w14:paraId="649664D5" w14:textId="77777777" w:rsidR="00F42E14" w:rsidRDefault="00F42E14" w:rsidP="00F42E14">
      <w:pPr>
        <w:spacing w:line="480" w:lineRule="auto"/>
        <w:rPr>
          <w:b/>
        </w:rPr>
      </w:pPr>
      <w:r w:rsidRPr="009533F7">
        <w:rPr>
          <w:noProof/>
          <w:lang w:eastAsia="en-CA"/>
        </w:rPr>
        <w:drawing>
          <wp:inline distT="0" distB="0" distL="0" distR="0" wp14:anchorId="25D07D81" wp14:editId="4A6B9322">
            <wp:extent cx="5890260" cy="4572000"/>
            <wp:effectExtent l="0" t="0" r="15240" b="127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8A72893" w14:textId="77777777" w:rsidR="00F42E14" w:rsidRPr="009533F7" w:rsidRDefault="00F42E14" w:rsidP="00F42E14">
      <w:pPr>
        <w:rPr>
          <w:b/>
        </w:rPr>
      </w:pPr>
      <w:r>
        <w:rPr>
          <w:b/>
        </w:rPr>
        <w:t>Figu</w:t>
      </w:r>
      <w:r w:rsidRPr="009533F7">
        <w:rPr>
          <w:b/>
        </w:rPr>
        <w:t xml:space="preserve">re </w:t>
      </w:r>
      <w:r>
        <w:rPr>
          <w:b/>
        </w:rPr>
        <w:t>1</w:t>
      </w:r>
      <w:r w:rsidRPr="009533F7">
        <w:rPr>
          <w:b/>
        </w:rPr>
        <w:t>: Antimicrobials administered within 48 hours of admission on GIM</w:t>
      </w:r>
    </w:p>
    <w:p w14:paraId="3FCC9081" w14:textId="77777777" w:rsidR="00F42E14" w:rsidRDefault="00F42E14" w:rsidP="00F42E14">
      <w:pPr>
        <w:spacing w:line="480" w:lineRule="auto"/>
        <w:rPr>
          <w:b/>
        </w:rPr>
      </w:pPr>
    </w:p>
    <w:p w14:paraId="75C61EA4" w14:textId="77777777" w:rsidR="0041475E" w:rsidRDefault="0041475E"/>
    <w:sectPr w:rsidR="0041475E" w:rsidSect="006E7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14"/>
    <w:rsid w:val="00016B5E"/>
    <w:rsid w:val="000560E7"/>
    <w:rsid w:val="00056F6F"/>
    <w:rsid w:val="000601D9"/>
    <w:rsid w:val="00063FB7"/>
    <w:rsid w:val="00066245"/>
    <w:rsid w:val="0006712F"/>
    <w:rsid w:val="000A01DF"/>
    <w:rsid w:val="000A1EDF"/>
    <w:rsid w:val="000A2C11"/>
    <w:rsid w:val="000B7F86"/>
    <w:rsid w:val="000C5AF3"/>
    <w:rsid w:val="000D01B1"/>
    <w:rsid w:val="000E2326"/>
    <w:rsid w:val="000E5A48"/>
    <w:rsid w:val="0011053C"/>
    <w:rsid w:val="0011137D"/>
    <w:rsid w:val="00116F98"/>
    <w:rsid w:val="00117AB2"/>
    <w:rsid w:val="00131C5B"/>
    <w:rsid w:val="00132E4C"/>
    <w:rsid w:val="001410CB"/>
    <w:rsid w:val="0014245D"/>
    <w:rsid w:val="00154590"/>
    <w:rsid w:val="001548F7"/>
    <w:rsid w:val="00156A9C"/>
    <w:rsid w:val="0017737E"/>
    <w:rsid w:val="00195C8D"/>
    <w:rsid w:val="00195D37"/>
    <w:rsid w:val="001D5A1E"/>
    <w:rsid w:val="001F3B30"/>
    <w:rsid w:val="001F56EF"/>
    <w:rsid w:val="001F5FCD"/>
    <w:rsid w:val="00216449"/>
    <w:rsid w:val="00220CE2"/>
    <w:rsid w:val="0023413B"/>
    <w:rsid w:val="00235382"/>
    <w:rsid w:val="00251789"/>
    <w:rsid w:val="0025634F"/>
    <w:rsid w:val="00265D59"/>
    <w:rsid w:val="00267440"/>
    <w:rsid w:val="00273179"/>
    <w:rsid w:val="00274908"/>
    <w:rsid w:val="00293307"/>
    <w:rsid w:val="00294F0A"/>
    <w:rsid w:val="002A71C5"/>
    <w:rsid w:val="00335C6A"/>
    <w:rsid w:val="00337BB4"/>
    <w:rsid w:val="00381AFF"/>
    <w:rsid w:val="00391FEA"/>
    <w:rsid w:val="003970F4"/>
    <w:rsid w:val="003A0B31"/>
    <w:rsid w:val="003A53B2"/>
    <w:rsid w:val="003F3545"/>
    <w:rsid w:val="00401222"/>
    <w:rsid w:val="0041475E"/>
    <w:rsid w:val="00414B9E"/>
    <w:rsid w:val="00421225"/>
    <w:rsid w:val="00421464"/>
    <w:rsid w:val="00430F4C"/>
    <w:rsid w:val="00445EEA"/>
    <w:rsid w:val="00462BDF"/>
    <w:rsid w:val="004729FD"/>
    <w:rsid w:val="004A4ED8"/>
    <w:rsid w:val="004C1682"/>
    <w:rsid w:val="004F35FE"/>
    <w:rsid w:val="004F6D88"/>
    <w:rsid w:val="00502FE0"/>
    <w:rsid w:val="00513E8F"/>
    <w:rsid w:val="005155C9"/>
    <w:rsid w:val="005345A4"/>
    <w:rsid w:val="00566E79"/>
    <w:rsid w:val="00570F8D"/>
    <w:rsid w:val="00574EF1"/>
    <w:rsid w:val="00591419"/>
    <w:rsid w:val="00594010"/>
    <w:rsid w:val="00596304"/>
    <w:rsid w:val="005A0F39"/>
    <w:rsid w:val="005B3491"/>
    <w:rsid w:val="005C1143"/>
    <w:rsid w:val="005C729A"/>
    <w:rsid w:val="005E5E81"/>
    <w:rsid w:val="00603ED3"/>
    <w:rsid w:val="006119ED"/>
    <w:rsid w:val="0061216A"/>
    <w:rsid w:val="00616D4B"/>
    <w:rsid w:val="006313AB"/>
    <w:rsid w:val="0064179A"/>
    <w:rsid w:val="006463B0"/>
    <w:rsid w:val="0064738C"/>
    <w:rsid w:val="00673580"/>
    <w:rsid w:val="006748CF"/>
    <w:rsid w:val="006765F8"/>
    <w:rsid w:val="00691BCC"/>
    <w:rsid w:val="006A12B4"/>
    <w:rsid w:val="006B20DF"/>
    <w:rsid w:val="006B34D0"/>
    <w:rsid w:val="006B5B46"/>
    <w:rsid w:val="006B6E99"/>
    <w:rsid w:val="006B713C"/>
    <w:rsid w:val="006B7536"/>
    <w:rsid w:val="006C3506"/>
    <w:rsid w:val="006C52A5"/>
    <w:rsid w:val="006D5966"/>
    <w:rsid w:val="006D601A"/>
    <w:rsid w:val="006D6334"/>
    <w:rsid w:val="006E6C8F"/>
    <w:rsid w:val="006E7D45"/>
    <w:rsid w:val="006F0E9B"/>
    <w:rsid w:val="006F6446"/>
    <w:rsid w:val="006F74D0"/>
    <w:rsid w:val="00716E2F"/>
    <w:rsid w:val="00725B32"/>
    <w:rsid w:val="00751E15"/>
    <w:rsid w:val="00762552"/>
    <w:rsid w:val="007626EC"/>
    <w:rsid w:val="00763C20"/>
    <w:rsid w:val="007669A3"/>
    <w:rsid w:val="00783D3B"/>
    <w:rsid w:val="007B1724"/>
    <w:rsid w:val="007D52E9"/>
    <w:rsid w:val="007E3DE9"/>
    <w:rsid w:val="007E4202"/>
    <w:rsid w:val="007F0474"/>
    <w:rsid w:val="007F7DA8"/>
    <w:rsid w:val="00824A20"/>
    <w:rsid w:val="00827D2C"/>
    <w:rsid w:val="008346C8"/>
    <w:rsid w:val="008475B7"/>
    <w:rsid w:val="00852552"/>
    <w:rsid w:val="00855DEC"/>
    <w:rsid w:val="0086579B"/>
    <w:rsid w:val="008662E0"/>
    <w:rsid w:val="008724FB"/>
    <w:rsid w:val="00873213"/>
    <w:rsid w:val="008A6640"/>
    <w:rsid w:val="008C3984"/>
    <w:rsid w:val="008D36C9"/>
    <w:rsid w:val="008E41DD"/>
    <w:rsid w:val="008E4806"/>
    <w:rsid w:val="008F36D5"/>
    <w:rsid w:val="00902AE1"/>
    <w:rsid w:val="00912F74"/>
    <w:rsid w:val="00913B51"/>
    <w:rsid w:val="00923B5A"/>
    <w:rsid w:val="00931CC5"/>
    <w:rsid w:val="009406C8"/>
    <w:rsid w:val="00966B6D"/>
    <w:rsid w:val="009702E4"/>
    <w:rsid w:val="00996FD9"/>
    <w:rsid w:val="009A0F50"/>
    <w:rsid w:val="009B262D"/>
    <w:rsid w:val="009D5DC5"/>
    <w:rsid w:val="009E796A"/>
    <w:rsid w:val="009F1198"/>
    <w:rsid w:val="009F76E3"/>
    <w:rsid w:val="00A26F99"/>
    <w:rsid w:val="00A44F6B"/>
    <w:rsid w:val="00A6258B"/>
    <w:rsid w:val="00A707B9"/>
    <w:rsid w:val="00A77894"/>
    <w:rsid w:val="00A95E73"/>
    <w:rsid w:val="00AA5A15"/>
    <w:rsid w:val="00AC4D86"/>
    <w:rsid w:val="00AD2ACC"/>
    <w:rsid w:val="00AD4E47"/>
    <w:rsid w:val="00B060E6"/>
    <w:rsid w:val="00B07E68"/>
    <w:rsid w:val="00B22281"/>
    <w:rsid w:val="00B32BC2"/>
    <w:rsid w:val="00B42B3D"/>
    <w:rsid w:val="00B51D83"/>
    <w:rsid w:val="00B524E5"/>
    <w:rsid w:val="00B57C36"/>
    <w:rsid w:val="00BB10E4"/>
    <w:rsid w:val="00BB7204"/>
    <w:rsid w:val="00BC72D9"/>
    <w:rsid w:val="00BD21EC"/>
    <w:rsid w:val="00BF45D9"/>
    <w:rsid w:val="00BF7210"/>
    <w:rsid w:val="00BF7274"/>
    <w:rsid w:val="00C00794"/>
    <w:rsid w:val="00C0446E"/>
    <w:rsid w:val="00C13FC0"/>
    <w:rsid w:val="00C350EB"/>
    <w:rsid w:val="00C36116"/>
    <w:rsid w:val="00C36346"/>
    <w:rsid w:val="00C40623"/>
    <w:rsid w:val="00C4392B"/>
    <w:rsid w:val="00C518C6"/>
    <w:rsid w:val="00C72B04"/>
    <w:rsid w:val="00C80B83"/>
    <w:rsid w:val="00C83839"/>
    <w:rsid w:val="00C94406"/>
    <w:rsid w:val="00C94517"/>
    <w:rsid w:val="00CB2B27"/>
    <w:rsid w:val="00CB3E3A"/>
    <w:rsid w:val="00CC25D7"/>
    <w:rsid w:val="00CD0FE0"/>
    <w:rsid w:val="00CD3257"/>
    <w:rsid w:val="00CD6D7D"/>
    <w:rsid w:val="00CE6CD3"/>
    <w:rsid w:val="00CF3FEB"/>
    <w:rsid w:val="00D133B7"/>
    <w:rsid w:val="00D320BC"/>
    <w:rsid w:val="00D60D88"/>
    <w:rsid w:val="00D95BB1"/>
    <w:rsid w:val="00DA0DC5"/>
    <w:rsid w:val="00DA4123"/>
    <w:rsid w:val="00DA5786"/>
    <w:rsid w:val="00DB15D1"/>
    <w:rsid w:val="00DF163C"/>
    <w:rsid w:val="00DF5EA7"/>
    <w:rsid w:val="00E05337"/>
    <w:rsid w:val="00E11ED2"/>
    <w:rsid w:val="00E12E45"/>
    <w:rsid w:val="00E37461"/>
    <w:rsid w:val="00E573F6"/>
    <w:rsid w:val="00E64055"/>
    <w:rsid w:val="00E66B54"/>
    <w:rsid w:val="00E854BA"/>
    <w:rsid w:val="00E868F3"/>
    <w:rsid w:val="00E91BC8"/>
    <w:rsid w:val="00EA61CB"/>
    <w:rsid w:val="00EB1E23"/>
    <w:rsid w:val="00EC1CF5"/>
    <w:rsid w:val="00ED6A64"/>
    <w:rsid w:val="00ED7C53"/>
    <w:rsid w:val="00EF3F22"/>
    <w:rsid w:val="00F05170"/>
    <w:rsid w:val="00F17897"/>
    <w:rsid w:val="00F260D1"/>
    <w:rsid w:val="00F3030A"/>
    <w:rsid w:val="00F42E14"/>
    <w:rsid w:val="00F476D3"/>
    <w:rsid w:val="00F50B97"/>
    <w:rsid w:val="00F52BEE"/>
    <w:rsid w:val="00F5512A"/>
    <w:rsid w:val="00F712D4"/>
    <w:rsid w:val="00F80CB7"/>
    <w:rsid w:val="00F823C2"/>
    <w:rsid w:val="00F84E5C"/>
    <w:rsid w:val="00F85B52"/>
    <w:rsid w:val="00F94E02"/>
    <w:rsid w:val="00FA4608"/>
    <w:rsid w:val="00FC2554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D2855B"/>
  <w15:chartTrackingRefBased/>
  <w15:docId w15:val="{509D68D5-9E5C-B845-875E-A92CDFE8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2E14"/>
    <w:rPr>
      <w:rFonts w:ascii="Times New Roman" w:eastAsia="Times New Roman" w:hAnsi="Times New Roman" w:cs="Times New Roman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Low-Risk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FF571B2-6B18-894C-BB10-52ED1291597C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07D1-514D-8165-637AF6B701A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F7B4B06-030F-C540-8458-C742DE57C941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07D1-514D-8165-637AF6B701A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8C2EBB9-DB9C-144C-9108-CEBAE126B1D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07D1-514D-8165-637AF6B701A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8D2BEB1-9427-574F-AFB6-5476B433B12A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07D1-514D-8165-637AF6B701A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555452B-8B1A-7F43-980A-B80EF28FB670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07D1-514D-8165-637AF6B701A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9FFFBB8-9B98-6246-9988-AB86BC8E6D5B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07D1-514D-8165-637AF6B701A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F1A8B14A-4315-9044-A9C6-97CAC04ED0C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07D1-514D-8165-637AF6B701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Other</c:v>
                </c:pt>
                <c:pt idx="1">
                  <c:v>Piperacillin/tazobactam 
+ Vancomycin</c:v>
                </c:pt>
                <c:pt idx="2">
                  <c:v>Piperacillin/tazobactam 
(monotherapy)</c:v>
                </c:pt>
                <c:pt idx="3">
                  <c:v>Meropenem 
(No Allergy)</c:v>
                </c:pt>
                <c:pt idx="4">
                  <c:v>Meropenem
(With Allergy)</c:v>
                </c:pt>
                <c:pt idx="5">
                  <c:v>Cefazolin 
+ Aminoglycoside</c:v>
                </c:pt>
                <c:pt idx="6">
                  <c:v>Piperacilln/tazobactam 
+ Aminoglycoside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Sheet1!$F$2:$F$8</c15:f>
                <c15:dlblRangeCache>
                  <c:ptCount val="7"/>
                  <c:pt idx="0">
                    <c:v>3/34 (9%)</c:v>
                  </c:pt>
                  <c:pt idx="1">
                    <c:v>2/34 (6%)</c:v>
                  </c:pt>
                  <c:pt idx="2">
                    <c:v>6/34 (18%)</c:v>
                  </c:pt>
                  <c:pt idx="3">
                    <c:v>2/34 (6%)</c:v>
                  </c:pt>
                  <c:pt idx="4">
                    <c:v>4/34 (12%)</c:v>
                  </c:pt>
                  <c:pt idx="5">
                    <c:v>8/34 (24%)</c:v>
                  </c:pt>
                  <c:pt idx="6">
                    <c:v>9/34 (26%)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07D1-514D-8165-637AF6B701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High-Risk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887AB43-87B1-1648-9255-B22364C4574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07D1-514D-8165-637AF6B701A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4B8F46D-0327-DD48-9868-AB446BECED58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07D1-514D-8165-637AF6B701A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D942A93-C330-1344-AB53-DEFD63BD8074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07D1-514D-8165-637AF6B701A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4969D485-8B62-5040-9943-A17365630D7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07D1-514D-8165-637AF6B701A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74555BB-E34A-4549-8696-31823C19A2D2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07D1-514D-8165-637AF6B701A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B492C82-D2CA-234B-86D0-B7EA77654413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07D1-514D-8165-637AF6B701A8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6E8EF74-CFD6-B446-A184-778A44BD421D}" type="CELLRANGE">
                      <a:rPr lang="en-US"/>
                      <a:pPr/>
                      <a:t>[CELLRANGE]</a:t>
                    </a:fld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07D1-514D-8165-637AF6B701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Other</c:v>
                </c:pt>
                <c:pt idx="1">
                  <c:v>Piperacillin/tazobactam 
+ Vancomycin</c:v>
                </c:pt>
                <c:pt idx="2">
                  <c:v>Piperacillin/tazobactam 
(monotherapy)</c:v>
                </c:pt>
                <c:pt idx="3">
                  <c:v>Meropenem 
(No Allergy)</c:v>
                </c:pt>
                <c:pt idx="4">
                  <c:v>Meropenem
(With Allergy)</c:v>
                </c:pt>
                <c:pt idx="5">
                  <c:v>Cefazolin 
+ Aminoglycoside</c:v>
                </c:pt>
                <c:pt idx="6">
                  <c:v>Piperacilln/tazobactam 
+ Aminoglycoside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8</c:v>
                </c:pt>
                <c:pt idx="3">
                  <c:v>1</c:v>
                </c:pt>
                <c:pt idx="4">
                  <c:v>10</c:v>
                </c:pt>
                <c:pt idx="5">
                  <c:v>0</c:v>
                </c:pt>
                <c:pt idx="6">
                  <c:v>37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Sheet1!$G$2:$G$8</c15:f>
                <c15:dlblRangeCache>
                  <c:ptCount val="7"/>
                  <c:pt idx="0">
                    <c:v>5/66 (8%)</c:v>
                  </c:pt>
                  <c:pt idx="1">
                    <c:v>5/66 (8%)</c:v>
                  </c:pt>
                  <c:pt idx="2">
                    <c:v>8/66 (12%)</c:v>
                  </c:pt>
                  <c:pt idx="3">
                    <c:v>1/66 (2%)</c:v>
                  </c:pt>
                  <c:pt idx="4">
                    <c:v>10/66 (15%)</c:v>
                  </c:pt>
                  <c:pt idx="5">
                    <c:v>0/66 (0%)</c:v>
                  </c:pt>
                  <c:pt idx="6">
                    <c:v>37/66 (56%)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F-07D1-514D-8165-637AF6B701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92133120"/>
        <c:axId val="192022208"/>
      </c:barChart>
      <c:catAx>
        <c:axId val="1921331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2022208"/>
        <c:crosses val="autoZero"/>
        <c:auto val="1"/>
        <c:lblAlgn val="ctr"/>
        <c:lblOffset val="100"/>
        <c:noMultiLvlLbl val="0"/>
      </c:catAx>
      <c:valAx>
        <c:axId val="192022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 of Patients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213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So</dc:creator>
  <cp:keywords/>
  <dc:description/>
  <cp:lastModifiedBy>Miranda So</cp:lastModifiedBy>
  <cp:revision>1</cp:revision>
  <dcterms:created xsi:type="dcterms:W3CDTF">2022-09-12T04:06:00Z</dcterms:created>
  <dcterms:modified xsi:type="dcterms:W3CDTF">2022-09-12T04:07:00Z</dcterms:modified>
</cp:coreProperties>
</file>