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B7" w:rsidRPr="00E223DB" w:rsidRDefault="00E576B7" w:rsidP="00E576B7">
      <w:pPr>
        <w:spacing w:after="40" w:line="240" w:lineRule="auto"/>
        <w:rPr>
          <w:rFonts w:cs="Helvetica"/>
          <w:sz w:val="24"/>
          <w:szCs w:val="24"/>
        </w:rPr>
      </w:pPr>
      <w:r w:rsidRPr="00F309C3">
        <w:rPr>
          <w:rFonts w:cs="Helvetica"/>
          <w:sz w:val="24"/>
          <w:szCs w:val="24"/>
        </w:rPr>
        <w:t xml:space="preserve">Supplementary Materials: Table </w:t>
      </w:r>
      <w:r w:rsidRPr="00E223DB">
        <w:rPr>
          <w:rFonts w:cs="Helvetica"/>
          <w:sz w:val="24"/>
          <w:szCs w:val="24"/>
        </w:rPr>
        <w:t xml:space="preserve">S1. Facility-specific distribution of antibiotic (fluoroquinolone and broad-spectrum) days of therapy and </w:t>
      </w:r>
      <w:r w:rsidRPr="00E223DB">
        <w:rPr>
          <w:rFonts w:cs="Helvetica"/>
          <w:i/>
          <w:iCs/>
          <w:sz w:val="24"/>
          <w:szCs w:val="24"/>
        </w:rPr>
        <w:t>C. difficile</w:t>
      </w:r>
      <w:r w:rsidRPr="00E223DB">
        <w:rPr>
          <w:rFonts w:cs="Helvetica"/>
          <w:sz w:val="24"/>
          <w:szCs w:val="24"/>
        </w:rPr>
        <w:t xml:space="preserve"> infections (hospital-onset and post-discharge) in four acute-care facilities in Atlanta, Georgia (September 2017 – September 2020).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131"/>
        <w:gridCol w:w="858"/>
        <w:gridCol w:w="2359"/>
        <w:gridCol w:w="2174"/>
        <w:gridCol w:w="236"/>
        <w:gridCol w:w="858"/>
        <w:gridCol w:w="2359"/>
        <w:gridCol w:w="2174"/>
        <w:gridCol w:w="251"/>
      </w:tblGrid>
      <w:tr w:rsidR="00E576B7" w:rsidRPr="00E223DB" w:rsidTr="00214A41">
        <w:trPr>
          <w:trHeight w:val="429"/>
        </w:trPr>
        <w:tc>
          <w:tcPr>
            <w:tcW w:w="1087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72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 w:themeColor="text1"/>
                <w:sz w:val="20"/>
                <w:szCs w:val="24"/>
              </w:rPr>
              <w:t>Pre-Intervention period (n=23 months)</w:t>
            </w:r>
          </w:p>
        </w:tc>
        <w:tc>
          <w:tcPr>
            <w:tcW w:w="82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1872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 w:themeColor="text1"/>
                <w:sz w:val="20"/>
                <w:szCs w:val="24"/>
              </w:rPr>
              <w:t>Post-Intervention period (n=13 months)</w:t>
            </w:r>
          </w:p>
        </w:tc>
        <w:tc>
          <w:tcPr>
            <w:tcW w:w="87" w:type="pct"/>
            <w:tcBorders>
              <w:top w:val="single" w:sz="18" w:space="0" w:color="auto"/>
            </w:tcBorders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111"/>
        </w:trPr>
        <w:tc>
          <w:tcPr>
            <w:tcW w:w="1087" w:type="pct"/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Total Count</w:t>
            </w:r>
          </w:p>
        </w:tc>
        <w:tc>
          <w:tcPr>
            <w:tcW w:w="819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Median Monthly Count (IQR)</w:t>
            </w: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755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 xml:space="preserve">Median Monthly </w:t>
            </w:r>
            <w:proofErr w:type="spellStart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Rate</w:t>
            </w: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  <w:vertAlign w:val="superscript"/>
              </w:rPr>
              <w:t>b</w:t>
            </w:r>
            <w:proofErr w:type="spellEnd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 xml:space="preserve"> (95% </w:t>
            </w:r>
            <w:proofErr w:type="spellStart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CI</w:t>
            </w:r>
            <w:r w:rsidRPr="00E223DB">
              <w:rPr>
                <w:rFonts w:eastAsia="Times New Roman" w:cs="Helvetica"/>
                <w:bCs/>
                <w:color w:val="000000"/>
                <w:sz w:val="20"/>
                <w:szCs w:val="24"/>
                <w:vertAlign w:val="superscript"/>
              </w:rPr>
              <w:t>c</w:t>
            </w:r>
            <w:proofErr w:type="spellEnd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Total Count</w:t>
            </w:r>
          </w:p>
        </w:tc>
        <w:tc>
          <w:tcPr>
            <w:tcW w:w="819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Median Monthly Count (IQR)</w:t>
            </w: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755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 xml:space="preserve">Median Monthly </w:t>
            </w:r>
            <w:proofErr w:type="spellStart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Rate</w:t>
            </w: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  <w:vertAlign w:val="superscript"/>
              </w:rPr>
              <w:t>b</w:t>
            </w:r>
            <w:proofErr w:type="spellEnd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 xml:space="preserve"> (95% </w:t>
            </w:r>
            <w:proofErr w:type="spellStart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CI</w:t>
            </w:r>
            <w:r w:rsidRPr="00E223DB">
              <w:rPr>
                <w:rFonts w:eastAsia="Times New Roman" w:cs="Helvetica"/>
                <w:bCs/>
                <w:color w:val="000000"/>
                <w:sz w:val="20"/>
                <w:szCs w:val="24"/>
                <w:vertAlign w:val="superscript"/>
              </w:rPr>
              <w:t>c</w:t>
            </w:r>
            <w:proofErr w:type="spellEnd"/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Facility A: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Fluoroquinolone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8,013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377 (265.0 - 409.0)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35.6 (29.8 – 38.3)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2,725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188.5 (150.5 - 234.0)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21.4 (17.6 - 26.4)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BS-HO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46,638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2,006 (1952.5 - 2144.5)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206.0 (196.1 - 209.0)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28,282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2,100 (1979.8 - 2160.8)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226.7 (218.7 - 236.1)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Hospital-Onset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187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8 (6.0 - 9.5)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0.8 (0.6 – 0.9)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8.5 (5.8 - 9.0)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0.9 (0.7 - 1.0)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12-week Post-discharge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194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8 (6.0 - 10.0)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0.7 (0.6 - 0.8)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63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4.5 (3.0 - 5.8)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0.5 (0.4 - 0.6)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Facility B: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Fluoroquinolone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6,164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275 (252.0 - 297.0)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31.0 (27.6 - 33.0)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1,959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135 (114.3 - 144.8)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13.5 (11.8 – 16.0)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BS-HO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28,715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1,240 (1151.0 - 1369.0)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137.5 (133.3 - 140.6)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21,276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1,566 (1417.0 - 1637.3)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153.5 (148.6 – 163.0)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Hospital-Onset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165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7 (5.5 - 8.0)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0.8 (0.7 - 0.9)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77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5 (4.3 - 7.0)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0.5 (0.4 - 0.6)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12-week Post-discharge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11 (8.0 – 13.5)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0.7 (0.6 - 0.9)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8.5 (6.0 - 9.8)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0.6 (0.5 - 0.7)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Facility C: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Fluoroquinolone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5,185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210 (202.0 - 250.5)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31.9 (27.8 – 35.3)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1,827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125 (99.8 - 176.8)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15.9 (12.1 - 20.9)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BS-HO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25,932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1,102 (895.5 - 1325.5)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166.7 (152.1- 170.1)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21,264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1,520 (1422.0 - 1623.5)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195.2 (185.3 - 205.2)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Hospital-Onset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55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 (1.5 - 3.0)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0.4 (0.3- 0.5)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53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4 (3.0 - 4.8)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0.5 (0.3 - 0.7)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12-week Post-discharge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211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9 (7.0 - 12.0)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0.7 (0.6- 0.8)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9 (7.0 - 9.8)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0.7 (0.5 - 0.8)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  <w:t>Facility D: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Fluoroquinolone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1,791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75 (55.0 - 92.0)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29.6 (24.1 – 35.2)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527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34.5 (28.3 - 45.8)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14.0 (11.5 – 20.1)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BS-HO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DOT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10,401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448 (406.0 - 493.5)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178.8 (167.8 – 189.1)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6,737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484 (453.5 - 517.3)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195.0 (185.7 – 206.3)</w:t>
            </w:r>
          </w:p>
        </w:tc>
        <w:tc>
          <w:tcPr>
            <w:tcW w:w="87" w:type="pct"/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    Hospital-Onset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32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1 (1.0 - 2.0)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0.4 (0.4 - 0.7)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 (0.0 - 1.0)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0.0 (0.0 - 0.4)</w:t>
            </w:r>
          </w:p>
        </w:tc>
        <w:tc>
          <w:tcPr>
            <w:tcW w:w="87" w:type="pct"/>
            <w:tcBorders>
              <w:bottom w:val="nil"/>
            </w:tcBorders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 xml:space="preserve">      12-week Post-discharge </w:t>
            </w:r>
            <w:proofErr w:type="spellStart"/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CDI</w:t>
            </w:r>
            <w:r w:rsidRPr="00E223DB">
              <w:rPr>
                <w:rFonts w:eastAsia="Times New Roman" w:cs="Helvetica"/>
                <w:color w:val="000000"/>
                <w:sz w:val="20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298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eastAsia="Times New Roman" w:cs="Helvetica"/>
                <w:color w:val="000000"/>
                <w:sz w:val="20"/>
                <w:szCs w:val="24"/>
              </w:rPr>
              <w:t>79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4 (2.0 – 5.0)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0.6 (0.4 - 0.8)</w:t>
            </w:r>
          </w:p>
        </w:tc>
        <w:tc>
          <w:tcPr>
            <w:tcW w:w="8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49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3 (1.0 - 6.0)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  <w:r w:rsidRPr="00E223DB">
              <w:rPr>
                <w:rFonts w:cs="Helvetica"/>
                <w:color w:val="000000"/>
                <w:sz w:val="20"/>
                <w:szCs w:val="24"/>
              </w:rPr>
              <w:t>0.6 (0.2 - 1.2)</w:t>
            </w:r>
          </w:p>
        </w:tc>
        <w:tc>
          <w:tcPr>
            <w:tcW w:w="87" w:type="pct"/>
            <w:tcBorders>
              <w:top w:val="nil"/>
              <w:bottom w:val="single" w:sz="18" w:space="0" w:color="auto"/>
            </w:tcBorders>
            <w:vAlign w:val="center"/>
          </w:tcPr>
          <w:p w:rsidR="00E576B7" w:rsidRPr="00E223DB" w:rsidRDefault="00E576B7" w:rsidP="00214A41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4"/>
              </w:rPr>
            </w:pPr>
          </w:p>
        </w:tc>
      </w:tr>
    </w:tbl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a</w:t>
      </w:r>
      <w:r w:rsidRPr="00E223DB">
        <w:rPr>
          <w:rFonts w:cs="Helvetica"/>
          <w:sz w:val="20"/>
          <w:szCs w:val="24"/>
        </w:rPr>
        <w:t>IQR</w:t>
      </w:r>
      <w:proofErr w:type="spellEnd"/>
      <w:r w:rsidRPr="00E223DB">
        <w:rPr>
          <w:rFonts w:cs="Helvetica"/>
          <w:sz w:val="20"/>
          <w:szCs w:val="24"/>
        </w:rPr>
        <w:t xml:space="preserve"> – Interquartile Range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b</w:t>
      </w:r>
      <w:r w:rsidRPr="00E223DB">
        <w:rPr>
          <w:rFonts w:cs="Helvetica"/>
          <w:sz w:val="20"/>
          <w:szCs w:val="24"/>
        </w:rPr>
        <w:t>Per</w:t>
      </w:r>
      <w:proofErr w:type="spellEnd"/>
      <w:r w:rsidRPr="00E223DB">
        <w:rPr>
          <w:rFonts w:cs="Helvetica"/>
          <w:sz w:val="20"/>
          <w:szCs w:val="24"/>
        </w:rPr>
        <w:t xml:space="preserve"> 1000 person-days (Fluoroquinolone DOT, BSHO DOT and Hospital-Onset CDI); Per 100 patient discharges (12-week post-discharge CDI)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  <w:vertAlign w:val="superscript"/>
        </w:rPr>
      </w:pPr>
      <w:proofErr w:type="spellStart"/>
      <w:r>
        <w:rPr>
          <w:rFonts w:cs="Helvetica"/>
          <w:sz w:val="20"/>
          <w:szCs w:val="24"/>
          <w:vertAlign w:val="superscript"/>
        </w:rPr>
        <w:t>c</w:t>
      </w:r>
      <w:r w:rsidRPr="00E223DB">
        <w:rPr>
          <w:rFonts w:cs="Helvetica"/>
          <w:sz w:val="20"/>
          <w:szCs w:val="24"/>
        </w:rPr>
        <w:t>Bootstrapped</w:t>
      </w:r>
      <w:proofErr w:type="spellEnd"/>
      <w:r w:rsidRPr="00E223DB">
        <w:rPr>
          <w:rFonts w:cs="Helvetica"/>
          <w:sz w:val="20"/>
          <w:szCs w:val="24"/>
        </w:rPr>
        <w:t xml:space="preserve"> 95% Confidence Intervals for median rates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e</w:t>
      </w:r>
      <w:r w:rsidRPr="00E223DB">
        <w:rPr>
          <w:rFonts w:cs="Helvetica"/>
          <w:sz w:val="20"/>
          <w:szCs w:val="24"/>
        </w:rPr>
        <w:t>DOT</w:t>
      </w:r>
      <w:proofErr w:type="spellEnd"/>
      <w:r w:rsidRPr="00E223DB">
        <w:rPr>
          <w:rFonts w:cs="Helvetica"/>
          <w:sz w:val="20"/>
          <w:szCs w:val="24"/>
        </w:rPr>
        <w:t xml:space="preserve"> – Days of Therapy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f</w:t>
      </w:r>
      <w:r w:rsidRPr="00E223DB">
        <w:rPr>
          <w:rFonts w:cs="Helvetica"/>
          <w:sz w:val="20"/>
          <w:szCs w:val="24"/>
        </w:rPr>
        <w:t>CDI-</w:t>
      </w:r>
      <w:r w:rsidRPr="00E223DB">
        <w:rPr>
          <w:rFonts w:cs="Helvetica"/>
          <w:i/>
          <w:sz w:val="20"/>
          <w:szCs w:val="24"/>
        </w:rPr>
        <w:t>Clostridiodes</w:t>
      </w:r>
      <w:proofErr w:type="spellEnd"/>
      <w:r w:rsidRPr="00E223DB">
        <w:rPr>
          <w:rFonts w:cs="Helvetica"/>
          <w:i/>
          <w:sz w:val="20"/>
          <w:szCs w:val="24"/>
        </w:rPr>
        <w:t xml:space="preserve"> difficile</w:t>
      </w:r>
      <w:r w:rsidRPr="00E223DB">
        <w:rPr>
          <w:rFonts w:cs="Helvetica"/>
          <w:sz w:val="20"/>
          <w:szCs w:val="24"/>
        </w:rPr>
        <w:t xml:space="preserve"> infections</w:t>
      </w:r>
    </w:p>
    <w:p w:rsidR="00E576B7" w:rsidRPr="00E223DB" w:rsidRDefault="00E576B7" w:rsidP="00E576B7">
      <w:pPr>
        <w:spacing w:after="120" w:line="240" w:lineRule="auto"/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120" w:line="240" w:lineRule="auto"/>
        <w:rPr>
          <w:rFonts w:cs="Helvetica"/>
          <w:sz w:val="24"/>
          <w:szCs w:val="24"/>
        </w:rPr>
      </w:pPr>
    </w:p>
    <w:p w:rsidR="00E576B7" w:rsidRPr="00F309C3" w:rsidRDefault="00E576B7" w:rsidP="00E576B7">
      <w:pPr>
        <w:spacing w:after="120" w:line="240" w:lineRule="auto"/>
        <w:rPr>
          <w:rFonts w:cs="Helvetica"/>
          <w:sz w:val="24"/>
          <w:szCs w:val="24"/>
        </w:rPr>
      </w:pPr>
    </w:p>
    <w:p w:rsidR="00E576B7" w:rsidRPr="00F309C3" w:rsidRDefault="00E576B7" w:rsidP="00E576B7">
      <w:pPr>
        <w:spacing w:after="120" w:line="240" w:lineRule="auto"/>
        <w:rPr>
          <w:rFonts w:cs="Helvetica"/>
          <w:sz w:val="24"/>
          <w:szCs w:val="24"/>
        </w:rPr>
      </w:pPr>
    </w:p>
    <w:p w:rsidR="00E576B7" w:rsidRDefault="00E576B7" w:rsidP="00E576B7">
      <w:pPr>
        <w:spacing w:after="40" w:line="240" w:lineRule="auto"/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40" w:line="240" w:lineRule="auto"/>
        <w:rPr>
          <w:rFonts w:cs="Helvetica"/>
          <w:sz w:val="24"/>
          <w:szCs w:val="24"/>
        </w:rPr>
      </w:pPr>
      <w:r w:rsidRPr="00F309C3">
        <w:rPr>
          <w:rFonts w:cs="Helvetica"/>
          <w:sz w:val="24"/>
          <w:szCs w:val="24"/>
        </w:rPr>
        <w:lastRenderedPageBreak/>
        <w:t>Supplementary Materials: Table S</w:t>
      </w:r>
      <w:r w:rsidRPr="00E223DB">
        <w:rPr>
          <w:rFonts w:cs="Helvetica"/>
          <w:sz w:val="24"/>
          <w:szCs w:val="24"/>
        </w:rPr>
        <w:t xml:space="preserve">2. Facility-specific changes in fluoroquinolone and broad-spectrum (BSHO) antibiotics use and </w:t>
      </w:r>
      <w:r w:rsidRPr="00E223DB">
        <w:rPr>
          <w:rFonts w:cs="Helvetica"/>
          <w:i/>
          <w:iCs/>
          <w:sz w:val="24"/>
          <w:szCs w:val="24"/>
        </w:rPr>
        <w:t>C. difficile</w:t>
      </w:r>
      <w:r w:rsidRPr="00E223DB">
        <w:rPr>
          <w:rFonts w:cs="Helvetica"/>
          <w:sz w:val="24"/>
          <w:szCs w:val="24"/>
        </w:rPr>
        <w:t xml:space="preserve"> Infections (hospital-onset and 12-week post-discharge) in four acute-care facilities in Atlanta, Georgia (September 2017 – September 2020).</w:t>
      </w:r>
    </w:p>
    <w:tbl>
      <w:tblPr>
        <w:tblStyle w:val="TableGrid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1999"/>
        <w:gridCol w:w="855"/>
        <w:gridCol w:w="225"/>
        <w:gridCol w:w="1999"/>
        <w:gridCol w:w="855"/>
        <w:gridCol w:w="225"/>
        <w:gridCol w:w="1999"/>
        <w:gridCol w:w="855"/>
        <w:gridCol w:w="225"/>
        <w:gridCol w:w="1999"/>
        <w:gridCol w:w="852"/>
      </w:tblGrid>
      <w:tr w:rsidR="00E576B7" w:rsidRPr="00E223DB" w:rsidTr="00214A41">
        <w:trPr>
          <w:trHeight w:val="37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</w:p>
        </w:tc>
        <w:tc>
          <w:tcPr>
            <w:tcW w:w="991" w:type="pct"/>
            <w:gridSpan w:val="2"/>
            <w:tcBorders>
              <w:bottom w:val="nil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Fluoroquinolone Use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991" w:type="pct"/>
            <w:gridSpan w:val="2"/>
            <w:tcBorders>
              <w:bottom w:val="nil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BS-HO antibiotics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991" w:type="pct"/>
            <w:gridSpan w:val="2"/>
            <w:tcBorders>
              <w:bottom w:val="nil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Hospital-onset CDI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991" w:type="pct"/>
            <w:gridSpan w:val="2"/>
            <w:tcBorders>
              <w:bottom w:val="nil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12-week post-discharge CDI</w:t>
            </w:r>
          </w:p>
        </w:tc>
      </w:tr>
      <w:tr w:rsidR="00E576B7" w:rsidRPr="00E223DB" w:rsidTr="00214A41">
        <w:trPr>
          <w:trHeight w:val="144"/>
        </w:trPr>
        <w:tc>
          <w:tcPr>
            <w:tcW w:w="803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Rate Ratio (95% CI)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P value</w:t>
            </w:r>
          </w:p>
        </w:tc>
        <w:tc>
          <w:tcPr>
            <w:tcW w:w="78" w:type="pct"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Rate Ratio (95% CI)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P value</w:t>
            </w:r>
          </w:p>
        </w:tc>
        <w:tc>
          <w:tcPr>
            <w:tcW w:w="78" w:type="pct"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Rate Ratio (95% CI)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P value</w:t>
            </w:r>
          </w:p>
        </w:tc>
        <w:tc>
          <w:tcPr>
            <w:tcW w:w="78" w:type="pct"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Rate Ratio (95% CI)</w:t>
            </w: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0"/>
                <w:szCs w:val="24"/>
              </w:rPr>
            </w:pPr>
            <w:r w:rsidRPr="00E223DB">
              <w:rPr>
                <w:rFonts w:cs="Helvetica"/>
                <w:b/>
                <w:sz w:val="20"/>
                <w:szCs w:val="24"/>
              </w:rPr>
              <w:t>P value</w:t>
            </w:r>
          </w:p>
        </w:tc>
      </w:tr>
      <w:tr w:rsidR="00E576B7" w:rsidRPr="00E223DB" w:rsidTr="00214A41">
        <w:trPr>
          <w:trHeight w:val="432"/>
        </w:trPr>
        <w:tc>
          <w:tcPr>
            <w:tcW w:w="803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bCs/>
                <w:sz w:val="20"/>
                <w:szCs w:val="24"/>
              </w:rPr>
            </w:pPr>
            <w:r w:rsidRPr="00E223DB">
              <w:rPr>
                <w:rFonts w:cs="Helvetica"/>
                <w:b/>
                <w:bCs/>
                <w:sz w:val="20"/>
                <w:szCs w:val="24"/>
              </w:rPr>
              <w:t>Facility A</w:t>
            </w:r>
            <w:r w:rsidRPr="00E223DB">
              <w:rPr>
                <w:rFonts w:cs="Helvetica"/>
                <w:b/>
                <w:bCs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bCs/>
                <w:sz w:val="20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144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Baseline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0.980 (0.973 - 0.987)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&lt;0.001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1.007 (1.001 - 1.012)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0.013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1.018 (0.996 - 1.041)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0.105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0.992 (0.971 - 1.014)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0.480</w:t>
            </w:r>
          </w:p>
        </w:tc>
      </w:tr>
      <w:tr w:rsidR="00E576B7" w:rsidRPr="00E223DB" w:rsidTr="00214A41">
        <w:trPr>
          <w:trHeight w:val="144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Level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0.962 (0.766 - 1.207)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0.780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1.034 (0.952 - 1.122)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0.429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1.034 (0.642 - 1.669)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0.889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0.874 (0.485 - 1.574)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0.653</w:t>
            </w:r>
          </w:p>
        </w:tc>
      </w:tr>
      <w:tr w:rsidR="00E576B7" w:rsidRPr="00E223DB" w:rsidTr="00214A41">
        <w:trPr>
          <w:trHeight w:val="144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Trend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0.990 (0.966 - 1.015)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0.736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0.993 (0.986 - 1.000)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0.038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0.955 (0.903 - 1.011)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0.114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0.990 (0.922 - 1.063)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0.777</w:t>
            </w:r>
          </w:p>
        </w:tc>
      </w:tr>
      <w:tr w:rsidR="00E576B7" w:rsidRPr="00E223DB" w:rsidTr="00214A41">
        <w:trPr>
          <w:trHeight w:val="144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Post-intervention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0.970 (0.950 - 0.991)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0.006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0.999 (0.990 - 1.009)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0.859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0.973 (0.924 - 1.025)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0.301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0.982 (0.918 - 1.051)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0.599</w:t>
            </w:r>
          </w:p>
        </w:tc>
      </w:tr>
      <w:tr w:rsidR="00E576B7" w:rsidRPr="00E223DB" w:rsidTr="00214A41">
        <w:trPr>
          <w:trHeight w:val="432"/>
        </w:trPr>
        <w:tc>
          <w:tcPr>
            <w:tcW w:w="803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bCs/>
                <w:sz w:val="20"/>
                <w:szCs w:val="24"/>
              </w:rPr>
            </w:pPr>
            <w:r w:rsidRPr="00E223DB">
              <w:rPr>
                <w:rFonts w:cs="Helvetica"/>
                <w:b/>
                <w:bCs/>
                <w:sz w:val="20"/>
                <w:szCs w:val="24"/>
              </w:rPr>
              <w:t>Facility B</w:t>
            </w: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Baseline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0.985 (0.975 - 0.996)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0.009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1.003 (0.996 - 1.009)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0.401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0.997 (0.973 - 1.023)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0.841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1.001 (0.985 - 1.024)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0.656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Level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0.565 (0.436 - 0.731)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&lt;0.001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1.015 (0.919 - 1.122)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0.763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0.684 (0.372 - 1.258)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0.222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0.906 (0.577 - 1.423)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0.669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Trend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1.009 (0.980 - 1.039)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0.546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1.008 (0.999 - 1.016)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0.081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1.007 (0.939 - 1.080)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0.846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0.970 (0.919 - 1.024)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0.271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Post-intervention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0.994 (0.968 - 1.022)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0.686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1.007 (0.992 - 1.023)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0.375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1.004 (0.941 - 1.073)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0.895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0.974 (0.927 - 1.025)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0.314</w:t>
            </w:r>
          </w:p>
        </w:tc>
      </w:tr>
      <w:tr w:rsidR="00E576B7" w:rsidRPr="00E223DB" w:rsidTr="00214A41">
        <w:trPr>
          <w:trHeight w:val="432"/>
        </w:trPr>
        <w:tc>
          <w:tcPr>
            <w:tcW w:w="803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bCs/>
                <w:sz w:val="20"/>
                <w:szCs w:val="24"/>
              </w:rPr>
            </w:pPr>
            <w:r w:rsidRPr="00E223DB">
              <w:rPr>
                <w:rFonts w:cs="Helvetica"/>
                <w:b/>
                <w:bCs/>
                <w:sz w:val="20"/>
                <w:szCs w:val="24"/>
              </w:rPr>
              <w:t>Facility C</w:t>
            </w: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Baseline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0.989 (0.978 - 1.000)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0.043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1.009 (1.000 - 1.018)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0.061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1.009 (1.000 - 1.018)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0.061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1.008 (0.986 - 1.031)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0.481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Level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0.670 (0.520 - 0.864)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0.002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1.077 (0.978 - 1.186)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0.131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1.077 (0.978 - 1.186)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0.131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1.120 (0.706 – 1.775)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0.631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Trend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0.983 (0.955 - 1.013)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0.262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0.995 (0.983 - 1.007)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0.400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0.995 (0.983 - 1.007)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0.400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0.972 (0.921 - 1.026)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0.306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Post-intervention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0.972 (0.947 - 0.999)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0.043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1.003 (0.989 - 1.018)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0.641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1.003 (0.989 - 1.018)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0.641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0.980 (0.933 - 1.030)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0.420</w:t>
            </w:r>
          </w:p>
        </w:tc>
      </w:tr>
      <w:tr w:rsidR="00E576B7" w:rsidRPr="00E223DB" w:rsidTr="00214A41">
        <w:trPr>
          <w:trHeight w:val="432"/>
        </w:trPr>
        <w:tc>
          <w:tcPr>
            <w:tcW w:w="803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bCs/>
                <w:sz w:val="20"/>
                <w:szCs w:val="24"/>
              </w:rPr>
            </w:pPr>
            <w:r w:rsidRPr="00E223DB">
              <w:rPr>
                <w:rFonts w:cs="Helvetica"/>
                <w:b/>
                <w:bCs/>
                <w:sz w:val="20"/>
                <w:szCs w:val="24"/>
              </w:rPr>
              <w:t>Facility D</w:t>
            </w: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78" w:type="pct"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  <w:tc>
          <w:tcPr>
            <w:tcW w:w="297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sz w:val="20"/>
                <w:szCs w:val="24"/>
              </w:rPr>
            </w:pP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Baseline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0.956 (0.939 - 0.974)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&lt;0.001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0.996 (0.989 - 1.003)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0.238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0.987 (0.937 - 1.039)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0.619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1.044 (1.008 - 1.080)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0.015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Level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0.996 (0.649 - 1.528)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0.984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1.104 (0.940 - 1.297)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0.228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0.595 (0.111 - 3.190)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0.545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1.023 (0.516 - 2.025)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0.949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Trend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change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1.013 (0.964 - 1.064)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0.610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1.009 (0.991 - 1.028)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0.311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0.950 (0.760 - 1.188)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0.653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0.892 (0.815 - 0.975)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0.012</w:t>
            </w:r>
          </w:p>
        </w:tc>
      </w:tr>
      <w:tr w:rsidR="00E576B7" w:rsidRPr="00E223DB" w:rsidTr="00214A41">
        <w:trPr>
          <w:trHeight w:val="260"/>
        </w:trPr>
        <w:tc>
          <w:tcPr>
            <w:tcW w:w="803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 xml:space="preserve">Post-intervention </w:t>
            </w:r>
            <w:proofErr w:type="spellStart"/>
            <w:r w:rsidRPr="00E223DB">
              <w:rPr>
                <w:rFonts w:cs="Helvetica"/>
                <w:sz w:val="20"/>
                <w:szCs w:val="24"/>
              </w:rPr>
              <w:t>trend</w:t>
            </w:r>
            <w:r w:rsidRPr="00E223DB">
              <w:rPr>
                <w:rFonts w:cs="Helvetica"/>
                <w:sz w:val="20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0.968 (0.925 - 1.014)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0.173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1.005 (0.989 - 1.022)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0.549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0.937 (0.755 - 1.165)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0.561</w:t>
            </w:r>
          </w:p>
        </w:tc>
        <w:tc>
          <w:tcPr>
            <w:tcW w:w="78" w:type="pct"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</w:p>
        </w:tc>
        <w:tc>
          <w:tcPr>
            <w:tcW w:w="694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0.931 (0.857 - 1.011)</w:t>
            </w:r>
          </w:p>
        </w:tc>
        <w:tc>
          <w:tcPr>
            <w:tcW w:w="29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0"/>
                <w:szCs w:val="24"/>
              </w:rPr>
            </w:pPr>
            <w:r w:rsidRPr="00E223DB">
              <w:rPr>
                <w:rFonts w:cs="Helvetica"/>
                <w:sz w:val="20"/>
                <w:szCs w:val="24"/>
              </w:rPr>
              <w:t>0.087</w:t>
            </w:r>
          </w:p>
        </w:tc>
      </w:tr>
    </w:tbl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a</w:t>
      </w:r>
      <w:r w:rsidRPr="00E223DB">
        <w:rPr>
          <w:rFonts w:cs="Helvetica"/>
          <w:sz w:val="20"/>
          <w:szCs w:val="24"/>
        </w:rPr>
        <w:t>Baseline</w:t>
      </w:r>
      <w:proofErr w:type="spellEnd"/>
      <w:r w:rsidRPr="00E223DB">
        <w:rPr>
          <w:rFonts w:cs="Helvetica"/>
          <w:sz w:val="20"/>
          <w:szCs w:val="24"/>
        </w:rPr>
        <w:t xml:space="preserve"> month-to-month trend in rate i.e. </w:t>
      </w:r>
      <w:proofErr w:type="spellStart"/>
      <w:r w:rsidRPr="00E223DB">
        <w:rPr>
          <w:rFonts w:cs="Helvetica"/>
          <w:sz w:val="20"/>
          <w:szCs w:val="24"/>
        </w:rPr>
        <w:t>exp</w:t>
      </w:r>
      <w:proofErr w:type="spellEnd"/>
      <w:r w:rsidRPr="00E223DB">
        <w:rPr>
          <w:rFonts w:cs="Helvetica"/>
          <w:sz w:val="20"/>
          <w:szCs w:val="24"/>
        </w:rPr>
        <w:t>(β1)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b</w:t>
      </w:r>
      <w:r w:rsidRPr="00E223DB">
        <w:rPr>
          <w:rFonts w:cs="Helvetica"/>
          <w:sz w:val="20"/>
          <w:szCs w:val="24"/>
        </w:rPr>
        <w:t>Step</w:t>
      </w:r>
      <w:proofErr w:type="spellEnd"/>
      <w:r w:rsidRPr="00E223DB">
        <w:rPr>
          <w:rFonts w:cs="Helvetica"/>
          <w:sz w:val="20"/>
          <w:szCs w:val="24"/>
        </w:rPr>
        <w:t xml:space="preserve"> change associated with intervention i.e. </w:t>
      </w:r>
      <w:proofErr w:type="spellStart"/>
      <w:r w:rsidRPr="00E223DB">
        <w:rPr>
          <w:rFonts w:cs="Helvetica"/>
          <w:sz w:val="20"/>
          <w:szCs w:val="24"/>
        </w:rPr>
        <w:t>exp</w:t>
      </w:r>
      <w:proofErr w:type="spellEnd"/>
      <w:r w:rsidRPr="00E223DB">
        <w:rPr>
          <w:rFonts w:cs="Helvetica"/>
          <w:sz w:val="20"/>
          <w:szCs w:val="24"/>
        </w:rPr>
        <w:t>(β2)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c</w:t>
      </w:r>
      <w:r w:rsidRPr="00E223DB">
        <w:rPr>
          <w:rFonts w:cs="Helvetica"/>
          <w:sz w:val="20"/>
          <w:szCs w:val="24"/>
        </w:rPr>
        <w:t>Change</w:t>
      </w:r>
      <w:proofErr w:type="spellEnd"/>
      <w:r w:rsidRPr="00E223DB">
        <w:rPr>
          <w:rFonts w:cs="Helvetica"/>
          <w:sz w:val="20"/>
          <w:szCs w:val="24"/>
        </w:rPr>
        <w:t xml:space="preserve"> in month-to-month trend in the post-intervention versus the pre-intervention period i.e. </w:t>
      </w:r>
      <w:proofErr w:type="spellStart"/>
      <w:r w:rsidRPr="00E223DB">
        <w:rPr>
          <w:rFonts w:cs="Helvetica"/>
          <w:sz w:val="20"/>
          <w:szCs w:val="24"/>
        </w:rPr>
        <w:t>exp</w:t>
      </w:r>
      <w:proofErr w:type="spellEnd"/>
      <w:r w:rsidRPr="00E223DB">
        <w:rPr>
          <w:rFonts w:cs="Helvetica"/>
          <w:sz w:val="20"/>
          <w:szCs w:val="24"/>
        </w:rPr>
        <w:t>(β3)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d</w:t>
      </w:r>
      <w:r w:rsidRPr="00E223DB">
        <w:rPr>
          <w:rFonts w:cs="Helvetica"/>
          <w:sz w:val="20"/>
          <w:szCs w:val="24"/>
        </w:rPr>
        <w:t>Month</w:t>
      </w:r>
      <w:proofErr w:type="spellEnd"/>
      <w:r w:rsidRPr="00E223DB">
        <w:rPr>
          <w:rFonts w:cs="Helvetica"/>
          <w:sz w:val="20"/>
          <w:szCs w:val="24"/>
        </w:rPr>
        <w:t xml:space="preserve">-to-month trend in the post-intervention period only i.e. </w:t>
      </w:r>
      <w:proofErr w:type="spellStart"/>
      <w:r w:rsidRPr="00E223DB">
        <w:rPr>
          <w:rFonts w:cs="Helvetica"/>
          <w:sz w:val="20"/>
          <w:szCs w:val="24"/>
        </w:rPr>
        <w:t>exp</w:t>
      </w:r>
      <w:proofErr w:type="spellEnd"/>
      <w:r w:rsidRPr="00E223DB">
        <w:rPr>
          <w:rFonts w:cs="Helvetica"/>
          <w:sz w:val="20"/>
          <w:szCs w:val="24"/>
        </w:rPr>
        <w:t>(β1+β3)</w:t>
      </w:r>
    </w:p>
    <w:p w:rsidR="00E576B7" w:rsidRPr="00E223DB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E223DB">
        <w:rPr>
          <w:rFonts w:cs="Helvetica"/>
          <w:sz w:val="20"/>
          <w:szCs w:val="24"/>
          <w:vertAlign w:val="superscript"/>
        </w:rPr>
        <w:t>e</w:t>
      </w:r>
      <w:r w:rsidRPr="00E223DB">
        <w:rPr>
          <w:rFonts w:cs="Helvetica"/>
          <w:sz w:val="20"/>
          <w:szCs w:val="24"/>
        </w:rPr>
        <w:t>Sandwich</w:t>
      </w:r>
      <w:proofErr w:type="spellEnd"/>
      <w:r w:rsidRPr="00E223DB">
        <w:rPr>
          <w:rFonts w:cs="Helvetica"/>
          <w:sz w:val="20"/>
          <w:szCs w:val="24"/>
        </w:rPr>
        <w:t xml:space="preserve"> estimators used to generate robust standard errors for confidence intervals</w:t>
      </w:r>
    </w:p>
    <w:p w:rsidR="00E576B7" w:rsidRPr="00E223DB" w:rsidRDefault="00E576B7" w:rsidP="00E576B7">
      <w:pPr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rPr>
          <w:rFonts w:cs="Helvetica"/>
          <w:sz w:val="24"/>
          <w:szCs w:val="24"/>
        </w:rPr>
      </w:pPr>
    </w:p>
    <w:p w:rsidR="00E576B7" w:rsidRPr="00F309C3" w:rsidRDefault="00E576B7" w:rsidP="00E576B7">
      <w:pPr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  <w:r w:rsidRPr="00F309C3">
        <w:rPr>
          <w:rFonts w:cs="Helvetica"/>
          <w:sz w:val="24"/>
          <w:szCs w:val="24"/>
        </w:rPr>
        <w:lastRenderedPageBreak/>
        <w:t xml:space="preserve">Supplementary Materials: Figure S1: </w:t>
      </w:r>
      <w:r>
        <w:rPr>
          <w:rFonts w:cs="Helvetica"/>
          <w:sz w:val="24"/>
          <w:szCs w:val="24"/>
        </w:rPr>
        <w:t>Pooled Case Mix Index and COVID-19 diagnoses over time (September 2017-September 2020)</w:t>
      </w: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  <w:r w:rsidRPr="00E223DB">
        <w:rPr>
          <w:noProof/>
        </w:rPr>
        <w:drawing>
          <wp:inline distT="0" distB="0" distL="0" distR="0" wp14:anchorId="5C49BEEB" wp14:editId="142E23E1">
            <wp:extent cx="6172200" cy="4114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</w:p>
    <w:p w:rsidR="00E576B7" w:rsidRPr="00F309C3" w:rsidRDefault="00E576B7" w:rsidP="00E576B7">
      <w:pPr>
        <w:spacing w:after="80"/>
        <w:rPr>
          <w:rFonts w:cs="Helvetica"/>
          <w:sz w:val="24"/>
          <w:szCs w:val="24"/>
        </w:rPr>
      </w:pPr>
    </w:p>
    <w:p w:rsidR="00E576B7" w:rsidRPr="00F309C3" w:rsidRDefault="00E576B7" w:rsidP="00E576B7">
      <w:pPr>
        <w:spacing w:after="80"/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  <w:r w:rsidRPr="00E223DB">
        <w:rPr>
          <w:rFonts w:cs="Helvetica"/>
          <w:sz w:val="24"/>
          <w:szCs w:val="24"/>
        </w:rPr>
        <w:lastRenderedPageBreak/>
        <w:t xml:space="preserve">Supplementary Materials: Figure S2. Sensitivity Analysis of impact of intervention on fluoroquinolone antibiotic use (A, C) and 12-week post discharge </w:t>
      </w:r>
      <w:r w:rsidRPr="00E223DB">
        <w:rPr>
          <w:rFonts w:cs="Helvetica"/>
          <w:i/>
          <w:sz w:val="24"/>
          <w:szCs w:val="24"/>
        </w:rPr>
        <w:t xml:space="preserve">C. difficile </w:t>
      </w:r>
      <w:r w:rsidRPr="00E223DB">
        <w:rPr>
          <w:rFonts w:cs="Helvetica"/>
          <w:sz w:val="24"/>
          <w:szCs w:val="24"/>
        </w:rPr>
        <w:t xml:space="preserve">infections (B, D) at four acute-care facilities, with adjustment for MS-DRG CMI (A, B) or a COVID-time point (D, C), September 2017 – September 2020 </w:t>
      </w: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  <w:r w:rsidRPr="00E223DB">
        <w:rPr>
          <w:noProof/>
        </w:rPr>
        <w:drawing>
          <wp:inline distT="0" distB="0" distL="0" distR="0" wp14:anchorId="49232570" wp14:editId="64600417">
            <wp:extent cx="4572000" cy="274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3DB">
        <w:rPr>
          <w:noProof/>
        </w:rPr>
        <w:drawing>
          <wp:inline distT="0" distB="0" distL="0" distR="0" wp14:anchorId="5289CE5B" wp14:editId="0BBE5766">
            <wp:extent cx="45720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  <w:r w:rsidRPr="00E223DB">
        <w:rPr>
          <w:noProof/>
        </w:rPr>
        <w:drawing>
          <wp:inline distT="0" distB="0" distL="0" distR="0" wp14:anchorId="202B8B78" wp14:editId="419242E6">
            <wp:extent cx="4572000" cy="274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3DB">
        <w:rPr>
          <w:noProof/>
        </w:rPr>
        <w:drawing>
          <wp:inline distT="0" distB="0" distL="0" distR="0" wp14:anchorId="231D5643" wp14:editId="3783009D">
            <wp:extent cx="4572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B7" w:rsidRPr="00E223DB" w:rsidRDefault="00E576B7" w:rsidP="00E576B7">
      <w:pPr>
        <w:spacing w:after="80"/>
        <w:rPr>
          <w:rFonts w:cs="Helvetica"/>
          <w:sz w:val="24"/>
          <w:szCs w:val="24"/>
        </w:rPr>
      </w:pPr>
      <w:r w:rsidRPr="00E223DB">
        <w:rPr>
          <w:rFonts w:cs="Helvetica"/>
          <w:sz w:val="24"/>
          <w:szCs w:val="24"/>
        </w:rPr>
        <w:lastRenderedPageBreak/>
        <w:t xml:space="preserve">Supplementary Materials: Table S3. </w:t>
      </w:r>
      <w:r w:rsidRPr="00F309C3">
        <w:rPr>
          <w:rFonts w:cs="Helvetica"/>
          <w:sz w:val="24"/>
          <w:szCs w:val="24"/>
        </w:rPr>
        <w:t xml:space="preserve">Sensitivity Analysis of impact of intervention on fluoroquinolone antibiotic use and 12-week post discharge </w:t>
      </w:r>
      <w:r w:rsidRPr="00F309C3">
        <w:rPr>
          <w:rFonts w:cs="Helvetica"/>
          <w:i/>
          <w:sz w:val="24"/>
          <w:szCs w:val="24"/>
        </w:rPr>
        <w:t>C. difficile</w:t>
      </w:r>
      <w:r w:rsidRPr="00E223DB">
        <w:rPr>
          <w:rFonts w:cs="Helvetica"/>
          <w:sz w:val="24"/>
          <w:szCs w:val="24"/>
        </w:rPr>
        <w:t xml:space="preserve"> infections at four acute-care facilities, September 2017 – September 2020 </w:t>
      </w:r>
    </w:p>
    <w:tbl>
      <w:tblPr>
        <w:tblStyle w:val="TableGrid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6"/>
        <w:gridCol w:w="2850"/>
        <w:gridCol w:w="939"/>
        <w:gridCol w:w="500"/>
        <w:gridCol w:w="2616"/>
        <w:gridCol w:w="939"/>
      </w:tblGrid>
      <w:tr w:rsidR="00E576B7" w:rsidRPr="00E223DB" w:rsidTr="00214A41">
        <w:trPr>
          <w:trHeight w:val="20"/>
        </w:trPr>
        <w:tc>
          <w:tcPr>
            <w:tcW w:w="1909" w:type="pct"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1477" w:type="pct"/>
            <w:gridSpan w:val="2"/>
            <w:tcBorders>
              <w:top w:val="single" w:sz="18" w:space="0" w:color="auto"/>
              <w:bottom w:val="nil"/>
            </w:tcBorders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b/>
                <w:sz w:val="24"/>
                <w:szCs w:val="24"/>
              </w:rPr>
              <w:t>Fluoroquinolone Use</w:t>
            </w:r>
          </w:p>
        </w:tc>
        <w:tc>
          <w:tcPr>
            <w:tcW w:w="268" w:type="pct"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1346" w:type="pct"/>
            <w:gridSpan w:val="2"/>
            <w:tcBorders>
              <w:bottom w:val="nil"/>
            </w:tcBorders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b/>
                <w:sz w:val="24"/>
                <w:szCs w:val="24"/>
              </w:rPr>
              <w:t>12-week post-discharge CDI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576B7" w:rsidRPr="00F309C3" w:rsidRDefault="00E576B7" w:rsidP="00214A41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 w:rsidRPr="00F309C3">
              <w:rPr>
                <w:rFonts w:cs="Helvetica"/>
                <w:b/>
                <w:sz w:val="24"/>
                <w:szCs w:val="24"/>
              </w:rPr>
              <w:t>Rate Ratio (95% CI)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 w:rsidRPr="00E223DB">
              <w:rPr>
                <w:rFonts w:cs="Helvetica"/>
                <w:b/>
                <w:sz w:val="24"/>
                <w:szCs w:val="24"/>
              </w:rPr>
              <w:t>P value</w:t>
            </w:r>
          </w:p>
        </w:tc>
        <w:tc>
          <w:tcPr>
            <w:tcW w:w="268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 w:rsidRPr="00E223DB">
              <w:rPr>
                <w:rFonts w:cs="Helvetica"/>
                <w:b/>
                <w:sz w:val="24"/>
                <w:szCs w:val="24"/>
              </w:rPr>
              <w:t>Rate Ratio (95% CI)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 w:rsidRPr="00E223DB">
              <w:rPr>
                <w:rFonts w:cs="Helvetica"/>
                <w:b/>
                <w:sz w:val="24"/>
                <w:szCs w:val="24"/>
              </w:rPr>
              <w:t>P value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b/>
                <w:bCs/>
                <w:sz w:val="24"/>
                <w:szCs w:val="24"/>
              </w:rPr>
            </w:pPr>
            <w:r w:rsidRPr="00E223DB">
              <w:rPr>
                <w:rFonts w:cs="Helvetica"/>
                <w:b/>
                <w:bCs/>
                <w:sz w:val="24"/>
                <w:szCs w:val="24"/>
              </w:rPr>
              <w:t>Sensitivity analyses using CMI adjustment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F309C3" w:rsidRDefault="00E576B7" w:rsidP="00214A41">
            <w:pPr>
              <w:rPr>
                <w:rFonts w:cs="Helvetica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Baseline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trend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81" w:type="pct"/>
            <w:noWrap/>
            <w:vAlign w:val="center"/>
            <w:hideMark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0.978 (0.965, 0.991)</w:t>
            </w:r>
          </w:p>
        </w:tc>
        <w:tc>
          <w:tcPr>
            <w:tcW w:w="396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0.001</w:t>
            </w:r>
          </w:p>
        </w:tc>
        <w:tc>
          <w:tcPr>
            <w:tcW w:w="268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1.008 (0.996, 1.019)</w:t>
            </w:r>
          </w:p>
        </w:tc>
        <w:tc>
          <w:tcPr>
            <w:tcW w:w="34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0.193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Level change after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intervention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81" w:type="pct"/>
            <w:noWrap/>
            <w:vAlign w:val="center"/>
            <w:hideMark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0.787 (0.616, 1.004)</w:t>
            </w:r>
          </w:p>
        </w:tc>
        <w:tc>
          <w:tcPr>
            <w:tcW w:w="396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0.054</w:t>
            </w:r>
          </w:p>
        </w:tc>
        <w:tc>
          <w:tcPr>
            <w:tcW w:w="268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0.967 (0.892, 1.049)</w:t>
            </w:r>
          </w:p>
        </w:tc>
        <w:tc>
          <w:tcPr>
            <w:tcW w:w="34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0.421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Trend change after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intervention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81" w:type="pct"/>
            <w:noWrap/>
            <w:vAlign w:val="center"/>
            <w:hideMark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0.993 (0.978, 1.008)</w:t>
            </w:r>
          </w:p>
        </w:tc>
        <w:tc>
          <w:tcPr>
            <w:tcW w:w="396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0.364</w:t>
            </w:r>
          </w:p>
        </w:tc>
        <w:tc>
          <w:tcPr>
            <w:tcW w:w="268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0.966 (0.942, 0.991)</w:t>
            </w:r>
          </w:p>
        </w:tc>
        <w:tc>
          <w:tcPr>
            <w:tcW w:w="34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0.007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MS-DRG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CMI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081" w:type="pct"/>
            <w:noWrap/>
            <w:vAlign w:val="center"/>
            <w:hideMark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1.316 (1.113, 1.557)</w:t>
            </w:r>
          </w:p>
        </w:tc>
        <w:tc>
          <w:tcPr>
            <w:tcW w:w="396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0.001</w:t>
            </w:r>
          </w:p>
        </w:tc>
        <w:tc>
          <w:tcPr>
            <w:tcW w:w="268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1.100 (0.852, 1.421)</w:t>
            </w:r>
          </w:p>
        </w:tc>
        <w:tc>
          <w:tcPr>
            <w:tcW w:w="34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0.465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  <w:hideMark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Post-intervention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trend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081" w:type="pct"/>
            <w:noWrap/>
            <w:vAlign w:val="center"/>
            <w:hideMark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0.971 (0.960, 0.982)</w:t>
            </w:r>
          </w:p>
        </w:tc>
        <w:tc>
          <w:tcPr>
            <w:tcW w:w="396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0.000</w:t>
            </w:r>
          </w:p>
        </w:tc>
        <w:tc>
          <w:tcPr>
            <w:tcW w:w="268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0.973 (0.959, 0.988)</w:t>
            </w:r>
          </w:p>
        </w:tc>
        <w:tc>
          <w:tcPr>
            <w:tcW w:w="347" w:type="pct"/>
            <w:noWrap/>
            <w:vAlign w:val="center"/>
            <w:hideMark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&lt;0.001</w:t>
            </w:r>
          </w:p>
        </w:tc>
      </w:tr>
      <w:tr w:rsidR="00E576B7" w:rsidRPr="00E223DB" w:rsidTr="00214A41">
        <w:trPr>
          <w:trHeight w:val="369"/>
        </w:trPr>
        <w:tc>
          <w:tcPr>
            <w:tcW w:w="1909" w:type="pct"/>
            <w:noWrap/>
            <w:vAlign w:val="bottom"/>
          </w:tcPr>
          <w:p w:rsidR="00E576B7" w:rsidRPr="00E223DB" w:rsidRDefault="00E576B7" w:rsidP="00214A41">
            <w:pPr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b/>
                <w:sz w:val="24"/>
                <w:szCs w:val="24"/>
              </w:rPr>
              <w:t>Sensitivity analyses modeling COVID as a separate change point</w:t>
            </w:r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Baseline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trend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0.979 (0.977, 0.991)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0.001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1.008 (0.997, 1.019)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0.172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Level change after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intervention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0.872 (0.600, 1.269)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0.473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1.192 (0.920, 1.542)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0.184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Trend change after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intervention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0.963 (0.903, 1.028)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0.257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0.899 (0.793, 1.020)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0.099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Level change after COVID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onset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1.058 (0.750, 1.492)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0.749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1.335 (0.749, 2.382)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0.327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Trend change after COVID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onset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1.060 (0.981, 1.146)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0.142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1.089 (0.973, 1.218)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0.139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Post-intervention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trend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0.943 (0.880, 1.010)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0.095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0.906 (0.800, 1.027)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b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0.122</w:t>
            </w:r>
          </w:p>
        </w:tc>
      </w:tr>
      <w:tr w:rsidR="00E576B7" w:rsidRPr="00E223DB" w:rsidTr="00214A41">
        <w:trPr>
          <w:trHeight w:val="20"/>
        </w:trPr>
        <w:tc>
          <w:tcPr>
            <w:tcW w:w="1909" w:type="pct"/>
            <w:noWrap/>
            <w:vAlign w:val="center"/>
          </w:tcPr>
          <w:p w:rsidR="00E576B7" w:rsidRPr="00E223DB" w:rsidRDefault="00E576B7" w:rsidP="00214A41">
            <w:pPr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 xml:space="preserve">Post-COVID onset </w:t>
            </w:r>
            <w:proofErr w:type="spellStart"/>
            <w:r w:rsidRPr="00E223DB">
              <w:rPr>
                <w:rFonts w:cs="Helvetica"/>
                <w:sz w:val="24"/>
                <w:szCs w:val="24"/>
              </w:rPr>
              <w:t>trend</w:t>
            </w:r>
            <w:r w:rsidRPr="00E223DB">
              <w:rPr>
                <w:rFonts w:cs="Helvetica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1081" w:type="pct"/>
            <w:noWrap/>
            <w:vAlign w:val="center"/>
          </w:tcPr>
          <w:p w:rsidR="00E576B7" w:rsidRPr="00F309C3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F309C3">
              <w:rPr>
                <w:rFonts w:cs="Helvetica"/>
                <w:sz w:val="24"/>
                <w:szCs w:val="24"/>
              </w:rPr>
              <w:t>1.037 (0.963, 1.117)</w:t>
            </w:r>
          </w:p>
        </w:tc>
        <w:tc>
          <w:tcPr>
            <w:tcW w:w="396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0.334</w:t>
            </w:r>
          </w:p>
        </w:tc>
        <w:tc>
          <w:tcPr>
            <w:tcW w:w="268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</w:p>
        </w:tc>
        <w:tc>
          <w:tcPr>
            <w:tcW w:w="999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1.097 (0.978, 1.230)</w:t>
            </w:r>
          </w:p>
        </w:tc>
        <w:tc>
          <w:tcPr>
            <w:tcW w:w="347" w:type="pct"/>
            <w:noWrap/>
            <w:vAlign w:val="center"/>
          </w:tcPr>
          <w:p w:rsidR="00E576B7" w:rsidRPr="00E223DB" w:rsidRDefault="00E576B7" w:rsidP="00214A41">
            <w:pPr>
              <w:jc w:val="center"/>
              <w:rPr>
                <w:rFonts w:cs="Helvetica"/>
                <w:sz w:val="24"/>
                <w:szCs w:val="24"/>
              </w:rPr>
            </w:pPr>
            <w:r w:rsidRPr="00E223DB">
              <w:rPr>
                <w:rFonts w:cs="Helvetica"/>
                <w:sz w:val="24"/>
                <w:szCs w:val="24"/>
              </w:rPr>
              <w:t>0.113</w:t>
            </w:r>
          </w:p>
        </w:tc>
      </w:tr>
    </w:tbl>
    <w:p w:rsidR="00E576B7" w:rsidRPr="00272104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272104">
        <w:rPr>
          <w:rFonts w:cs="Helvetica"/>
          <w:sz w:val="20"/>
          <w:szCs w:val="24"/>
          <w:vertAlign w:val="superscript"/>
        </w:rPr>
        <w:t>a</w:t>
      </w:r>
      <w:r w:rsidRPr="00272104">
        <w:rPr>
          <w:rFonts w:cs="Helvetica"/>
          <w:sz w:val="20"/>
          <w:szCs w:val="24"/>
        </w:rPr>
        <w:t>Baseline</w:t>
      </w:r>
      <w:proofErr w:type="spellEnd"/>
      <w:r w:rsidRPr="00272104">
        <w:rPr>
          <w:rFonts w:cs="Helvetica"/>
          <w:sz w:val="20"/>
          <w:szCs w:val="24"/>
        </w:rPr>
        <w:t xml:space="preserve"> month-to-month trend in rate i.e. </w:t>
      </w:r>
      <w:proofErr w:type="spellStart"/>
      <w:r w:rsidRPr="00272104">
        <w:rPr>
          <w:rFonts w:cs="Helvetica"/>
          <w:sz w:val="20"/>
          <w:szCs w:val="24"/>
        </w:rPr>
        <w:t>exp</w:t>
      </w:r>
      <w:proofErr w:type="spellEnd"/>
      <w:r w:rsidRPr="00272104">
        <w:rPr>
          <w:rFonts w:cs="Helvetica"/>
          <w:sz w:val="20"/>
          <w:szCs w:val="24"/>
        </w:rPr>
        <w:t>(β1)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b</w:t>
      </w:r>
      <w:r w:rsidRPr="00F309C3">
        <w:rPr>
          <w:rFonts w:cs="Helvetica"/>
          <w:sz w:val="20"/>
          <w:szCs w:val="24"/>
        </w:rPr>
        <w:t>Step</w:t>
      </w:r>
      <w:proofErr w:type="spellEnd"/>
      <w:r w:rsidRPr="00F309C3">
        <w:rPr>
          <w:rFonts w:cs="Helvetica"/>
          <w:sz w:val="20"/>
          <w:szCs w:val="24"/>
        </w:rPr>
        <w:t xml:space="preserve"> change associated with intervention i.e. </w:t>
      </w:r>
      <w:proofErr w:type="spellStart"/>
      <w:r w:rsidRPr="00F309C3">
        <w:rPr>
          <w:rFonts w:cs="Helvetica"/>
          <w:sz w:val="20"/>
          <w:szCs w:val="24"/>
        </w:rPr>
        <w:t>exp</w:t>
      </w:r>
      <w:proofErr w:type="spellEnd"/>
      <w:r w:rsidRPr="00F309C3">
        <w:rPr>
          <w:rFonts w:cs="Helvetica"/>
          <w:sz w:val="20"/>
          <w:szCs w:val="24"/>
        </w:rPr>
        <w:t>(β2)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c</w:t>
      </w:r>
      <w:r w:rsidRPr="00F309C3">
        <w:rPr>
          <w:rFonts w:cs="Helvetica"/>
          <w:sz w:val="20"/>
          <w:szCs w:val="24"/>
        </w:rPr>
        <w:t>Change</w:t>
      </w:r>
      <w:proofErr w:type="spellEnd"/>
      <w:r w:rsidRPr="00F309C3">
        <w:rPr>
          <w:rFonts w:cs="Helvetica"/>
          <w:sz w:val="20"/>
          <w:szCs w:val="24"/>
        </w:rPr>
        <w:t xml:space="preserve"> in month-to-month trend in the post-intervention versus the pre-intervention period i.e. </w:t>
      </w:r>
      <w:proofErr w:type="spellStart"/>
      <w:r w:rsidRPr="00F309C3">
        <w:rPr>
          <w:rFonts w:cs="Helvetica"/>
          <w:sz w:val="20"/>
          <w:szCs w:val="24"/>
        </w:rPr>
        <w:t>exp</w:t>
      </w:r>
      <w:proofErr w:type="spellEnd"/>
      <w:r w:rsidRPr="00F309C3">
        <w:rPr>
          <w:rFonts w:cs="Helvetica"/>
          <w:sz w:val="20"/>
          <w:szCs w:val="24"/>
        </w:rPr>
        <w:t>(β3)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d</w:t>
      </w:r>
      <w:r w:rsidRPr="00F309C3">
        <w:rPr>
          <w:rFonts w:cs="Helvetica"/>
          <w:sz w:val="20"/>
          <w:szCs w:val="24"/>
        </w:rPr>
        <w:t>Medicare</w:t>
      </w:r>
      <w:proofErr w:type="spellEnd"/>
      <w:r w:rsidRPr="00F309C3">
        <w:rPr>
          <w:rFonts w:cs="Helvetica"/>
          <w:sz w:val="20"/>
          <w:szCs w:val="24"/>
        </w:rPr>
        <w:t xml:space="preserve"> Severity Diagnosis Related Group case mix index (MS-DRG)      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e</w:t>
      </w:r>
      <w:r w:rsidRPr="00F309C3">
        <w:rPr>
          <w:rFonts w:cs="Helvetica"/>
          <w:sz w:val="20"/>
          <w:szCs w:val="24"/>
        </w:rPr>
        <w:t>Month</w:t>
      </w:r>
      <w:proofErr w:type="spellEnd"/>
      <w:r w:rsidRPr="00F309C3">
        <w:rPr>
          <w:rFonts w:cs="Helvetica"/>
          <w:sz w:val="20"/>
          <w:szCs w:val="24"/>
        </w:rPr>
        <w:t xml:space="preserve">-to-month trend in the post-intervention period only i.e. </w:t>
      </w:r>
      <w:proofErr w:type="spellStart"/>
      <w:r w:rsidRPr="00F309C3">
        <w:rPr>
          <w:rFonts w:cs="Helvetica"/>
          <w:sz w:val="20"/>
          <w:szCs w:val="24"/>
        </w:rPr>
        <w:t>exp</w:t>
      </w:r>
      <w:proofErr w:type="spellEnd"/>
      <w:r w:rsidRPr="00F309C3">
        <w:rPr>
          <w:rFonts w:cs="Helvetica"/>
          <w:sz w:val="20"/>
          <w:szCs w:val="24"/>
        </w:rPr>
        <w:t>(β1+β3)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f</w:t>
      </w:r>
      <w:r w:rsidRPr="00F309C3">
        <w:rPr>
          <w:rFonts w:cs="Helvetica"/>
          <w:sz w:val="20"/>
          <w:szCs w:val="24"/>
        </w:rPr>
        <w:t>Step</w:t>
      </w:r>
      <w:proofErr w:type="spellEnd"/>
      <w:r w:rsidRPr="00F309C3">
        <w:rPr>
          <w:rFonts w:cs="Helvetica"/>
          <w:sz w:val="20"/>
          <w:szCs w:val="24"/>
        </w:rPr>
        <w:t xml:space="preserve"> change associated with COVID onset i.e. </w:t>
      </w:r>
      <w:proofErr w:type="spellStart"/>
      <w:r w:rsidRPr="00F309C3">
        <w:rPr>
          <w:rFonts w:cs="Helvetica"/>
          <w:sz w:val="20"/>
          <w:szCs w:val="24"/>
        </w:rPr>
        <w:t>exp</w:t>
      </w:r>
      <w:proofErr w:type="spellEnd"/>
      <w:r w:rsidRPr="00F309C3">
        <w:rPr>
          <w:rFonts w:cs="Helvetica"/>
          <w:sz w:val="20"/>
          <w:szCs w:val="24"/>
        </w:rPr>
        <w:t>(β4)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g</w:t>
      </w:r>
      <w:r w:rsidRPr="00F309C3">
        <w:rPr>
          <w:rFonts w:cs="Helvetica"/>
          <w:sz w:val="20"/>
          <w:szCs w:val="24"/>
        </w:rPr>
        <w:t>Change</w:t>
      </w:r>
      <w:proofErr w:type="spellEnd"/>
      <w:r w:rsidRPr="00F309C3">
        <w:rPr>
          <w:rFonts w:cs="Helvetica"/>
          <w:sz w:val="20"/>
          <w:szCs w:val="24"/>
        </w:rPr>
        <w:t xml:space="preserve"> in month-to-month trend in the post-COVID-onset versus the pre-intervention periods i.e. </w:t>
      </w:r>
      <w:proofErr w:type="spellStart"/>
      <w:r w:rsidRPr="00F309C3">
        <w:rPr>
          <w:rFonts w:cs="Helvetica"/>
          <w:sz w:val="20"/>
          <w:szCs w:val="24"/>
        </w:rPr>
        <w:t>exp</w:t>
      </w:r>
      <w:proofErr w:type="spellEnd"/>
      <w:r w:rsidRPr="00F309C3">
        <w:rPr>
          <w:rFonts w:cs="Helvetica"/>
          <w:sz w:val="20"/>
          <w:szCs w:val="24"/>
        </w:rPr>
        <w:t>(β5)</w:t>
      </w:r>
    </w:p>
    <w:p w:rsidR="00E576B7" w:rsidRPr="00F309C3" w:rsidRDefault="00E576B7" w:rsidP="00E576B7">
      <w:pPr>
        <w:spacing w:after="0" w:line="240" w:lineRule="auto"/>
        <w:rPr>
          <w:rFonts w:cs="Helvetica"/>
          <w:sz w:val="20"/>
          <w:szCs w:val="24"/>
        </w:rPr>
      </w:pPr>
      <w:proofErr w:type="spellStart"/>
      <w:r w:rsidRPr="00F309C3">
        <w:rPr>
          <w:rFonts w:cs="Helvetica"/>
          <w:sz w:val="20"/>
          <w:szCs w:val="24"/>
          <w:vertAlign w:val="superscript"/>
        </w:rPr>
        <w:t>h</w:t>
      </w:r>
      <w:r w:rsidRPr="00F309C3">
        <w:rPr>
          <w:rFonts w:cs="Helvetica"/>
          <w:sz w:val="20"/>
          <w:szCs w:val="24"/>
        </w:rPr>
        <w:t>Month</w:t>
      </w:r>
      <w:proofErr w:type="spellEnd"/>
      <w:r w:rsidRPr="00F309C3">
        <w:rPr>
          <w:rFonts w:cs="Helvetica"/>
          <w:sz w:val="20"/>
          <w:szCs w:val="24"/>
        </w:rPr>
        <w:t xml:space="preserve">-to-month trend in the post-COVID period only i.e. </w:t>
      </w:r>
      <w:proofErr w:type="spellStart"/>
      <w:r w:rsidRPr="00F309C3">
        <w:rPr>
          <w:rFonts w:cs="Helvetica"/>
          <w:sz w:val="20"/>
          <w:szCs w:val="24"/>
        </w:rPr>
        <w:t>exp</w:t>
      </w:r>
      <w:proofErr w:type="spellEnd"/>
      <w:r w:rsidRPr="00F309C3">
        <w:rPr>
          <w:rFonts w:cs="Helvetica"/>
          <w:sz w:val="20"/>
          <w:szCs w:val="24"/>
        </w:rPr>
        <w:t>(β1+β5)</w:t>
      </w:r>
    </w:p>
    <w:p w:rsidR="00CC739A" w:rsidRDefault="00CC739A">
      <w:bookmarkStart w:id="0" w:name="_GoBack"/>
      <w:bookmarkEnd w:id="0"/>
    </w:p>
    <w:sectPr w:rsidR="00CC739A" w:rsidSect="00760EF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B874A1" w:rsidTr="00223F89">
      <w:tc>
        <w:tcPr>
          <w:tcW w:w="4800" w:type="dxa"/>
        </w:tcPr>
        <w:p w:rsidR="00B874A1" w:rsidRDefault="00E576B7" w:rsidP="00223F89">
          <w:pPr>
            <w:pStyle w:val="Header"/>
            <w:ind w:left="-115"/>
          </w:pPr>
        </w:p>
      </w:tc>
      <w:tc>
        <w:tcPr>
          <w:tcW w:w="4800" w:type="dxa"/>
        </w:tcPr>
        <w:p w:rsidR="00B874A1" w:rsidRDefault="00E576B7" w:rsidP="00223F89">
          <w:pPr>
            <w:pStyle w:val="Header"/>
            <w:jc w:val="center"/>
          </w:pPr>
        </w:p>
      </w:tc>
      <w:tc>
        <w:tcPr>
          <w:tcW w:w="4800" w:type="dxa"/>
        </w:tcPr>
        <w:p w:rsidR="00B874A1" w:rsidRDefault="00E576B7" w:rsidP="00223F89">
          <w:pPr>
            <w:pStyle w:val="Header"/>
            <w:ind w:right="-115"/>
            <w:jc w:val="right"/>
          </w:pPr>
        </w:p>
      </w:tc>
    </w:tr>
  </w:tbl>
  <w:p w:rsidR="00B874A1" w:rsidRDefault="00E576B7" w:rsidP="00E05D5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A1" w:rsidRDefault="00E576B7" w:rsidP="00E05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B7"/>
    <w:rsid w:val="00CC739A"/>
    <w:rsid w:val="00E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EF97-E571-423D-9DB7-B058336D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576B7"/>
  </w:style>
  <w:style w:type="paragraph" w:styleId="Header">
    <w:name w:val="header"/>
    <w:basedOn w:val="Normal"/>
    <w:link w:val="HeaderChar"/>
    <w:uiPriority w:val="99"/>
    <w:unhideWhenUsed/>
    <w:rsid w:val="00E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576B7"/>
  </w:style>
  <w:style w:type="character" w:customStyle="1" w:styleId="FooterChar">
    <w:name w:val="Footer Char"/>
    <w:basedOn w:val="DefaultParagraphFont"/>
    <w:link w:val="Footer"/>
    <w:uiPriority w:val="99"/>
    <w:rsid w:val="00E576B7"/>
  </w:style>
  <w:style w:type="paragraph" w:styleId="Footer">
    <w:name w:val="footer"/>
    <w:basedOn w:val="Normal"/>
    <w:link w:val="FooterChar"/>
    <w:uiPriority w:val="99"/>
    <w:unhideWhenUsed/>
    <w:rsid w:val="00E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5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footer" Target="footer1.xml"/><Relationship Id="rId4" Type="http://schemas.openxmlformats.org/officeDocument/2006/relationships/image" Target="media/image1.tif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Jones</dc:creator>
  <cp:keywords/>
  <dc:description/>
  <cp:lastModifiedBy>Kayla Jones</cp:lastModifiedBy>
  <cp:revision>1</cp:revision>
  <dcterms:created xsi:type="dcterms:W3CDTF">2021-05-04T19:55:00Z</dcterms:created>
  <dcterms:modified xsi:type="dcterms:W3CDTF">2021-05-04T19:55:00Z</dcterms:modified>
</cp:coreProperties>
</file>