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b w:val="0"/>
          <w:bCs w:val="0"/>
          <w:i w:val="0"/>
          <w:iCs w:val="0"/>
          <w:color w:val="auto"/>
          <w:lang w:val="en-US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t>Supplemental Table 1: Characteristics for patients admitted with COVID-19 during March 1 to May 31, 2020 </w:t>
      </w:r>
    </w:p>
    <w:tbl>
      <w:tblPr>
        <w:tblStyle w:val="3"/>
        <w:tblW w:w="82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8"/>
        <w:gridCol w:w="24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n=829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Sex, male n (%)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410 (49.5)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Age, years (SD)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64.9 (17.9)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Race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White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Black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Hispanic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Asian/Pacific Islander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Other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Unknown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314 (37.9)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208 (25.1)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151 (18.2)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41 (4.9)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38 (4.6)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77 (9.3)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Comorbid conditions, n (%)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Diabetes mellitus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Hypertension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Obesity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Congestive heart failure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Chronic obstructive pulmonary disorder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End stage renal disease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Human immunodeficiency virus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341 (41.1)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330 (39.8)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161 (19.4)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159 (19.2)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84 (10.1)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54 (6.5)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2 (0.2)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Hospital admission in last 90 days, n (%)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112 (13.5)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Events after admission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Length of stay, days median (IQR)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6 (2-13)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Endotracheal intubation, n (%)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133 (16.0)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Prescribed any antibiotic listed below, n (%)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Ceftriaxone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Vancomycin or linezolid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Anti-pseudomonal beta-lactam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Azithromycin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    Levofloxacin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607 (73.2)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415 (50.0)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273 (32.9)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262 (31.6)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262 (31.6)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40 (4.8)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Respiratory culture obtained, n (%)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     Endotracheal aspirate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     Expectorated sputum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     Bronchoalveolar lavage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196 (23.6)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176 (21.2)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34 (4.1)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13 (1.6)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Positive respiratory culture, n (%)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     Community-acquired bacteria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     Hospital-acquired bacteria*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73 (8.8)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15 (1.8)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58 (9.7)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Microbiology from 567 respiratory cultures, n (%)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     Enterobacterales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     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Pseudomonas aeruginosa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     Staphylococcus aureus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     Streptococcus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 species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    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 Haemophilus influenzae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     Moraxella catarrhalis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     Commensal respiratory flora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     Yeast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     No growth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76 (13.4)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43 (7.6)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75 (13.2)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4 (0.7)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3 (5.3)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1 (0.2)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176 (31.0)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137 (16.5)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/>
              </w:rPr>
              <w:t>46 (8.1)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  <w:lang w:val="en-US"/>
              </w:rPr>
              <w:t>C. difficile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polymerase chain reaction positive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29 (3.5)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Inpatient mortality or discharge to hospice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171 (20.6)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t>* Out of 601 encounters with a hospital length of stay of at least 4 days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b w:val="0"/>
          <w:bCs w:val="0"/>
          <w:i w:val="0"/>
          <w:iCs w:val="0"/>
          <w:color w:val="auto"/>
          <w:lang w:val="en-US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t>Supplemental Table 2: Antibiotic utilization per 1000 patient-days of therapy for patients with COVID-19 compared to total hospital census from March 1 to May 31 2018, 2019, and 2020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</w:t>
      </w:r>
    </w:p>
    <w:tbl>
      <w:tblPr>
        <w:tblStyle w:val="3"/>
        <w:tblW w:w="825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1464"/>
        <w:gridCol w:w="1452"/>
        <w:gridCol w:w="1332"/>
        <w:gridCol w:w="14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2020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2019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2018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Total hospital days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--</w:t>
            </w: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54394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63507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62641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COVID-19 DOT/1000</w:t>
            </w:r>
          </w:p>
        </w:tc>
        <w:tc>
          <w:tcPr>
            <w:tcW w:w="4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Average DOT/1000 patient days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Total of all below agents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831.9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368.3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281.7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274.7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Vancomycin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190.8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74.9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50.9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Ceftriaxone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184.1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102.7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72.8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67.5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Cefepime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170.2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79.0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62.7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58.0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Azithromycin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97.5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18.4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13.8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Ceftazidime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67.5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21.5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14.2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Meropenem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64.4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28.7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22.4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Levofloxacin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23.1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7.9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9.6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Piperacillin/tazobactam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22.9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30.3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32.2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Linezolid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11.4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4.8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3.1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baseline"/>
                <w:lang w:val="en-US"/>
              </w:rPr>
              <w:t>3.1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t> 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Calibri" w:hAnsi="Calibri" w:eastAsia="Segoe UI" w:cs="Calibri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t> </w:t>
      </w:r>
      <w:r>
        <w:rPr>
          <w:rFonts w:hint="default" w:ascii="Calibri" w:hAnsi="Calibri" w:eastAsia="Segoe UI" w:cs="Calibri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b w:val="0"/>
          <w:bCs w:val="0"/>
          <w:i w:val="0"/>
          <w:iCs w:val="0"/>
          <w:color w:val="auto"/>
          <w:lang w:val="en-US"/>
        </w:rPr>
      </w:pPr>
      <w:r>
        <w:rPr>
          <w:rFonts w:hint="default" w:ascii="Calibri" w:hAnsi="Calibri" w:eastAsia="Segoe UI" w:cs="Calibri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b w:val="0"/>
          <w:bCs w:val="0"/>
          <w:i w:val="0"/>
          <w:iCs w:val="0"/>
          <w:color w:val="auto"/>
          <w:lang w:val="en-US"/>
        </w:rPr>
      </w:pPr>
      <w:r>
        <w:rPr>
          <w:rFonts w:hint="default" w:ascii="Calibri" w:hAnsi="Calibri" w:eastAsia="Segoe UI" w:cs="Calibri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b w:val="0"/>
          <w:bCs w:val="0"/>
          <w:i w:val="0"/>
          <w:iCs w:val="0"/>
          <w:color w:val="auto"/>
          <w:lang w:val="en-US"/>
        </w:rPr>
      </w:pPr>
      <w:r>
        <w:rPr>
          <w:rFonts w:hint="default" w:ascii="Calibri" w:hAnsi="Calibri" w:eastAsia="Segoe UI" w:cs="Calibri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b w:val="0"/>
          <w:bCs w:val="0"/>
          <w:i w:val="0"/>
          <w:iCs w:val="0"/>
          <w:color w:val="auto"/>
          <w:lang w:val="en-US"/>
        </w:rPr>
      </w:pPr>
      <w:r>
        <w:rPr>
          <w:rFonts w:hint="default" w:ascii="Calibri" w:hAnsi="Calibri" w:eastAsia="Segoe UI" w:cs="Calibri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b w:val="0"/>
          <w:bCs w:val="0"/>
          <w:i w:val="0"/>
          <w:iCs w:val="0"/>
          <w:color w:val="auto"/>
          <w:lang w:val="en-US"/>
        </w:rPr>
      </w:pPr>
      <w:r>
        <w:rPr>
          <w:rFonts w:hint="default" w:ascii="Calibri" w:hAnsi="Calibri" w:eastAsia="Segoe UI" w:cs="Calibri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b w:val="0"/>
          <w:bCs w:val="0"/>
          <w:i w:val="0"/>
          <w:iCs w:val="0"/>
          <w:color w:val="auto"/>
          <w:lang w:val="en-US"/>
        </w:rPr>
      </w:pPr>
      <w:r>
        <w:rPr>
          <w:rFonts w:hint="default" w:ascii="Calibri" w:hAnsi="Calibri" w:eastAsia="Segoe UI" w:cs="Calibri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jc w:val="left"/>
        <w:textAlignment w:val="baseline"/>
        <w:rPr>
          <w:b w:val="0"/>
          <w:bCs w:val="0"/>
          <w:i w:val="0"/>
          <w:iCs w:val="0"/>
          <w:color w:val="auto"/>
          <w:lang w:val="en-US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t> 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449FB"/>
    <w:rsid w:val="327449FB"/>
    <w:rsid w:val="422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2021-05-20T18:45:00Z</dcterms:created>
  <dc:creator>catherine li</dc:creator>
  <cp:lastModifiedBy>catherine li</cp:lastModifiedBy>
  <dcterms:modified xsi:type="dcterms:W3CDTF">2021-05-20T18:46:02Z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