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51E3" w14:textId="43F83AF8" w:rsidR="008D69D3" w:rsidRPr="0090586E" w:rsidRDefault="008D69D3" w:rsidP="008D69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90586E">
        <w:rPr>
          <w:rFonts w:ascii="ArialMT" w:eastAsia="Times New Roman" w:hAnsi="ArialMT" w:cs="Times New Roman"/>
          <w:lang w:eastAsia="en-GB"/>
        </w:rPr>
        <w:t xml:space="preserve">Table </w:t>
      </w:r>
      <w:r>
        <w:rPr>
          <w:rFonts w:ascii="ArialMT" w:eastAsia="Times New Roman" w:hAnsi="ArialMT" w:cs="Times New Roman"/>
          <w:lang w:eastAsia="en-GB"/>
        </w:rPr>
        <w:t>S</w:t>
      </w:r>
      <w:r w:rsidRPr="0090586E">
        <w:rPr>
          <w:rFonts w:ascii="ArialMT" w:eastAsia="Times New Roman" w:hAnsi="ArialMT" w:cs="Times New Roman"/>
          <w:lang w:eastAsia="en-GB"/>
        </w:rPr>
        <w:t>1: Cultivars that required allometric correction prior to analysis. All cultivars were</w:t>
      </w:r>
      <w:r>
        <w:rPr>
          <w:rFonts w:ascii="ArialMT" w:eastAsia="Times New Roman" w:hAnsi="ArialMT" w:cs="Times New Roman"/>
          <w:lang w:eastAsia="en-GB"/>
        </w:rPr>
        <w:t xml:space="preserve"> </w:t>
      </w:r>
      <w:r w:rsidRPr="0090586E">
        <w:rPr>
          <w:rFonts w:ascii="ArialMT" w:eastAsia="Times New Roman" w:hAnsi="ArialMT" w:cs="Times New Roman"/>
          <w:lang w:eastAsia="en-GB"/>
        </w:rPr>
        <w:t xml:space="preserve">regressed for allometric effect and 11 demonstrated significant effect of size (presented here) Each of the significantly affected cultivars is presented with variation explained and associated p-values. </w:t>
      </w:r>
    </w:p>
    <w:p w14:paraId="210193FC" w14:textId="004271A0" w:rsidR="00706629" w:rsidRPr="00706629" w:rsidRDefault="00706629" w:rsidP="00706629">
      <w:pPr>
        <w:keepNext/>
        <w:spacing w:after="200"/>
        <w:rPr>
          <w:rFonts w:ascii="Arial" w:hAnsi="Arial" w:cs="Arial"/>
          <w:bCs/>
          <w:sz w:val="22"/>
          <w:szCs w:val="22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227"/>
        <w:gridCol w:w="2567"/>
        <w:gridCol w:w="2897"/>
      </w:tblGrid>
      <w:tr w:rsidR="00706629" w:rsidRPr="00E42C06" w14:paraId="369092C0" w14:textId="77777777" w:rsidTr="00F4422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6E451" w14:textId="77777777" w:rsidR="00706629" w:rsidRPr="00E42C06" w:rsidRDefault="00706629" w:rsidP="00F4422D">
            <w:r w:rsidRPr="00E42C06">
              <w:t>Cultivar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1D2FD" w14:textId="77777777" w:rsidR="00706629" w:rsidRPr="00E42C06" w:rsidRDefault="00706629" w:rsidP="00F4422D">
            <w:r w:rsidRPr="00E42C06">
              <w:t>% of variation explained by size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0C67" w14:textId="77777777" w:rsidR="00706629" w:rsidRPr="00E42C06" w:rsidRDefault="00706629" w:rsidP="00F4422D">
            <w:r w:rsidRPr="00E42C06">
              <w:t>p-value of 10,000 permutations test</w:t>
            </w:r>
          </w:p>
        </w:tc>
      </w:tr>
      <w:tr w:rsidR="00706629" w:rsidRPr="00E42C06" w14:paraId="72F8FB70" w14:textId="77777777" w:rsidTr="00F4422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5AA697" w14:textId="7AE99A26" w:rsidR="00706629" w:rsidRPr="00E42C06" w:rsidRDefault="00706629" w:rsidP="00F4422D">
            <w:r>
              <w:t>‘</w:t>
            </w:r>
            <w:r w:rsidRPr="00E42C06">
              <w:t xml:space="preserve">Adam’s </w:t>
            </w:r>
            <w:proofErr w:type="spellStart"/>
            <w:r w:rsidRPr="00E42C06">
              <w:t>Pearmain</w:t>
            </w:r>
            <w:proofErr w:type="spellEnd"/>
            <w:r>
              <w:t>’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5DCB4" w14:textId="77777777" w:rsidR="00706629" w:rsidRPr="00E42C06" w:rsidRDefault="00706629" w:rsidP="00F4422D">
            <w:r w:rsidRPr="00E42C06">
              <w:t>2.70%</w:t>
            </w:r>
          </w:p>
        </w:tc>
        <w:tc>
          <w:tcPr>
            <w:tcW w:w="2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E0A3CF" w14:textId="77777777" w:rsidR="00706629" w:rsidRPr="00E42C06" w:rsidRDefault="00706629" w:rsidP="00F4422D">
            <w:r w:rsidRPr="00E42C06">
              <w:t>0.0003</w:t>
            </w:r>
          </w:p>
        </w:tc>
      </w:tr>
      <w:tr w:rsidR="00706629" w:rsidRPr="00E42C06" w14:paraId="290914C3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D2DD37" w14:textId="6D889E64" w:rsidR="00706629" w:rsidRPr="00E42C06" w:rsidRDefault="00706629" w:rsidP="00F4422D">
            <w:r>
              <w:t>‘</w:t>
            </w:r>
            <w:proofErr w:type="spellStart"/>
            <w:r w:rsidRPr="00E42C06">
              <w:t>Boiken</w:t>
            </w:r>
            <w:proofErr w:type="spellEnd"/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387D659E" w14:textId="77777777" w:rsidR="00706629" w:rsidRPr="00E42C06" w:rsidRDefault="00706629" w:rsidP="00F4422D">
            <w:r w:rsidRPr="00E42C06">
              <w:t>3.92%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3DB021AF" w14:textId="77777777" w:rsidR="00706629" w:rsidRPr="00E42C06" w:rsidRDefault="00706629" w:rsidP="00F4422D">
            <w:r w:rsidRPr="00E42C06">
              <w:t>0.0076</w:t>
            </w:r>
          </w:p>
        </w:tc>
      </w:tr>
      <w:tr w:rsidR="00706629" w:rsidRPr="00E42C06" w14:paraId="790626A3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6E3CAD" w14:textId="76BCB014" w:rsidR="00706629" w:rsidRPr="00E42C06" w:rsidRDefault="00706629" w:rsidP="00F4422D">
            <w:r>
              <w:t>‘</w:t>
            </w:r>
            <w:proofErr w:type="spellStart"/>
            <w:r w:rsidRPr="00E42C06">
              <w:t>Bovarde</w:t>
            </w:r>
            <w:proofErr w:type="spellEnd"/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0C1AAFC3" w14:textId="77777777" w:rsidR="00706629" w:rsidRPr="00E42C06" w:rsidRDefault="00706629" w:rsidP="00F4422D">
            <w:r w:rsidRPr="00E42C06">
              <w:t>4.07%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76D5896E" w14:textId="77777777" w:rsidR="00706629" w:rsidRPr="00E42C06" w:rsidRDefault="00706629" w:rsidP="00F4422D">
            <w:r w:rsidRPr="00E42C06">
              <w:t>0.0083</w:t>
            </w:r>
          </w:p>
        </w:tc>
      </w:tr>
      <w:tr w:rsidR="00706629" w:rsidRPr="00E42C06" w14:paraId="64133166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0527C8" w14:textId="77DFD057" w:rsidR="00706629" w:rsidRPr="00E42C06" w:rsidRDefault="00706629" w:rsidP="00F4422D">
            <w:r>
              <w:t>‘</w:t>
            </w:r>
            <w:proofErr w:type="spellStart"/>
            <w:r w:rsidRPr="00E42C06">
              <w:t>Catshead</w:t>
            </w:r>
            <w:proofErr w:type="spellEnd"/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6CD42B80" w14:textId="77777777" w:rsidR="00706629" w:rsidRPr="00E42C06" w:rsidRDefault="00706629" w:rsidP="00F4422D">
            <w:r w:rsidRPr="00E42C06">
              <w:t>7.15%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2295B37B" w14:textId="77777777" w:rsidR="00706629" w:rsidRPr="00E42C06" w:rsidRDefault="00706629" w:rsidP="00F4422D">
            <w:r w:rsidRPr="00E42C06">
              <w:t>&lt;0.0001</w:t>
            </w:r>
          </w:p>
        </w:tc>
      </w:tr>
      <w:tr w:rsidR="00706629" w:rsidRPr="00E42C06" w14:paraId="7444F2E8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5B0D57" w14:textId="0B5ED592" w:rsidR="00706629" w:rsidRPr="00E42C06" w:rsidRDefault="00706629" w:rsidP="00F4422D">
            <w:r>
              <w:t>‘Fuji’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731BA309" w14:textId="77777777" w:rsidR="00706629" w:rsidRPr="00E42C06" w:rsidRDefault="00706629" w:rsidP="00F4422D">
            <w:r w:rsidRPr="00E42C06">
              <w:t>3.44%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064A87B6" w14:textId="77777777" w:rsidR="00706629" w:rsidRPr="00E42C06" w:rsidRDefault="00706629" w:rsidP="00F4422D">
            <w:r w:rsidRPr="00E42C06">
              <w:t>0.0245</w:t>
            </w:r>
          </w:p>
        </w:tc>
      </w:tr>
      <w:tr w:rsidR="00706629" w:rsidRPr="00E42C06" w14:paraId="30CC7F7E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7AB6A" w14:textId="5A5650A0" w:rsidR="00706629" w:rsidRPr="00E42C06" w:rsidRDefault="00706629" w:rsidP="00F4422D">
            <w:r>
              <w:t>‘</w:t>
            </w:r>
            <w:r w:rsidRPr="00E42C06">
              <w:t>Kaiser Franz Joseph</w:t>
            </w:r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50E7C22C" w14:textId="77777777" w:rsidR="00706629" w:rsidRPr="00E42C06" w:rsidRDefault="00706629" w:rsidP="00F4422D">
            <w:r w:rsidRPr="00E42C06">
              <w:t>7.95%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6610E275" w14:textId="77777777" w:rsidR="00706629" w:rsidRPr="00E42C06" w:rsidRDefault="00706629" w:rsidP="00F4422D">
            <w:r w:rsidRPr="00E42C06">
              <w:t>&lt;0.0001</w:t>
            </w:r>
          </w:p>
        </w:tc>
      </w:tr>
      <w:tr w:rsidR="00706629" w:rsidRPr="00E42C06" w14:paraId="4AB0900A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43C836" w14:textId="096667E3" w:rsidR="00706629" w:rsidRPr="00E42C06" w:rsidRDefault="00706629" w:rsidP="00F4422D">
            <w:r>
              <w:t>‘</w:t>
            </w:r>
            <w:proofErr w:type="spellStart"/>
            <w:r w:rsidRPr="00E42C06">
              <w:t>Limoncella</w:t>
            </w:r>
            <w:proofErr w:type="spellEnd"/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33648560" w14:textId="77777777" w:rsidR="00706629" w:rsidRPr="00E42C06" w:rsidRDefault="00706629" w:rsidP="00F4422D">
            <w:r w:rsidRPr="00E42C06">
              <w:t>4.72%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325D91D6" w14:textId="77777777" w:rsidR="00706629" w:rsidRPr="00E42C06" w:rsidRDefault="00706629" w:rsidP="00F4422D">
            <w:r w:rsidRPr="00E42C06">
              <w:t>0.001</w:t>
            </w:r>
          </w:p>
        </w:tc>
      </w:tr>
      <w:tr w:rsidR="00706629" w:rsidRPr="00E42C06" w14:paraId="0967CB3A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92AC8B" w14:textId="6BB6BC3F" w:rsidR="00706629" w:rsidRPr="00E42C06" w:rsidRDefault="00706629" w:rsidP="00F4422D">
            <w:r>
              <w:t>‘</w:t>
            </w:r>
            <w:r w:rsidRPr="00E42C06">
              <w:t xml:space="preserve">Present van </w:t>
            </w:r>
            <w:proofErr w:type="spellStart"/>
            <w:r w:rsidRPr="00E42C06">
              <w:t>Engeland</w:t>
            </w:r>
            <w:proofErr w:type="spellEnd"/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7FF23353" w14:textId="77777777" w:rsidR="00706629" w:rsidRPr="00E42C06" w:rsidRDefault="00706629" w:rsidP="00F4422D">
            <w:r w:rsidRPr="00E42C06">
              <w:t>23.25%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09A7E779" w14:textId="77777777" w:rsidR="00706629" w:rsidRPr="00E42C06" w:rsidRDefault="00706629" w:rsidP="00F4422D">
            <w:r w:rsidRPr="00E42C06">
              <w:t>&lt;0.0001</w:t>
            </w:r>
          </w:p>
        </w:tc>
      </w:tr>
      <w:tr w:rsidR="00706629" w:rsidRPr="00E42C06" w14:paraId="74511752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EC215F" w14:textId="0ABCCD86" w:rsidR="00706629" w:rsidRPr="00E42C06" w:rsidRDefault="00706629" w:rsidP="00F4422D">
            <w:r>
              <w:t>‘</w:t>
            </w:r>
            <w:r w:rsidRPr="00E42C06">
              <w:t>Red Fortune</w:t>
            </w:r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16C92749" w14:textId="77777777" w:rsidR="00706629" w:rsidRPr="00E42C06" w:rsidRDefault="00706629" w:rsidP="00F4422D">
            <w:r w:rsidRPr="00E42C06">
              <w:t>4.96%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3DF4D30B" w14:textId="77777777" w:rsidR="00706629" w:rsidRPr="00E42C06" w:rsidRDefault="00706629" w:rsidP="00F4422D">
            <w:r w:rsidRPr="00E42C06">
              <w:t>0.0109</w:t>
            </w:r>
          </w:p>
        </w:tc>
      </w:tr>
      <w:tr w:rsidR="00706629" w:rsidRPr="00E42C06" w14:paraId="252D61EB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F8AC2F" w14:textId="3E1AFB7F" w:rsidR="00706629" w:rsidRPr="00E42C06" w:rsidRDefault="00706629" w:rsidP="00F4422D">
            <w:r>
              <w:t>‘</w:t>
            </w:r>
            <w:proofErr w:type="spellStart"/>
            <w:r w:rsidRPr="00E42C06">
              <w:t>Rheinischer</w:t>
            </w:r>
            <w:proofErr w:type="spellEnd"/>
            <w:r w:rsidRPr="00E42C06">
              <w:t xml:space="preserve"> </w:t>
            </w:r>
            <w:proofErr w:type="spellStart"/>
            <w:r w:rsidRPr="00E42C06">
              <w:t>Krummstiel</w:t>
            </w:r>
            <w:proofErr w:type="spellEnd"/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0FF2699C" w14:textId="77777777" w:rsidR="00706629" w:rsidRPr="00E42C06" w:rsidRDefault="00706629" w:rsidP="00F4422D">
            <w:r w:rsidRPr="00E42C06">
              <w:t>6.00%</w:t>
            </w: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61CA33AD" w14:textId="77777777" w:rsidR="00706629" w:rsidRPr="00E42C06" w:rsidRDefault="00706629" w:rsidP="00F4422D">
            <w:r w:rsidRPr="00E42C06">
              <w:t>0.0002</w:t>
            </w:r>
          </w:p>
        </w:tc>
      </w:tr>
      <w:tr w:rsidR="00706629" w:rsidRPr="00E42C06" w14:paraId="4035B104" w14:textId="77777777" w:rsidTr="00F4422D"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247B1" w14:textId="6E6D9543" w:rsidR="00706629" w:rsidRPr="00E42C06" w:rsidRDefault="00706629" w:rsidP="00F4422D">
            <w:r>
              <w:t>‘</w:t>
            </w:r>
            <w:r w:rsidRPr="00E42C06">
              <w:t>Wheeler’s Russet</w:t>
            </w:r>
            <w:r>
              <w:t>’</w:t>
            </w:r>
          </w:p>
        </w:tc>
        <w:tc>
          <w:tcPr>
            <w:tcW w:w="2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552A8B" w14:textId="77777777" w:rsidR="00706629" w:rsidRPr="00E42C06" w:rsidRDefault="00706629" w:rsidP="00F4422D">
            <w:r w:rsidRPr="00E42C06">
              <w:t>3.05%</w:t>
            </w: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4DD6C9" w14:textId="77777777" w:rsidR="00706629" w:rsidRPr="00E42C06" w:rsidRDefault="00706629" w:rsidP="00F4422D">
            <w:r w:rsidRPr="00E42C06">
              <w:t>0.0411</w:t>
            </w:r>
          </w:p>
        </w:tc>
      </w:tr>
    </w:tbl>
    <w:p w14:paraId="74994A7F" w14:textId="77777777" w:rsidR="00FB4B7D" w:rsidRPr="00706629" w:rsidRDefault="00FB4B7D">
      <w:pPr>
        <w:rPr>
          <w:rFonts w:ascii="Arial" w:hAnsi="Arial" w:cs="Arial"/>
          <w:sz w:val="22"/>
          <w:szCs w:val="22"/>
        </w:rPr>
      </w:pPr>
    </w:p>
    <w:sectPr w:rsidR="00FB4B7D" w:rsidRPr="00706629" w:rsidSect="00AE02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29"/>
    <w:rsid w:val="00706629"/>
    <w:rsid w:val="008D69D3"/>
    <w:rsid w:val="00AE0278"/>
    <w:rsid w:val="00EA2CE8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309F9"/>
  <w15:chartTrackingRefBased/>
  <w15:docId w15:val="{783AC37F-DAA7-DA48-856D-8345E45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0662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Christodoulou</dc:creator>
  <cp:keywords/>
  <dc:description/>
  <cp:lastModifiedBy>Maria Christodoulou</cp:lastModifiedBy>
  <cp:revision>2</cp:revision>
  <dcterms:created xsi:type="dcterms:W3CDTF">2021-01-08T12:59:00Z</dcterms:created>
  <dcterms:modified xsi:type="dcterms:W3CDTF">2021-01-08T12:59:00Z</dcterms:modified>
</cp:coreProperties>
</file>