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5B95F" w14:textId="77777777" w:rsidR="00D424A6" w:rsidRPr="007525A9" w:rsidRDefault="007525A9" w:rsidP="000110A1">
      <w:pPr>
        <w:spacing w:line="480" w:lineRule="auto"/>
        <w:jc w:val="center"/>
        <w:rPr>
          <w:b/>
          <w:bCs/>
          <w:lang w:eastAsia="ko-KR"/>
        </w:rPr>
      </w:pPr>
      <w:r w:rsidRPr="007525A9">
        <w:rPr>
          <w:b/>
          <w:bCs/>
          <w:lang w:eastAsia="ko-KR"/>
        </w:rPr>
        <w:t>Supplementary Materials</w:t>
      </w:r>
    </w:p>
    <w:p w14:paraId="26881BD7" w14:textId="77777777" w:rsidR="00FC64F5" w:rsidRDefault="00FC64F5" w:rsidP="000110A1">
      <w:pPr>
        <w:spacing w:line="480" w:lineRule="auto"/>
        <w:jc w:val="center"/>
        <w:rPr>
          <w:b/>
          <w:bCs/>
          <w:lang w:eastAsia="ko-KR"/>
        </w:rPr>
      </w:pPr>
      <w:r>
        <w:rPr>
          <w:b/>
          <w:bCs/>
          <w:lang w:eastAsia="ko-KR"/>
        </w:rPr>
        <w:t>Supplementary Methods</w:t>
      </w:r>
    </w:p>
    <w:p w14:paraId="1FAEAB79" w14:textId="530310AD" w:rsidR="00FC64F5" w:rsidRDefault="00FC64F5" w:rsidP="000110A1">
      <w:pPr>
        <w:spacing w:line="480" w:lineRule="auto"/>
        <w:rPr>
          <w:b/>
          <w:bCs/>
          <w:lang w:eastAsia="ko-KR"/>
        </w:rPr>
      </w:pPr>
      <w:r>
        <w:rPr>
          <w:b/>
          <w:bCs/>
          <w:lang w:eastAsia="ko-KR"/>
        </w:rPr>
        <w:t>Measurement Invariance Test</w:t>
      </w:r>
    </w:p>
    <w:p w14:paraId="16F92B09" w14:textId="77777777" w:rsidR="000110A1" w:rsidRDefault="000110A1" w:rsidP="000110A1">
      <w:pPr>
        <w:spacing w:line="480" w:lineRule="auto"/>
        <w:ind w:firstLine="720"/>
      </w:pPr>
      <w:r>
        <w:t xml:space="preserve">The most lenient invariance, configural invariance, only assumes the equal measurement model across different groups. It is deemed to be supported when the resultant fit indicators are found to be acceptable, RMSEA and SRMR &lt; .08, CFI ≥ .90 </w:t>
      </w:r>
      <w:r>
        <w:fldChar w:fldCharType="begin"/>
      </w:r>
      <w:r>
        <w:instrText xml:space="preserve"> ADDIN ZOTERO_ITEM CSL_CITATION {"citationID":"FijSByR1","properties":{"formattedCitation":"(Hu &amp; Bentler, 1999)","plainCitation":"(Hu &amp; Bentler, 1999)","noteIndex":0},"citationItems":[{"id":5307,"uris":["http://zotero.org/users/9172361/items/K463R2YV"],"itemData":{"id":5307,"type":"article-journal","container-title":"Structural Equation Modeling: A Multidisciplinary Journal","DOI":"10.1080/10705519909540118","ISSN":"1070-5511","issue":"1","page":"1-55","title":"Cutoff criteria for fit indexes in covarian</w:instrText>
      </w:r>
      <w:r>
        <w:rPr>
          <w:rFonts w:hint="eastAsia"/>
        </w:rPr>
        <w:instrText>ce structure analysis: Conventional criteria versus new alternatives","volume":"6","author":[{"family":"Hu","given":"Li</w:instrText>
      </w:r>
      <w:r>
        <w:rPr>
          <w:rFonts w:hint="eastAsia"/>
        </w:rPr>
        <w:instrText>‐</w:instrText>
      </w:r>
      <w:r>
        <w:rPr>
          <w:rFonts w:hint="eastAsia"/>
        </w:rPr>
        <w:instrText>tze"},{"family":"Bentler","given":"Peter M."}],"issued":{"date-parts":[["1999",1]]}}}],"schema":"https://github.com/citation-style-lang</w:instrText>
      </w:r>
      <w:r>
        <w:instrText xml:space="preserve">uage/schema/raw/master/csl-citation.json"} </w:instrText>
      </w:r>
      <w:r>
        <w:fldChar w:fldCharType="separate"/>
      </w:r>
      <w:r>
        <w:rPr>
          <w:noProof/>
        </w:rPr>
        <w:t>(Hu &amp; Bentler, 1999)</w:t>
      </w:r>
      <w:r>
        <w:fldChar w:fldCharType="end"/>
      </w:r>
      <w:r>
        <w:t xml:space="preserve">. Metric invariance additionally requires the equal factor loadings. To support scalar invariance, the equal intercept assumption should also be satisfied. Finally, the most restrictive invariance, residual invariance, is supported when the equal residuals are assumed. The latter three levels of invariance were tested in terms of changes in model fit indicators. In general, metric invariance is supported when </w:t>
      </w:r>
      <w:r w:rsidRPr="00BF1215">
        <w:rPr>
          <w:rFonts w:hint="eastAsia"/>
        </w:rPr>
        <w:t xml:space="preserve"> </w:t>
      </w:r>
      <w:r w:rsidRPr="00BF1215">
        <w:rPr>
          <w:rFonts w:hint="eastAsia"/>
        </w:rPr>
        <w:t>Δ</w:t>
      </w:r>
      <w:r w:rsidRPr="00BF1215">
        <w:rPr>
          <w:rFonts w:hint="eastAsia"/>
        </w:rPr>
        <w:t xml:space="preserve">RMSEA and </w:t>
      </w:r>
      <w:r w:rsidRPr="00BF1215">
        <w:rPr>
          <w:rFonts w:hint="eastAsia"/>
        </w:rPr>
        <w:t>Δ</w:t>
      </w:r>
      <w:r w:rsidRPr="00BF1215">
        <w:rPr>
          <w:rFonts w:hint="eastAsia"/>
        </w:rPr>
        <w:t xml:space="preserve">SRMR &lt; +.30, and </w:t>
      </w:r>
      <w:r w:rsidRPr="00BF1215">
        <w:rPr>
          <w:rFonts w:hint="eastAsia"/>
        </w:rPr>
        <w:t>Δ</w:t>
      </w:r>
      <w:r w:rsidRPr="00BF1215">
        <w:rPr>
          <w:rFonts w:hint="eastAsia"/>
        </w:rPr>
        <w:t xml:space="preserve">CFI </w:t>
      </w:r>
      <w:r w:rsidRPr="00BF1215">
        <w:rPr>
          <w:rFonts w:hint="eastAsia"/>
        </w:rPr>
        <w:t>≥</w:t>
      </w:r>
      <w:r w:rsidRPr="00BF1215">
        <w:rPr>
          <w:rFonts w:hint="eastAsia"/>
        </w:rPr>
        <w:t xml:space="preserve"> -.01</w:t>
      </w:r>
      <w:r>
        <w:t xml:space="preserve">, and scalar and residual invariance are supported when </w:t>
      </w:r>
      <w:r w:rsidRPr="00BF1215">
        <w:rPr>
          <w:rFonts w:hint="eastAsia"/>
        </w:rPr>
        <w:t xml:space="preserve"> </w:t>
      </w:r>
      <w:r w:rsidRPr="00BF1215">
        <w:rPr>
          <w:rFonts w:hint="eastAsia"/>
        </w:rPr>
        <w:t>Δ</w:t>
      </w:r>
      <w:r w:rsidRPr="00BF1215">
        <w:rPr>
          <w:rFonts w:hint="eastAsia"/>
        </w:rPr>
        <w:t xml:space="preserve">RMSEA and </w:t>
      </w:r>
      <w:r w:rsidRPr="00BF1215">
        <w:rPr>
          <w:rFonts w:hint="eastAsia"/>
        </w:rPr>
        <w:t>Δ</w:t>
      </w:r>
      <w:r w:rsidRPr="00BF1215">
        <w:rPr>
          <w:rFonts w:hint="eastAsia"/>
        </w:rPr>
        <w:t>SRMR &lt; +.</w:t>
      </w:r>
      <w:r>
        <w:t>15</w:t>
      </w:r>
      <w:r w:rsidRPr="00BF1215">
        <w:rPr>
          <w:rFonts w:hint="eastAsia"/>
        </w:rPr>
        <w:t xml:space="preserve">, and </w:t>
      </w:r>
      <w:r w:rsidRPr="00BF1215">
        <w:rPr>
          <w:rFonts w:hint="eastAsia"/>
        </w:rPr>
        <w:t>Δ</w:t>
      </w:r>
      <w:r w:rsidRPr="00BF1215">
        <w:rPr>
          <w:rFonts w:hint="eastAsia"/>
        </w:rPr>
        <w:t xml:space="preserve">CFI </w:t>
      </w:r>
      <w:r w:rsidRPr="00BF1215">
        <w:rPr>
          <w:rFonts w:hint="eastAsia"/>
        </w:rPr>
        <w:t>≥</w:t>
      </w:r>
      <w:r w:rsidRPr="00BF1215">
        <w:rPr>
          <w:rFonts w:hint="eastAsia"/>
        </w:rPr>
        <w:t xml:space="preserve"> -.01</w:t>
      </w:r>
      <w:r>
        <w:t xml:space="preserve"> after adding the additionally required constraint for the responsive level of the invariance </w:t>
      </w:r>
      <w:r>
        <w:fldChar w:fldCharType="begin"/>
      </w:r>
      <w:r>
        <w:instrText xml:space="preserve"> ADDIN ZOTERO_ITEM CSL_CITATION {"citationID":"PGbQu2zL","properties":{"formattedCitation":"(Putnick &amp; Bornstein, 2016)","plainCitation":"(Putnick &amp; Bornstein, 2016)","noteIndex":0},"citationItems":[{"id":5458,"uris":["http://zotero.org/users/9172361/items/DF44X4C9"],"itemData":{"id":5458,"type":"article-journal","container-title":"Developmental Review","DOI":"10.1016/j.dr.2016.06.004","ISSN":"02732297","page":"71-90","title":"Measurement invariance conventions and reporting: The state of the art and future directions for psychological research","volume":"41","author":[{"family":"Putnick","given":"Diane L."},{"family":"Bornstein","given":"Marc H."}],"issued":{"date-parts":[["2016",9]]}}}],"schema":"https://github.com/citation-style-language/schema/raw/master/csl-citation.json"} </w:instrText>
      </w:r>
      <w:r>
        <w:fldChar w:fldCharType="separate"/>
      </w:r>
      <w:r>
        <w:rPr>
          <w:noProof/>
        </w:rPr>
        <w:t>(Putnick &amp; Bornstein, 2016)</w:t>
      </w:r>
      <w:r>
        <w:fldChar w:fldCharType="end"/>
      </w:r>
      <w:r>
        <w:t xml:space="preserve">. Because scalar invariance is minimally required for cross-group comparisons, I focused on whether this level of invariance was supported in the present study. Because dichotomous variables were used, I employed the robust unweighted least squares (USLMV) estimator to minimize potential bias </w:t>
      </w:r>
      <w:r>
        <w:fldChar w:fldCharType="begin"/>
      </w:r>
      <w:r>
        <w:instrText xml:space="preserve"> ADDIN ZOTERO_ITEM CSL_CITATION {"citationID":"mlBpW1ua","properties":{"formattedCitation":"(Savalei et al., 2015)","plainCitation":"(Savalei et al., 2015)","noteIndex":0},"citationItems":[{"id":5929,"uris":["http://zotero.org/users/9172361/items/2D3ZCWFD"],"itemData":{"id":5929,"type":"article-journal","container-title":"Frontiers in Psychology","DOI":"10.3389/fpsyg.2014.01515","ISSN":"1664-1078","journalAbbreviation":"Front. Psychol.","source":"DOI.org (Crossref)","title":"CFA with binary variables in small samples: a comparison of two methods","title-short":"CFA with binary variables in small samples","URL":"http://journal.frontiersin.org/article/10.3389/fpsyg.2014.01515/abstract","volume":"5","author":[{"family":"Savalei","given":"Victoria"},{"family":"Bonett","given":"Douglas G."},{"family":"Bentler","given":"Peter M."}],"accessed":{"date-parts":[["2022",12,17]]},"issued":{"date-parts":[["2015",1,7]]}}}],"schema":"https://github.com/citation-style-language/schema/raw/master/csl-citation.json"} </w:instrText>
      </w:r>
      <w:r>
        <w:fldChar w:fldCharType="separate"/>
      </w:r>
      <w:r>
        <w:rPr>
          <w:noProof/>
        </w:rPr>
        <w:t>(Savalei et al., 2015)</w:t>
      </w:r>
      <w:r>
        <w:fldChar w:fldCharType="end"/>
      </w:r>
      <w:r>
        <w:t>.</w:t>
      </w:r>
    </w:p>
    <w:p w14:paraId="73659FB4" w14:textId="31F23C1F" w:rsidR="00FC64F5" w:rsidRDefault="00FC64F5" w:rsidP="000110A1">
      <w:pPr>
        <w:spacing w:line="480" w:lineRule="auto"/>
        <w:rPr>
          <w:b/>
          <w:bCs/>
          <w:lang w:eastAsia="ko-KR"/>
        </w:rPr>
      </w:pPr>
      <w:r>
        <w:rPr>
          <w:b/>
          <w:bCs/>
          <w:lang w:eastAsia="ko-KR"/>
        </w:rPr>
        <w:t>Differential Item Functioning Test</w:t>
      </w:r>
    </w:p>
    <w:p w14:paraId="562E2AE2" w14:textId="77777777" w:rsidR="00C76F2F" w:rsidRDefault="00C76F2F" w:rsidP="00B1185A">
      <w:pPr>
        <w:spacing w:line="480" w:lineRule="auto"/>
        <w:ind w:firstLine="720"/>
      </w:pPr>
      <w:r>
        <w:t xml:space="preserve">I examined whether each item reported a significant result from the </w:t>
      </w:r>
      <w:r w:rsidRPr="00983978">
        <w:t>χ</w:t>
      </w:r>
      <w:r w:rsidRPr="00983978">
        <w:rPr>
          <w:vertAlign w:val="superscript"/>
        </w:rPr>
        <w:t>2</w:t>
      </w:r>
      <w:r>
        <w:t xml:space="preserve"> test. For each item, these three models were compared via </w:t>
      </w:r>
      <w:r w:rsidRPr="00983978">
        <w:t>χ</w:t>
      </w:r>
      <w:r w:rsidRPr="00983978">
        <w:rPr>
          <w:vertAlign w:val="superscript"/>
        </w:rPr>
        <w:t>2</w:t>
      </w:r>
      <w:r>
        <w:t xml:space="preserve">. </w:t>
      </w:r>
    </w:p>
    <w:p w14:paraId="442FF2E6" w14:textId="77777777" w:rsidR="00C76F2F" w:rsidRDefault="00C76F2F" w:rsidP="00B1185A">
      <w:pPr>
        <w:spacing w:line="480" w:lineRule="auto"/>
      </w:pPr>
      <w:r>
        <w:t xml:space="preserve">Model 1: logit Pr = </w:t>
      </w:r>
      <w:r w:rsidRPr="00D21F06">
        <w:t>α</w:t>
      </w:r>
      <w:r>
        <w:t xml:space="preserve"> + </w:t>
      </w:r>
      <w:r w:rsidRPr="00D21F06">
        <w:t>β</w:t>
      </w:r>
      <w:r w:rsidRPr="00D21F06">
        <w:rPr>
          <w:vertAlign w:val="subscript"/>
        </w:rPr>
        <w:t>1</w:t>
      </w:r>
      <w:r>
        <w:t xml:space="preserve"> x ability (without any DIF)</w:t>
      </w:r>
    </w:p>
    <w:p w14:paraId="7E863060" w14:textId="77777777" w:rsidR="00C76F2F" w:rsidRDefault="00C76F2F" w:rsidP="00B1185A">
      <w:pPr>
        <w:spacing w:line="480" w:lineRule="auto"/>
      </w:pPr>
      <w:r>
        <w:t xml:space="preserve">Model 2: logit Pr = </w:t>
      </w:r>
      <w:r w:rsidRPr="00D21F06">
        <w:t>α</w:t>
      </w:r>
      <w:r>
        <w:t xml:space="preserve"> + </w:t>
      </w:r>
      <w:r w:rsidRPr="00D21F06">
        <w:t>β</w:t>
      </w:r>
      <w:r w:rsidRPr="00D21F06">
        <w:rPr>
          <w:vertAlign w:val="subscript"/>
        </w:rPr>
        <w:t>1</w:t>
      </w:r>
      <w:r>
        <w:t xml:space="preserve"> x ability +</w:t>
      </w:r>
      <w:r w:rsidRPr="00D21F06">
        <w:t xml:space="preserve"> β</w:t>
      </w:r>
      <w:r>
        <w:rPr>
          <w:vertAlign w:val="subscript"/>
        </w:rPr>
        <w:t xml:space="preserve">2 </w:t>
      </w:r>
      <w:r>
        <w:t>x group (with a uniform DIF)</w:t>
      </w:r>
    </w:p>
    <w:p w14:paraId="7CFAD65F" w14:textId="77777777" w:rsidR="00C76F2F" w:rsidRDefault="00C76F2F" w:rsidP="00B1185A">
      <w:pPr>
        <w:spacing w:line="480" w:lineRule="auto"/>
      </w:pPr>
      <w:r>
        <w:lastRenderedPageBreak/>
        <w:t xml:space="preserve">Model 3: logit Pr = </w:t>
      </w:r>
      <w:r w:rsidRPr="00D21F06">
        <w:t>α</w:t>
      </w:r>
      <w:r>
        <w:t xml:space="preserve"> + </w:t>
      </w:r>
      <w:r w:rsidRPr="00D21F06">
        <w:t>β</w:t>
      </w:r>
      <w:r w:rsidRPr="00D21F06">
        <w:rPr>
          <w:vertAlign w:val="subscript"/>
        </w:rPr>
        <w:t>1</w:t>
      </w:r>
      <w:r>
        <w:t xml:space="preserve"> x ability + </w:t>
      </w:r>
      <w:r w:rsidRPr="00D21F06">
        <w:t>β</w:t>
      </w:r>
      <w:r>
        <w:rPr>
          <w:vertAlign w:val="subscript"/>
        </w:rPr>
        <w:t>2</w:t>
      </w:r>
      <w:r>
        <w:t xml:space="preserve"> x group + </w:t>
      </w:r>
      <w:r w:rsidRPr="00D21F06">
        <w:t>β</w:t>
      </w:r>
      <w:r>
        <w:rPr>
          <w:vertAlign w:val="subscript"/>
        </w:rPr>
        <w:t>3</w:t>
      </w:r>
      <w:r>
        <w:t xml:space="preserve"> x group x ability (with a non-uniform DIF)</w:t>
      </w:r>
    </w:p>
    <w:p w14:paraId="3DFEF253" w14:textId="4B6D0A51" w:rsidR="00C76F2F" w:rsidRDefault="00C76F2F" w:rsidP="00B1185A">
      <w:pPr>
        <w:spacing w:line="480" w:lineRule="auto"/>
        <w:ind w:firstLine="720"/>
      </w:pPr>
      <w:r>
        <w:t xml:space="preserve">where Pr is a cumulative probability that one’s response to the tested item would be 1 (versus 0) given their ability, i.e., the postconventional reasoning, and group, i.e., gender, political or religious affiliation. The comparison of models 1 versus 3, models 1 versus 2, and models 2 verses 3 are associated with the total DIF, uniform DIF, and non-uniform DIF, respectively. Whether the </w:t>
      </w:r>
      <w:r w:rsidRPr="00CA3230">
        <w:rPr>
          <w:i/>
          <w:iCs/>
        </w:rPr>
        <w:t>p</w:t>
      </w:r>
      <w:r>
        <w:t xml:space="preserve">-values resulting from the three </w:t>
      </w:r>
      <w:r w:rsidRPr="00983978">
        <w:t>χ</w:t>
      </w:r>
      <w:r w:rsidRPr="00983978">
        <w:rPr>
          <w:vertAlign w:val="superscript"/>
        </w:rPr>
        <w:t>2</w:t>
      </w:r>
      <w:r>
        <w:t xml:space="preserve"> tests were smaller than .01 was examined following </w:t>
      </w:r>
      <w:r w:rsidRPr="001B5C9D">
        <w:rPr>
          <w:i/>
          <w:iCs/>
        </w:rPr>
        <w:t>lordif</w:t>
      </w:r>
      <w:r>
        <w:t xml:space="preserve"> guidelines </w:t>
      </w:r>
      <w:r>
        <w:fldChar w:fldCharType="begin"/>
      </w:r>
      <w:r w:rsidR="00717035">
        <w:instrText xml:space="preserve"> ADDIN ZOTERO_ITEM CSL_CITATION {"citationID":"SsGHrICx","properties":{"formattedCitation":"(Choi et al., 2011)","plainCitation":"(Choi et al., 2011)","noteIndex":0},"citationItems":[{"id":5460,"uris":["http://zotero.org/users/9172361/items/FYCXCW83"],"itemData":{"id":5460,"type":"article-journal","abstract":"Logistic regression provides a flexible framework for detecting various types of differential item functioning (DIF). Previous efforts extended the framework by using item response theory (IRT) based trait scores, and by employing an iterative process using group-specific item parameters to account for DIF in the trait scores, analogous to purification approaches used in other DIF detection frameworks. The current investigation advances the technique by developing a computational platform integrating both statistical and IRT procedures into a single program. Furthermore, a Monte Carlo simulation approach was incorporated to derive empirical criteria for various DIF statistics and effect size measures. For purposes of illustration, the procedure was applied to data from a questionnaire of anxiety symptoms for detecting DIF associated with age from the Patient-Reported Outcomes Measurement Information System.","container-title":"Journal of statistical software","DOI":"10.18637/jss.v039.i08","ISSN":"1548-7660","issue":"8","note":"PMID: 21572908","page":"1-30","title":"lordif: An R Package for Detecting Differential Item Functioning Using Iterative Hybrid Ordinal Logistic Regression/Item Response Theory and Monte Carlo Simulations.","volume":"39","author":[{"family":"Choi","given":"Seung W"},{"family":"Gibbons","given":"Laura E"},{"family":"Crane","given":"Paul K"}],"issued":{"date-parts":[["2011",3,1]]}}}],"schema":"https://github.com/citation-style-language/schema/raw/master/csl-citation.json"} </w:instrText>
      </w:r>
      <w:r>
        <w:fldChar w:fldCharType="separate"/>
      </w:r>
      <w:r w:rsidR="00717035">
        <w:rPr>
          <w:noProof/>
        </w:rPr>
        <w:t>(Choi et al., 2011)</w:t>
      </w:r>
      <w:r>
        <w:fldChar w:fldCharType="end"/>
      </w:r>
      <w:r>
        <w:t xml:space="preserve">. In addition to the </w:t>
      </w:r>
      <w:r w:rsidRPr="00400FA2">
        <w:rPr>
          <w:i/>
          <w:iCs/>
        </w:rPr>
        <w:t>p</w:t>
      </w:r>
      <w:r>
        <w:t xml:space="preserve">-values, </w:t>
      </w:r>
      <w:r w:rsidRPr="00F07866">
        <w:rPr>
          <w:i/>
          <w:iCs/>
        </w:rPr>
        <w:t>R</w:t>
      </w:r>
      <w:r w:rsidRPr="00F07866">
        <w:rPr>
          <w:i/>
          <w:iCs/>
          <w:vertAlign w:val="superscript"/>
        </w:rPr>
        <w:t>2</w:t>
      </w:r>
      <w:r>
        <w:rPr>
          <w:i/>
          <w:iCs/>
          <w:vertAlign w:val="superscript"/>
        </w:rPr>
        <w:t xml:space="preserve"> </w:t>
      </w:r>
      <w:r>
        <w:t xml:space="preserve">values were also investigated. Because small </w:t>
      </w:r>
      <w:r w:rsidRPr="00400FA2">
        <w:rPr>
          <w:i/>
          <w:iCs/>
        </w:rPr>
        <w:t>p</w:t>
      </w:r>
      <w:r>
        <w:t xml:space="preserve">-values per se do not necessarily confirm presence of practically significant effects, I also examined whether </w:t>
      </w:r>
      <w:r w:rsidRPr="00F07866">
        <w:rPr>
          <w:i/>
          <w:iCs/>
        </w:rPr>
        <w:t>R</w:t>
      </w:r>
      <w:r w:rsidRPr="00F07866">
        <w:rPr>
          <w:i/>
          <w:iCs/>
          <w:vertAlign w:val="superscript"/>
        </w:rPr>
        <w:t>2</w:t>
      </w:r>
      <w:r>
        <w:t xml:space="preserve"> values were .02 or higher. Finally, whether the change in the regression coefficient, </w:t>
      </w:r>
      <w:r w:rsidRPr="00860B83">
        <w:t>Δ</w:t>
      </w:r>
      <w:r w:rsidRPr="00D21F06">
        <w:t>β</w:t>
      </w:r>
      <w:r w:rsidRPr="00D21F06">
        <w:rPr>
          <w:vertAlign w:val="subscript"/>
        </w:rPr>
        <w:t>1</w:t>
      </w:r>
      <w:r>
        <w:t xml:space="preserve">, was .10 or higher was investigated as well for effect size check. </w:t>
      </w:r>
    </w:p>
    <w:p w14:paraId="34F92C88" w14:textId="78A31EB5" w:rsidR="00C76F2F" w:rsidRDefault="00C76F2F" w:rsidP="00B1185A">
      <w:pPr>
        <w:spacing w:line="480" w:lineRule="auto"/>
        <w:ind w:firstLine="720"/>
        <w:rPr>
          <w:b/>
          <w:bCs/>
          <w:lang w:eastAsia="ko-KR"/>
        </w:rPr>
      </w:pPr>
      <w:r>
        <w:t xml:space="preserve">These parameters for tests were generated through Monte Carlo simulations implemented in </w:t>
      </w:r>
      <w:r w:rsidRPr="007641D1">
        <w:rPr>
          <w:i/>
          <w:iCs/>
        </w:rPr>
        <w:t>lordif</w:t>
      </w:r>
      <w:r>
        <w:t>. For each simulation, 1,000 replications were performed. To improve the speed of the simulation process, I employed an R routine for t. When all the above mentioned three conditions were satisfied, I assumed that there was a significant DIF across groups in the tested item, and thus, the item significantly favored a specific group in a biased manner.</w:t>
      </w:r>
    </w:p>
    <w:p w14:paraId="4C252C1C" w14:textId="59D7C2B3" w:rsidR="00A1211E" w:rsidRDefault="00A1211E" w:rsidP="00A1211E">
      <w:pPr>
        <w:spacing w:line="480" w:lineRule="auto"/>
        <w:jc w:val="center"/>
        <w:rPr>
          <w:b/>
          <w:bCs/>
          <w:lang w:eastAsia="ko-KR"/>
        </w:rPr>
      </w:pPr>
      <w:r>
        <w:rPr>
          <w:b/>
          <w:bCs/>
          <w:lang w:eastAsia="ko-KR"/>
        </w:rPr>
        <w:t>Supp</w:t>
      </w:r>
      <w:r>
        <w:rPr>
          <w:b/>
          <w:bCs/>
          <w:lang w:eastAsia="ko-KR"/>
        </w:rPr>
        <w:t>lementary References</w:t>
      </w:r>
    </w:p>
    <w:p w14:paraId="4C10F5C8" w14:textId="77777777" w:rsidR="00717035" w:rsidRPr="00717035" w:rsidRDefault="00717035" w:rsidP="00717035">
      <w:pPr>
        <w:pStyle w:val="Bibliography"/>
        <w:rPr>
          <w:rFonts w:ascii="Calibri" w:cs="Calibri"/>
        </w:rPr>
      </w:pPr>
      <w:r>
        <w:rPr>
          <w:rFonts w:ascii="Calibri" w:cs="Calibri"/>
        </w:rPr>
        <w:fldChar w:fldCharType="begin"/>
      </w:r>
      <w:r>
        <w:rPr>
          <w:rFonts w:ascii="Calibri" w:cs="Calibri"/>
        </w:rPr>
        <w:instrText xml:space="preserve"> ADDIN ZOTERO_BIBL {"uncited":[],"omitted":[],"custom":[]} CSL_BIBLIOGRAPHY </w:instrText>
      </w:r>
      <w:r>
        <w:rPr>
          <w:rFonts w:ascii="Calibri" w:cs="Calibri"/>
        </w:rPr>
        <w:fldChar w:fldCharType="separate"/>
      </w:r>
      <w:r w:rsidRPr="00717035">
        <w:rPr>
          <w:rFonts w:ascii="Calibri" w:cs="Calibri"/>
        </w:rPr>
        <w:t xml:space="preserve">Choi, S. W., Gibbons, L. E., &amp; Crane, P. K. (2011). lordif: An R Package for Detecting Differential Item Functioning Using Iterative Hybrid Ordinal Logistic Regression/Item Response Theory and Monte Carlo Simulations. </w:t>
      </w:r>
      <w:r w:rsidRPr="00717035">
        <w:rPr>
          <w:rFonts w:ascii="Calibri" w:cs="Calibri"/>
          <w:i/>
          <w:iCs/>
        </w:rPr>
        <w:t>Journal of Statistical Software</w:t>
      </w:r>
      <w:r w:rsidRPr="00717035">
        <w:rPr>
          <w:rFonts w:ascii="Calibri" w:cs="Calibri"/>
        </w:rPr>
        <w:t xml:space="preserve">, </w:t>
      </w:r>
      <w:r w:rsidRPr="00717035">
        <w:rPr>
          <w:rFonts w:ascii="Calibri" w:cs="Calibri"/>
          <w:i/>
          <w:iCs/>
        </w:rPr>
        <w:t>39</w:t>
      </w:r>
      <w:r w:rsidRPr="00717035">
        <w:rPr>
          <w:rFonts w:ascii="Calibri" w:cs="Calibri"/>
        </w:rPr>
        <w:t>(8), 1–30. https://doi.org/10.18637/jss.v039.i08</w:t>
      </w:r>
    </w:p>
    <w:p w14:paraId="41B1DA04" w14:textId="77777777" w:rsidR="00717035" w:rsidRPr="00717035" w:rsidRDefault="00717035" w:rsidP="00717035">
      <w:pPr>
        <w:pStyle w:val="Bibliography"/>
        <w:rPr>
          <w:rFonts w:ascii="Calibri" w:cs="Calibri"/>
        </w:rPr>
      </w:pPr>
      <w:r w:rsidRPr="00717035">
        <w:rPr>
          <w:rFonts w:ascii="Calibri" w:cs="Calibri"/>
        </w:rPr>
        <w:lastRenderedPageBreak/>
        <w:t xml:space="preserve">Hu, L., &amp; Bentler, P. M. (1999). Cutoff criteria for fit indexes in covariance structure analysis: Conventional criteria versus new alternatives. </w:t>
      </w:r>
      <w:r w:rsidRPr="00717035">
        <w:rPr>
          <w:rFonts w:ascii="Calibri" w:cs="Calibri"/>
          <w:i/>
          <w:iCs/>
        </w:rPr>
        <w:t>Structural Equation Modeling: A Multidisciplinary Journal</w:t>
      </w:r>
      <w:r w:rsidRPr="00717035">
        <w:rPr>
          <w:rFonts w:ascii="Calibri" w:cs="Calibri"/>
        </w:rPr>
        <w:t xml:space="preserve">, </w:t>
      </w:r>
      <w:r w:rsidRPr="00717035">
        <w:rPr>
          <w:rFonts w:ascii="Calibri" w:cs="Calibri"/>
          <w:i/>
          <w:iCs/>
        </w:rPr>
        <w:t>6</w:t>
      </w:r>
      <w:r w:rsidRPr="00717035">
        <w:rPr>
          <w:rFonts w:ascii="Calibri" w:cs="Calibri"/>
        </w:rPr>
        <w:t>(1), 1–55. https://doi.org/10.1080/10705519909540118</w:t>
      </w:r>
    </w:p>
    <w:p w14:paraId="5F05958E" w14:textId="77777777" w:rsidR="00717035" w:rsidRPr="00717035" w:rsidRDefault="00717035" w:rsidP="00717035">
      <w:pPr>
        <w:pStyle w:val="Bibliography"/>
        <w:rPr>
          <w:rFonts w:ascii="Calibri" w:cs="Calibri"/>
        </w:rPr>
      </w:pPr>
      <w:r w:rsidRPr="00717035">
        <w:rPr>
          <w:rFonts w:ascii="Calibri" w:cs="Calibri"/>
        </w:rPr>
        <w:t xml:space="preserve">Putnick, D. L., &amp; Bornstein, M. H. (2016). Measurement invariance conventions and reporting: The state of the art and future directions for psychological research. </w:t>
      </w:r>
      <w:r w:rsidRPr="00717035">
        <w:rPr>
          <w:rFonts w:ascii="Calibri" w:cs="Calibri"/>
          <w:i/>
          <w:iCs/>
        </w:rPr>
        <w:t>Developmental Review</w:t>
      </w:r>
      <w:r w:rsidRPr="00717035">
        <w:rPr>
          <w:rFonts w:ascii="Calibri" w:cs="Calibri"/>
        </w:rPr>
        <w:t xml:space="preserve">, </w:t>
      </w:r>
      <w:r w:rsidRPr="00717035">
        <w:rPr>
          <w:rFonts w:ascii="Calibri" w:cs="Calibri"/>
          <w:i/>
          <w:iCs/>
        </w:rPr>
        <w:t>41</w:t>
      </w:r>
      <w:r w:rsidRPr="00717035">
        <w:rPr>
          <w:rFonts w:ascii="Calibri" w:cs="Calibri"/>
        </w:rPr>
        <w:t>, 71–90. https://doi.org/10.1016/j.dr.2016.06.004</w:t>
      </w:r>
    </w:p>
    <w:p w14:paraId="74475B13" w14:textId="77777777" w:rsidR="00717035" w:rsidRPr="00717035" w:rsidRDefault="00717035" w:rsidP="00717035">
      <w:pPr>
        <w:pStyle w:val="Bibliography"/>
        <w:rPr>
          <w:rFonts w:ascii="Calibri" w:cs="Calibri"/>
        </w:rPr>
      </w:pPr>
      <w:r w:rsidRPr="00717035">
        <w:rPr>
          <w:rFonts w:ascii="Calibri" w:cs="Calibri"/>
        </w:rPr>
        <w:t xml:space="preserve">Savalei, V., Bonett, D. G., &amp; Bentler, P. M. (2015). CFA with binary variables in small samples: A comparison of two methods. </w:t>
      </w:r>
      <w:r w:rsidRPr="00717035">
        <w:rPr>
          <w:rFonts w:ascii="Calibri" w:cs="Calibri"/>
          <w:i/>
          <w:iCs/>
        </w:rPr>
        <w:t>Frontiers in Psychology</w:t>
      </w:r>
      <w:r w:rsidRPr="00717035">
        <w:rPr>
          <w:rFonts w:ascii="Calibri" w:cs="Calibri"/>
        </w:rPr>
        <w:t xml:space="preserve">, </w:t>
      </w:r>
      <w:r w:rsidRPr="00717035">
        <w:rPr>
          <w:rFonts w:ascii="Calibri" w:cs="Calibri"/>
          <w:i/>
          <w:iCs/>
        </w:rPr>
        <w:t>5</w:t>
      </w:r>
      <w:r w:rsidRPr="00717035">
        <w:rPr>
          <w:rFonts w:ascii="Calibri" w:cs="Calibri"/>
        </w:rPr>
        <w:t>. https://doi.org/10.3389/fpsyg.2014.01515</w:t>
      </w:r>
    </w:p>
    <w:p w14:paraId="68D2EB5C" w14:textId="26A34390" w:rsidR="007F290B" w:rsidRDefault="00717035" w:rsidP="00717035">
      <w:pPr>
        <w:spacing w:line="480" w:lineRule="auto"/>
        <w:rPr>
          <w:b/>
          <w:bCs/>
          <w:lang w:eastAsia="ko-KR"/>
        </w:rPr>
      </w:pPr>
      <w:r>
        <w:rPr>
          <w:rFonts w:ascii="Calibri" w:cs="Calibri"/>
        </w:rPr>
        <w:fldChar w:fldCharType="end"/>
      </w:r>
      <w:r w:rsidR="005C5A6A">
        <w:rPr>
          <w:rFonts w:ascii="Calibri" w:cs="Calibri"/>
        </w:rPr>
        <w:t xml:space="preserve"> </w:t>
      </w:r>
    </w:p>
    <w:p w14:paraId="0543123A" w14:textId="25D14864" w:rsidR="007F290B" w:rsidRPr="007B7C0A" w:rsidRDefault="007F290B" w:rsidP="007F290B">
      <w:pPr>
        <w:spacing w:line="480" w:lineRule="auto"/>
        <w:rPr>
          <w:lang w:eastAsia="ko-KR"/>
        </w:rPr>
        <w:sectPr w:rsidR="007F290B" w:rsidRPr="007B7C0A" w:rsidSect="00D424A6">
          <w:pgSz w:w="12240" w:h="15840"/>
          <w:pgMar w:top="1440" w:right="1440" w:bottom="1440" w:left="1440" w:header="720" w:footer="720" w:gutter="0"/>
          <w:cols w:space="720"/>
          <w:docGrid w:linePitch="360"/>
        </w:sectPr>
      </w:pPr>
    </w:p>
    <w:p w14:paraId="394A866B" w14:textId="15E0850D" w:rsidR="00F356CF" w:rsidRDefault="00F356CF" w:rsidP="00F356CF">
      <w:pPr>
        <w:spacing w:line="480" w:lineRule="auto"/>
        <w:jc w:val="center"/>
        <w:rPr>
          <w:b/>
          <w:bCs/>
        </w:rPr>
      </w:pPr>
      <w:r>
        <w:rPr>
          <w:b/>
          <w:bCs/>
        </w:rPr>
        <w:lastRenderedPageBreak/>
        <w:t>Supplementary Figures</w:t>
      </w:r>
    </w:p>
    <w:p w14:paraId="23A132A5" w14:textId="7D6C2814" w:rsidR="00B75E7E" w:rsidRPr="00D424A6" w:rsidRDefault="00D424A6" w:rsidP="000110A1">
      <w:pPr>
        <w:spacing w:line="480" w:lineRule="auto"/>
        <w:rPr>
          <w:b/>
          <w:bCs/>
        </w:rPr>
      </w:pPr>
      <w:r w:rsidRPr="00D424A6">
        <w:rPr>
          <w:b/>
          <w:bCs/>
        </w:rPr>
        <w:t>Figure S1</w:t>
      </w:r>
    </w:p>
    <w:p w14:paraId="7BF87F8B" w14:textId="1E654903" w:rsidR="00D424A6" w:rsidRPr="00D424A6" w:rsidRDefault="00D424A6" w:rsidP="000110A1">
      <w:pPr>
        <w:spacing w:line="480" w:lineRule="auto"/>
        <w:rPr>
          <w:i/>
          <w:iCs/>
        </w:rPr>
      </w:pPr>
      <w:r w:rsidRPr="00D424A6">
        <w:rPr>
          <w:i/>
          <w:iCs/>
        </w:rPr>
        <w:t>Differential Item Functioning Test Results for Heinz Dilemma (Dilemma 1) by Gender</w:t>
      </w:r>
    </w:p>
    <w:p w14:paraId="2EAECA70" w14:textId="5022F08C" w:rsidR="00D424A6" w:rsidRDefault="00D424A6" w:rsidP="000110A1">
      <w:pPr>
        <w:spacing w:line="480" w:lineRule="auto"/>
        <w:jc w:val="center"/>
      </w:pPr>
      <w:r>
        <w:rPr>
          <w:noProof/>
        </w:rPr>
        <w:drawing>
          <wp:inline distT="0" distB="0" distL="0" distR="0" wp14:anchorId="50A36BFE" wp14:editId="1DC03D18">
            <wp:extent cx="475488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6AF4F89F" w14:textId="77777777" w:rsidR="009E706E" w:rsidRDefault="00D424A6" w:rsidP="000110A1">
      <w:pPr>
        <w:spacing w:line="480" w:lineRule="auto"/>
        <w:sectPr w:rsidR="009E706E"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52F2E2AC" w14:textId="7FD8F0C1" w:rsidR="009E706E" w:rsidRPr="00D424A6" w:rsidRDefault="009E706E" w:rsidP="000110A1">
      <w:pPr>
        <w:spacing w:line="480" w:lineRule="auto"/>
        <w:rPr>
          <w:b/>
          <w:bCs/>
        </w:rPr>
      </w:pPr>
      <w:r w:rsidRPr="00D424A6">
        <w:rPr>
          <w:b/>
          <w:bCs/>
        </w:rPr>
        <w:lastRenderedPageBreak/>
        <w:t>Figure S</w:t>
      </w:r>
      <w:r>
        <w:rPr>
          <w:b/>
          <w:bCs/>
        </w:rPr>
        <w:t>2</w:t>
      </w:r>
    </w:p>
    <w:p w14:paraId="4AEEC483" w14:textId="292478BA" w:rsidR="009E706E" w:rsidRPr="00D424A6" w:rsidRDefault="009E706E" w:rsidP="000110A1">
      <w:pPr>
        <w:spacing w:line="480" w:lineRule="auto"/>
        <w:rPr>
          <w:i/>
          <w:iCs/>
        </w:rPr>
      </w:pPr>
      <w:r w:rsidRPr="00D424A6">
        <w:rPr>
          <w:i/>
          <w:iCs/>
        </w:rPr>
        <w:t xml:space="preserve">Differential Item Functioning Test Results for </w:t>
      </w:r>
      <w:r>
        <w:rPr>
          <w:i/>
          <w:iCs/>
        </w:rPr>
        <w:t>Newspaper</w:t>
      </w:r>
      <w:r w:rsidRPr="00D424A6">
        <w:rPr>
          <w:i/>
          <w:iCs/>
        </w:rPr>
        <w:t xml:space="preserve"> (Dilemma </w:t>
      </w:r>
      <w:r>
        <w:rPr>
          <w:i/>
          <w:iCs/>
        </w:rPr>
        <w:t>2</w:t>
      </w:r>
      <w:r w:rsidRPr="00D424A6">
        <w:rPr>
          <w:i/>
          <w:iCs/>
        </w:rPr>
        <w:t>) by Gender</w:t>
      </w:r>
    </w:p>
    <w:p w14:paraId="44F5C23C" w14:textId="1E511211" w:rsidR="009E706E" w:rsidRDefault="00EE42D6" w:rsidP="000110A1">
      <w:pPr>
        <w:spacing w:line="480" w:lineRule="auto"/>
        <w:jc w:val="center"/>
      </w:pPr>
      <w:r>
        <w:rPr>
          <w:noProof/>
        </w:rPr>
        <w:drawing>
          <wp:inline distT="0" distB="0" distL="0" distR="0" wp14:anchorId="272ED977" wp14:editId="228E6DDF">
            <wp:extent cx="475488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3AF0F31F" w14:textId="561BD985" w:rsidR="009E706E" w:rsidRDefault="00790969" w:rsidP="000110A1">
      <w:pPr>
        <w:spacing w:line="480" w:lineRule="auto"/>
        <w:sectPr w:rsidR="009E706E"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72F8FE73" w14:textId="6217EE84" w:rsidR="00EE42D6" w:rsidRPr="00D424A6" w:rsidRDefault="00EE42D6" w:rsidP="000110A1">
      <w:pPr>
        <w:spacing w:line="480" w:lineRule="auto"/>
        <w:rPr>
          <w:b/>
          <w:bCs/>
        </w:rPr>
      </w:pPr>
      <w:r w:rsidRPr="00D424A6">
        <w:rPr>
          <w:b/>
          <w:bCs/>
        </w:rPr>
        <w:t>Figure S</w:t>
      </w:r>
      <w:r>
        <w:rPr>
          <w:b/>
          <w:bCs/>
        </w:rPr>
        <w:t>3</w:t>
      </w:r>
    </w:p>
    <w:p w14:paraId="554682E1" w14:textId="05956CB9" w:rsidR="00EE42D6" w:rsidRPr="00D424A6" w:rsidRDefault="00EE42D6" w:rsidP="000110A1">
      <w:pPr>
        <w:spacing w:line="480" w:lineRule="auto"/>
        <w:rPr>
          <w:i/>
          <w:iCs/>
        </w:rPr>
      </w:pPr>
      <w:r w:rsidRPr="00D424A6">
        <w:rPr>
          <w:i/>
          <w:iCs/>
        </w:rPr>
        <w:t xml:space="preserve">Differential Item Functioning Test Results for </w:t>
      </w:r>
      <w:r>
        <w:rPr>
          <w:i/>
          <w:iCs/>
        </w:rPr>
        <w:t>Escaped Prisoner</w:t>
      </w:r>
      <w:r w:rsidRPr="00D424A6">
        <w:rPr>
          <w:i/>
          <w:iCs/>
        </w:rPr>
        <w:t xml:space="preserve"> (Dilemma </w:t>
      </w:r>
      <w:r>
        <w:rPr>
          <w:i/>
          <w:iCs/>
        </w:rPr>
        <w:t>3</w:t>
      </w:r>
      <w:r w:rsidRPr="00D424A6">
        <w:rPr>
          <w:i/>
          <w:iCs/>
        </w:rPr>
        <w:t>) by Gender</w:t>
      </w:r>
    </w:p>
    <w:p w14:paraId="0D17CA62" w14:textId="7B9C56BA" w:rsidR="00EE42D6" w:rsidRDefault="001679DF" w:rsidP="000110A1">
      <w:pPr>
        <w:spacing w:line="480" w:lineRule="auto"/>
        <w:jc w:val="center"/>
      </w:pPr>
      <w:r>
        <w:rPr>
          <w:noProof/>
        </w:rPr>
        <w:drawing>
          <wp:inline distT="0" distB="0" distL="0" distR="0" wp14:anchorId="37B80DD0" wp14:editId="7B6CF0F9">
            <wp:extent cx="475488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346A7436" w14:textId="65EBD722" w:rsidR="00EE42D6" w:rsidRDefault="00790969" w:rsidP="000110A1">
      <w:pPr>
        <w:spacing w:line="480" w:lineRule="auto"/>
        <w:sectPr w:rsidR="00EE42D6"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69A70657" w14:textId="5D8ADE54" w:rsidR="00A31E19" w:rsidRPr="00D424A6" w:rsidRDefault="00A31E19" w:rsidP="000110A1">
      <w:pPr>
        <w:spacing w:line="480" w:lineRule="auto"/>
        <w:rPr>
          <w:b/>
          <w:bCs/>
        </w:rPr>
      </w:pPr>
      <w:r w:rsidRPr="00D424A6">
        <w:rPr>
          <w:b/>
          <w:bCs/>
        </w:rPr>
        <w:lastRenderedPageBreak/>
        <w:t>Figure S</w:t>
      </w:r>
      <w:r>
        <w:rPr>
          <w:b/>
          <w:bCs/>
        </w:rPr>
        <w:t>4</w:t>
      </w:r>
    </w:p>
    <w:p w14:paraId="47AB3170" w14:textId="1FC50A4F" w:rsidR="00A31E19" w:rsidRPr="00D424A6" w:rsidRDefault="00A31E19" w:rsidP="000110A1">
      <w:pPr>
        <w:spacing w:line="480" w:lineRule="auto"/>
        <w:rPr>
          <w:i/>
          <w:iCs/>
        </w:rPr>
      </w:pPr>
      <w:r w:rsidRPr="00D424A6">
        <w:rPr>
          <w:i/>
          <w:iCs/>
        </w:rPr>
        <w:t xml:space="preserve">Differential Item Functioning Test Results for </w:t>
      </w:r>
      <w:r>
        <w:rPr>
          <w:i/>
          <w:iCs/>
        </w:rPr>
        <w:t>Heinz Dilemma</w:t>
      </w:r>
      <w:r w:rsidRPr="00D424A6">
        <w:rPr>
          <w:i/>
          <w:iCs/>
        </w:rPr>
        <w:t xml:space="preserve"> (Dilemma </w:t>
      </w:r>
      <w:r>
        <w:rPr>
          <w:i/>
          <w:iCs/>
        </w:rPr>
        <w:t>1</w:t>
      </w:r>
      <w:r w:rsidRPr="00D424A6">
        <w:rPr>
          <w:i/>
          <w:iCs/>
        </w:rPr>
        <w:t xml:space="preserve">) by </w:t>
      </w:r>
      <w:r>
        <w:rPr>
          <w:i/>
          <w:iCs/>
        </w:rPr>
        <w:t>Political Affiliation</w:t>
      </w:r>
    </w:p>
    <w:p w14:paraId="0D947CDE" w14:textId="5BB56C25" w:rsidR="00A31E19" w:rsidRDefault="00B31FC8" w:rsidP="000110A1">
      <w:pPr>
        <w:spacing w:line="480" w:lineRule="auto"/>
        <w:jc w:val="center"/>
      </w:pPr>
      <w:r>
        <w:rPr>
          <w:noProof/>
        </w:rPr>
        <w:drawing>
          <wp:inline distT="0" distB="0" distL="0" distR="0" wp14:anchorId="5A02B9A1" wp14:editId="70FF1540">
            <wp:extent cx="475488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123271DD" w14:textId="28F890A1" w:rsidR="00B31FC8" w:rsidRDefault="00790969" w:rsidP="000110A1">
      <w:pPr>
        <w:spacing w:line="480" w:lineRule="auto"/>
        <w:sectPr w:rsidR="00B31FC8"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3446F04C" w14:textId="79C3ACD7" w:rsidR="00B31FC8" w:rsidRPr="00D424A6" w:rsidRDefault="00B31FC8" w:rsidP="000110A1">
      <w:pPr>
        <w:spacing w:line="480" w:lineRule="auto"/>
        <w:rPr>
          <w:b/>
          <w:bCs/>
        </w:rPr>
      </w:pPr>
      <w:r w:rsidRPr="00D424A6">
        <w:rPr>
          <w:b/>
          <w:bCs/>
        </w:rPr>
        <w:lastRenderedPageBreak/>
        <w:t>Figure S</w:t>
      </w:r>
      <w:r>
        <w:rPr>
          <w:b/>
          <w:bCs/>
        </w:rPr>
        <w:t>5</w:t>
      </w:r>
    </w:p>
    <w:p w14:paraId="207D5240" w14:textId="2D80842E" w:rsidR="00B31FC8" w:rsidRPr="00D424A6" w:rsidRDefault="00B31FC8" w:rsidP="000110A1">
      <w:pPr>
        <w:spacing w:line="480" w:lineRule="auto"/>
        <w:rPr>
          <w:i/>
          <w:iCs/>
        </w:rPr>
      </w:pPr>
      <w:r w:rsidRPr="00D424A6">
        <w:rPr>
          <w:i/>
          <w:iCs/>
        </w:rPr>
        <w:t xml:space="preserve">Differential Item Functioning Test Results for </w:t>
      </w:r>
      <w:r w:rsidR="007D74C5">
        <w:rPr>
          <w:i/>
          <w:iCs/>
        </w:rPr>
        <w:t xml:space="preserve">Newspaper </w:t>
      </w:r>
      <w:r w:rsidRPr="00D424A6">
        <w:rPr>
          <w:i/>
          <w:iCs/>
        </w:rPr>
        <w:t xml:space="preserve">(Dilemma </w:t>
      </w:r>
      <w:r>
        <w:rPr>
          <w:i/>
          <w:iCs/>
        </w:rPr>
        <w:t>2</w:t>
      </w:r>
      <w:r w:rsidRPr="00D424A6">
        <w:rPr>
          <w:i/>
          <w:iCs/>
        </w:rPr>
        <w:t xml:space="preserve">) by </w:t>
      </w:r>
      <w:r>
        <w:rPr>
          <w:i/>
          <w:iCs/>
        </w:rPr>
        <w:t>Political Affiliation</w:t>
      </w:r>
    </w:p>
    <w:p w14:paraId="02C93566" w14:textId="4C455081" w:rsidR="00B31FC8" w:rsidRDefault="007D74C5" w:rsidP="000110A1">
      <w:pPr>
        <w:spacing w:line="480" w:lineRule="auto"/>
        <w:jc w:val="center"/>
      </w:pPr>
      <w:r>
        <w:rPr>
          <w:noProof/>
        </w:rPr>
        <w:drawing>
          <wp:inline distT="0" distB="0" distL="0" distR="0" wp14:anchorId="1A2E5017" wp14:editId="6D833DD4">
            <wp:extent cx="475488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365B9C13" w14:textId="0D4F018B" w:rsidR="007D74C5" w:rsidRDefault="00790969" w:rsidP="000110A1">
      <w:pPr>
        <w:spacing w:line="480" w:lineRule="auto"/>
        <w:rPr>
          <w:b/>
          <w:bCs/>
        </w:rPr>
        <w:sectPr w:rsidR="007D74C5"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5EE7DBDC" w14:textId="76E4B0E2" w:rsidR="007D74C5" w:rsidRPr="00D424A6" w:rsidRDefault="007D74C5" w:rsidP="000110A1">
      <w:pPr>
        <w:spacing w:line="480" w:lineRule="auto"/>
        <w:rPr>
          <w:b/>
          <w:bCs/>
        </w:rPr>
      </w:pPr>
      <w:r w:rsidRPr="00D424A6">
        <w:rPr>
          <w:b/>
          <w:bCs/>
        </w:rPr>
        <w:lastRenderedPageBreak/>
        <w:t>Figure S</w:t>
      </w:r>
      <w:r>
        <w:rPr>
          <w:b/>
          <w:bCs/>
        </w:rPr>
        <w:t>6</w:t>
      </w:r>
    </w:p>
    <w:p w14:paraId="7FEA6BD9" w14:textId="6EAED15A" w:rsidR="007D74C5" w:rsidRPr="00D424A6" w:rsidRDefault="007D74C5" w:rsidP="000110A1">
      <w:pPr>
        <w:spacing w:line="480" w:lineRule="auto"/>
        <w:rPr>
          <w:i/>
          <w:iCs/>
        </w:rPr>
      </w:pPr>
      <w:r w:rsidRPr="00D424A6">
        <w:rPr>
          <w:i/>
          <w:iCs/>
        </w:rPr>
        <w:t xml:space="preserve">Differential Item Functioning Test Results for </w:t>
      </w:r>
      <w:r>
        <w:rPr>
          <w:i/>
          <w:iCs/>
        </w:rPr>
        <w:t>Escaped Prisoner</w:t>
      </w:r>
      <w:r w:rsidRPr="00D424A6">
        <w:rPr>
          <w:i/>
          <w:iCs/>
        </w:rPr>
        <w:t xml:space="preserve"> (Dilemma </w:t>
      </w:r>
      <w:r>
        <w:rPr>
          <w:i/>
          <w:iCs/>
        </w:rPr>
        <w:t>3</w:t>
      </w:r>
      <w:r w:rsidRPr="00D424A6">
        <w:rPr>
          <w:i/>
          <w:iCs/>
        </w:rPr>
        <w:t xml:space="preserve">) by </w:t>
      </w:r>
      <w:r>
        <w:rPr>
          <w:i/>
          <w:iCs/>
        </w:rPr>
        <w:t>Political Affiliation</w:t>
      </w:r>
    </w:p>
    <w:p w14:paraId="5F38575F" w14:textId="1F4CB28B" w:rsidR="007D74C5" w:rsidRDefault="003E170C" w:rsidP="000110A1">
      <w:pPr>
        <w:spacing w:line="480" w:lineRule="auto"/>
        <w:jc w:val="center"/>
      </w:pPr>
      <w:r>
        <w:rPr>
          <w:noProof/>
        </w:rPr>
        <w:drawing>
          <wp:inline distT="0" distB="0" distL="0" distR="0" wp14:anchorId="5C6A40CE" wp14:editId="05FB3DE5">
            <wp:extent cx="475488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2AFAE3A0" w14:textId="77777777" w:rsidR="00790969" w:rsidRDefault="00790969" w:rsidP="000110A1">
      <w:pPr>
        <w:spacing w:line="480" w:lineRule="auto"/>
        <w:sectPr w:rsidR="00790969"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2652BF79" w14:textId="3B211AF3" w:rsidR="003E170C" w:rsidRPr="00D424A6" w:rsidRDefault="003E170C" w:rsidP="000110A1">
      <w:pPr>
        <w:spacing w:line="480" w:lineRule="auto"/>
        <w:rPr>
          <w:b/>
          <w:bCs/>
        </w:rPr>
      </w:pPr>
      <w:r w:rsidRPr="00D424A6">
        <w:rPr>
          <w:b/>
          <w:bCs/>
        </w:rPr>
        <w:lastRenderedPageBreak/>
        <w:t>Figure S</w:t>
      </w:r>
      <w:r>
        <w:rPr>
          <w:b/>
          <w:bCs/>
        </w:rPr>
        <w:t>7</w:t>
      </w:r>
    </w:p>
    <w:p w14:paraId="4F88570F" w14:textId="3685B577" w:rsidR="003E170C" w:rsidRPr="00D424A6" w:rsidRDefault="003E170C" w:rsidP="000110A1">
      <w:pPr>
        <w:spacing w:line="480" w:lineRule="auto"/>
        <w:rPr>
          <w:i/>
          <w:iCs/>
        </w:rPr>
      </w:pPr>
      <w:r w:rsidRPr="00D424A6">
        <w:rPr>
          <w:i/>
          <w:iCs/>
        </w:rPr>
        <w:t xml:space="preserve">Differential Item Functioning Test Results for </w:t>
      </w:r>
      <w:r>
        <w:rPr>
          <w:i/>
          <w:iCs/>
        </w:rPr>
        <w:t>Heinz Dilemma</w:t>
      </w:r>
      <w:r w:rsidRPr="00D424A6">
        <w:rPr>
          <w:i/>
          <w:iCs/>
        </w:rPr>
        <w:t xml:space="preserve"> (Dilemma </w:t>
      </w:r>
      <w:r>
        <w:rPr>
          <w:i/>
          <w:iCs/>
        </w:rPr>
        <w:t>1</w:t>
      </w:r>
      <w:r w:rsidRPr="00D424A6">
        <w:rPr>
          <w:i/>
          <w:iCs/>
        </w:rPr>
        <w:t xml:space="preserve">) by </w:t>
      </w:r>
      <w:r>
        <w:rPr>
          <w:i/>
          <w:iCs/>
        </w:rPr>
        <w:t>Religious Affiliation</w:t>
      </w:r>
    </w:p>
    <w:p w14:paraId="3C80BF27" w14:textId="7ADFCC82" w:rsidR="003E170C" w:rsidRDefault="00041E23" w:rsidP="000110A1">
      <w:pPr>
        <w:spacing w:line="480" w:lineRule="auto"/>
        <w:jc w:val="center"/>
      </w:pPr>
      <w:r>
        <w:rPr>
          <w:noProof/>
        </w:rPr>
        <w:drawing>
          <wp:inline distT="0" distB="0" distL="0" distR="0" wp14:anchorId="76B58512" wp14:editId="4021E4B4">
            <wp:extent cx="475488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75FB3874" w14:textId="77777777" w:rsidR="00790969" w:rsidRDefault="00790969" w:rsidP="000110A1">
      <w:pPr>
        <w:spacing w:line="480" w:lineRule="auto"/>
        <w:sectPr w:rsidR="00790969"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2BA80012" w14:textId="3A6E0113" w:rsidR="00041E23" w:rsidRPr="00D424A6" w:rsidRDefault="00041E23" w:rsidP="000110A1">
      <w:pPr>
        <w:spacing w:line="480" w:lineRule="auto"/>
        <w:rPr>
          <w:b/>
          <w:bCs/>
        </w:rPr>
      </w:pPr>
      <w:r w:rsidRPr="00D424A6">
        <w:rPr>
          <w:b/>
          <w:bCs/>
        </w:rPr>
        <w:lastRenderedPageBreak/>
        <w:t>Figure S</w:t>
      </w:r>
      <w:r>
        <w:rPr>
          <w:b/>
          <w:bCs/>
        </w:rPr>
        <w:t>8</w:t>
      </w:r>
    </w:p>
    <w:p w14:paraId="671789FA" w14:textId="5F87F7E6" w:rsidR="00041E23" w:rsidRPr="00D424A6" w:rsidRDefault="00041E23" w:rsidP="000110A1">
      <w:pPr>
        <w:spacing w:line="480" w:lineRule="auto"/>
        <w:rPr>
          <w:i/>
          <w:iCs/>
        </w:rPr>
      </w:pPr>
      <w:r w:rsidRPr="00D424A6">
        <w:rPr>
          <w:i/>
          <w:iCs/>
        </w:rPr>
        <w:t xml:space="preserve">Differential Item Functioning Test Results for </w:t>
      </w:r>
      <w:r>
        <w:rPr>
          <w:i/>
          <w:iCs/>
        </w:rPr>
        <w:t>Newspaper</w:t>
      </w:r>
      <w:r w:rsidRPr="00D424A6">
        <w:rPr>
          <w:i/>
          <w:iCs/>
        </w:rPr>
        <w:t xml:space="preserve"> (Dilemma </w:t>
      </w:r>
      <w:r>
        <w:rPr>
          <w:i/>
          <w:iCs/>
        </w:rPr>
        <w:t>2</w:t>
      </w:r>
      <w:r w:rsidRPr="00D424A6">
        <w:rPr>
          <w:i/>
          <w:iCs/>
        </w:rPr>
        <w:t xml:space="preserve">) by </w:t>
      </w:r>
      <w:r>
        <w:rPr>
          <w:i/>
          <w:iCs/>
        </w:rPr>
        <w:t>Religious Affiliation</w:t>
      </w:r>
    </w:p>
    <w:p w14:paraId="0D153B0D" w14:textId="77407A15" w:rsidR="00041E23" w:rsidRDefault="00300358" w:rsidP="000110A1">
      <w:pPr>
        <w:spacing w:line="480" w:lineRule="auto"/>
        <w:jc w:val="center"/>
      </w:pPr>
      <w:r>
        <w:rPr>
          <w:noProof/>
        </w:rPr>
        <w:drawing>
          <wp:inline distT="0" distB="0" distL="0" distR="0" wp14:anchorId="7F98603A" wp14:editId="6AC70D9C">
            <wp:extent cx="475488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41B1B759" w14:textId="77777777" w:rsidR="00790969" w:rsidRDefault="00790969" w:rsidP="000110A1">
      <w:pPr>
        <w:spacing w:line="480" w:lineRule="auto"/>
        <w:sectPr w:rsidR="00790969" w:rsidSect="00D424A6">
          <w:pgSz w:w="12240" w:h="15840"/>
          <w:pgMar w:top="1440" w:right="1440" w:bottom="1440" w:left="1440" w:header="720" w:footer="720" w:gutter="0"/>
          <w:cols w:space="720"/>
          <w:docGrid w:linePitch="360"/>
        </w:sectPr>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p w14:paraId="5AA729AE" w14:textId="0A3C8786" w:rsidR="00300358" w:rsidRPr="00D424A6" w:rsidRDefault="00300358" w:rsidP="000110A1">
      <w:pPr>
        <w:spacing w:line="480" w:lineRule="auto"/>
        <w:rPr>
          <w:b/>
          <w:bCs/>
        </w:rPr>
      </w:pPr>
      <w:r w:rsidRPr="00D424A6">
        <w:rPr>
          <w:b/>
          <w:bCs/>
        </w:rPr>
        <w:lastRenderedPageBreak/>
        <w:t>Figure S</w:t>
      </w:r>
      <w:r>
        <w:rPr>
          <w:b/>
          <w:bCs/>
        </w:rPr>
        <w:t>9</w:t>
      </w:r>
    </w:p>
    <w:p w14:paraId="59F6DF89" w14:textId="2F83780A" w:rsidR="00300358" w:rsidRPr="00D424A6" w:rsidRDefault="00300358" w:rsidP="000110A1">
      <w:pPr>
        <w:spacing w:line="480" w:lineRule="auto"/>
        <w:rPr>
          <w:i/>
          <w:iCs/>
        </w:rPr>
      </w:pPr>
      <w:r w:rsidRPr="00D424A6">
        <w:rPr>
          <w:i/>
          <w:iCs/>
        </w:rPr>
        <w:t xml:space="preserve">Differential Item Functioning Test Results for </w:t>
      </w:r>
      <w:r>
        <w:rPr>
          <w:i/>
          <w:iCs/>
        </w:rPr>
        <w:t>Escaped Prisoner</w:t>
      </w:r>
      <w:r w:rsidRPr="00D424A6">
        <w:rPr>
          <w:i/>
          <w:iCs/>
        </w:rPr>
        <w:t xml:space="preserve"> (Dilemma </w:t>
      </w:r>
      <w:r>
        <w:rPr>
          <w:i/>
          <w:iCs/>
        </w:rPr>
        <w:t>3</w:t>
      </w:r>
      <w:r w:rsidRPr="00D424A6">
        <w:rPr>
          <w:i/>
          <w:iCs/>
        </w:rPr>
        <w:t xml:space="preserve">) by </w:t>
      </w:r>
      <w:r>
        <w:rPr>
          <w:i/>
          <w:iCs/>
        </w:rPr>
        <w:t>Religious Affiliation</w:t>
      </w:r>
    </w:p>
    <w:p w14:paraId="6EEA771D" w14:textId="1948BBC9" w:rsidR="00300358" w:rsidRDefault="00300358" w:rsidP="000110A1">
      <w:pPr>
        <w:spacing w:line="480" w:lineRule="auto"/>
        <w:jc w:val="center"/>
      </w:pPr>
      <w:r>
        <w:rPr>
          <w:noProof/>
        </w:rPr>
        <w:drawing>
          <wp:inline distT="0" distB="0" distL="0" distR="0" wp14:anchorId="1658C9BE" wp14:editId="1AE31B5D">
            <wp:extent cx="475488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4754880" cy="5943600"/>
                    </a:xfrm>
                    <a:prstGeom prst="rect">
                      <a:avLst/>
                    </a:prstGeom>
                  </pic:spPr>
                </pic:pic>
              </a:graphicData>
            </a:graphic>
          </wp:inline>
        </w:drawing>
      </w:r>
    </w:p>
    <w:p w14:paraId="6773187A" w14:textId="191C811A" w:rsidR="00D424A6" w:rsidRDefault="00790969" w:rsidP="000110A1">
      <w:pPr>
        <w:spacing w:line="480" w:lineRule="auto"/>
      </w:pPr>
      <w:r w:rsidRPr="00D424A6">
        <w:rPr>
          <w:i/>
          <w:iCs/>
        </w:rPr>
        <w:t>Note</w:t>
      </w:r>
      <w:r>
        <w:t xml:space="preserve">. Top: </w:t>
      </w:r>
      <w:r w:rsidRPr="00944B29">
        <w:rPr>
          <w:i/>
          <w:iCs/>
        </w:rPr>
        <w:t>p</w:t>
      </w:r>
      <w:r>
        <w:t xml:space="preserve">-value from </w:t>
      </w:r>
      <w:r w:rsidRPr="00D424A6">
        <w:t>χ</w:t>
      </w:r>
      <w:r w:rsidRPr="00944B29">
        <w:rPr>
          <w:vertAlign w:val="superscript"/>
        </w:rPr>
        <w:t>2</w:t>
      </w:r>
      <w:r w:rsidRPr="00D424A6">
        <w:t xml:space="preserve"> test</w:t>
      </w:r>
      <w:r>
        <w:t xml:space="preserve"> for each item. Middle: </w:t>
      </w:r>
      <w:r w:rsidRPr="00944B29">
        <w:rPr>
          <w:i/>
          <w:iCs/>
        </w:rPr>
        <w:t>R</w:t>
      </w:r>
      <w:r w:rsidRPr="00944B29">
        <w:rPr>
          <w:i/>
          <w:iCs/>
          <w:vertAlign w:val="superscript"/>
        </w:rPr>
        <w:t>2</w:t>
      </w:r>
      <w:r>
        <w:t xml:space="preserve"> value for each item. Bottom: </w:t>
      </w:r>
      <w:r w:rsidRPr="00D424A6">
        <w:t>Δβ</w:t>
      </w:r>
      <w:r w:rsidRPr="00944B29">
        <w:rPr>
          <w:vertAlign w:val="subscript"/>
        </w:rPr>
        <w:t>1</w:t>
      </w:r>
      <w:r>
        <w:t xml:space="preserve"> for each item. For Top and Middle panels: Left: Model 1 vs. Model 2 (uniform DIF); Middle: Model 1 vs. Model 3 (total DIF); Right: Model 2 vs. Model 3 (non-uniform DIF).</w:t>
      </w:r>
    </w:p>
    <w:sectPr w:rsidR="00D424A6" w:rsidSect="00D424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A6"/>
    <w:rsid w:val="000110A1"/>
    <w:rsid w:val="00041E23"/>
    <w:rsid w:val="001679DF"/>
    <w:rsid w:val="001F0492"/>
    <w:rsid w:val="00284F04"/>
    <w:rsid w:val="00300358"/>
    <w:rsid w:val="003E170C"/>
    <w:rsid w:val="004F6CA5"/>
    <w:rsid w:val="005C5A6A"/>
    <w:rsid w:val="00717035"/>
    <w:rsid w:val="007525A9"/>
    <w:rsid w:val="00790969"/>
    <w:rsid w:val="007B7C0A"/>
    <w:rsid w:val="007D74C5"/>
    <w:rsid w:val="007F290B"/>
    <w:rsid w:val="008371C2"/>
    <w:rsid w:val="00944B29"/>
    <w:rsid w:val="009E706E"/>
    <w:rsid w:val="00A015B9"/>
    <w:rsid w:val="00A1211E"/>
    <w:rsid w:val="00A31E19"/>
    <w:rsid w:val="00B1185A"/>
    <w:rsid w:val="00B31FC8"/>
    <w:rsid w:val="00B75E7E"/>
    <w:rsid w:val="00BD473C"/>
    <w:rsid w:val="00C76F2F"/>
    <w:rsid w:val="00D27A8D"/>
    <w:rsid w:val="00D424A6"/>
    <w:rsid w:val="00DD4F6B"/>
    <w:rsid w:val="00EE42D6"/>
    <w:rsid w:val="00F356CF"/>
    <w:rsid w:val="00FC6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4B5F7FC"/>
  <w15:chartTrackingRefBased/>
  <w15:docId w15:val="{51356E5D-4424-7644-BB91-C9B095CA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A015B9"/>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7EB4D-A6D0-894F-A85C-AC8CE25F5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1776</Words>
  <Characters>10125</Characters>
  <Application>Microsoft Office Word</Application>
  <DocSecurity>0</DocSecurity>
  <Lines>84</Lines>
  <Paragraphs>23</Paragraphs>
  <ScaleCrop>false</ScaleCrop>
  <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Hyemin Han</dc:creator>
  <cp:keywords/>
  <dc:description/>
  <cp:lastModifiedBy>Hyemin Han</cp:lastModifiedBy>
  <cp:revision>30</cp:revision>
  <dcterms:created xsi:type="dcterms:W3CDTF">2022-12-17T23:56:00Z</dcterms:created>
  <dcterms:modified xsi:type="dcterms:W3CDTF">2022-12-29T15:30:00Z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zotero-version="6.0.19-beta.12+0862e1e1b"&gt;&lt;session id="MdRxPh1N"/&gt;&lt;style id="http://www.zotero.org/styles/apa" locale="en-US" hasBibliography="1" bibliographyStyleHasBeenSet="1"/&gt;&lt;prefs&gt;&lt;pref name="fieldType" value="Field"/&gt;&lt;/prefs&gt;</vt:lpwstr>
  </property>
  <property fmtid="{D5CDD505-2E9C-101B-9397-08002B2CF9AE}" pid="3" name="ZOTERO_PREF_2">
    <vt:lpwstr>&lt;/data&gt;</vt:lpwstr>
  </property>
</Properties>
</file>