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627E3" w14:textId="1EA8AAAC" w:rsidR="00711BE5" w:rsidRDefault="00193008" w:rsidP="004E69A3">
      <w:pPr>
        <w:pStyle w:val="Articletitle"/>
        <w:jc w:val="both"/>
      </w:pPr>
      <w:r>
        <w:t>Supplementary Material – Detailed Methodology</w:t>
      </w:r>
    </w:p>
    <w:p w14:paraId="2E84F5AD" w14:textId="77777777" w:rsidR="00711BE5" w:rsidRDefault="00711BE5" w:rsidP="004E69A3">
      <w:pPr>
        <w:pStyle w:val="Heading2"/>
        <w:jc w:val="both"/>
      </w:pPr>
      <w:r>
        <w:t>Study Overview</w:t>
      </w:r>
    </w:p>
    <w:p w14:paraId="3DD1A8E4" w14:textId="008B3406" w:rsidR="00711BE5" w:rsidRDefault="00711BE5" w:rsidP="004E69A3">
      <w:pPr>
        <w:spacing w:line="360" w:lineRule="auto"/>
        <w:jc w:val="both"/>
      </w:pPr>
      <w:r w:rsidRPr="00D24655">
        <w:t xml:space="preserve">The study comprised of two distinct elements. First, the reliability of the </w:t>
      </w:r>
      <w:proofErr w:type="spellStart"/>
      <w:r w:rsidRPr="00D24655">
        <w:t>MSANT</w:t>
      </w:r>
      <w:proofErr w:type="spellEnd"/>
      <w:r w:rsidRPr="00D24655">
        <w:t xml:space="preserve"> and </w:t>
      </w:r>
      <w:proofErr w:type="spellStart"/>
      <w:r w:rsidRPr="00D24655">
        <w:t>SDST</w:t>
      </w:r>
      <w:proofErr w:type="spellEnd"/>
      <w:r w:rsidRPr="00D24655">
        <w:t xml:space="preserve"> was assessed in a seated condition on three separate occasions</w:t>
      </w:r>
      <w:r w:rsidR="00806603">
        <w:t xml:space="preserve"> (Part 1)</w:t>
      </w:r>
      <w:r w:rsidRPr="00D24655">
        <w:t xml:space="preserve">. </w:t>
      </w:r>
      <w:r w:rsidR="00E02773">
        <w:t>This was</w:t>
      </w:r>
      <w:r w:rsidRPr="00D24655">
        <w:t xml:space="preserve"> due to the large variability in the way in which the assessment tools may be utilised in future projects. Second, within a sub-sample of the study population, the reliability of the </w:t>
      </w:r>
      <w:proofErr w:type="spellStart"/>
      <w:r w:rsidRPr="00D24655">
        <w:t>MSANT</w:t>
      </w:r>
      <w:proofErr w:type="spellEnd"/>
      <w:r w:rsidRPr="00D24655">
        <w:t xml:space="preserve"> and </w:t>
      </w:r>
      <w:proofErr w:type="spellStart"/>
      <w:r w:rsidRPr="00D24655">
        <w:t>SDST</w:t>
      </w:r>
      <w:proofErr w:type="spellEnd"/>
      <w:r w:rsidRPr="00D24655">
        <w:t xml:space="preserve"> was assessed during a 10-minute military</w:t>
      </w:r>
      <w:r>
        <w:t>-</w:t>
      </w:r>
      <w:r w:rsidRPr="00D24655">
        <w:t>specific walking activity (6.5 km·h</w:t>
      </w:r>
      <w:r w:rsidRPr="00D24655">
        <w:rPr>
          <w:vertAlign w:val="superscript"/>
        </w:rPr>
        <w:t>-1</w:t>
      </w:r>
      <w:r w:rsidRPr="00D24655">
        <w:t>; 1% gradient), on three separate occasions</w:t>
      </w:r>
      <w:r w:rsidR="005550BC">
        <w:t xml:space="preserve"> (Part 2)</w:t>
      </w:r>
      <w:r w:rsidRPr="00D24655">
        <w:t>. Whilst a matched study population, for this part of the study would have been optimal, given the time require</w:t>
      </w:r>
      <w:r>
        <w:t>d</w:t>
      </w:r>
      <w:r w:rsidRPr="00D24655">
        <w:t xml:space="preserve"> for this portion of the study (a result of the necessity to reach </w:t>
      </w:r>
      <w:r>
        <w:t xml:space="preserve">a </w:t>
      </w:r>
      <w:r w:rsidRPr="00D24655">
        <w:t>physiological</w:t>
      </w:r>
      <w:r>
        <w:t xml:space="preserve"> steady-state before conducting the test, and the recovery period required between each walking bout to prevent the onset of fatigue), a sub-sample approach was instead chosen. For the subsample of the study population that completed </w:t>
      </w:r>
      <w:r w:rsidR="00806603">
        <w:t>P</w:t>
      </w:r>
      <w:r>
        <w:t>art 2, t</w:t>
      </w:r>
      <w:r w:rsidRPr="00ED318B">
        <w:t xml:space="preserve">he familiarisation in </w:t>
      </w:r>
      <w:r w:rsidR="00806603">
        <w:t>P</w:t>
      </w:r>
      <w:r w:rsidRPr="00ED318B">
        <w:t>art 1 acted as the familiarisation for</w:t>
      </w:r>
      <w:r>
        <w:t xml:space="preserve"> this part as well.</w:t>
      </w:r>
      <w:r w:rsidRPr="00F310AA">
        <w:t xml:space="preserve"> </w:t>
      </w:r>
      <w:r w:rsidRPr="00ED318B">
        <w:t xml:space="preserve">For all study visits, participants were required to arrive in a fed and hydrated state having avoided caffeine for a minimum of three hours </w:t>
      </w:r>
      <w:r>
        <w:t>before</w:t>
      </w:r>
      <w:r w:rsidRPr="00ED318B">
        <w:t xml:space="preserve"> their laboratory visit. Study visits were completed at approximately the same time of day (± 2 hours) to control for the potential effect of circadian rhythm on test performance.</w:t>
      </w:r>
    </w:p>
    <w:p w14:paraId="2F4911C3" w14:textId="77777777" w:rsidR="00711BE5" w:rsidRDefault="00711BE5" w:rsidP="004E69A3">
      <w:pPr>
        <w:pStyle w:val="Heading2"/>
        <w:jc w:val="both"/>
      </w:pPr>
      <w:r>
        <w:t>Participants</w:t>
      </w:r>
    </w:p>
    <w:p w14:paraId="213B4500" w14:textId="03E06282" w:rsidR="00711BE5" w:rsidRDefault="00711BE5" w:rsidP="004E69A3">
      <w:pPr>
        <w:pStyle w:val="Paragraph"/>
        <w:spacing w:line="360" w:lineRule="auto"/>
        <w:jc w:val="both"/>
      </w:pPr>
      <w:r w:rsidRPr="009D7753">
        <w:t xml:space="preserve">Twenty-eight participants volunteered for </w:t>
      </w:r>
      <w:r w:rsidR="00931FA5">
        <w:t>P</w:t>
      </w:r>
      <w:r w:rsidRPr="009D7753">
        <w:t>art 1 of the study (14 m</w:t>
      </w:r>
      <w:r w:rsidR="00C80565">
        <w:t>en</w:t>
      </w:r>
      <w:r w:rsidRPr="009D7753">
        <w:t xml:space="preserve">, 14 </w:t>
      </w:r>
      <w:r w:rsidR="00C80565">
        <w:t>women</w:t>
      </w:r>
      <w:r w:rsidRPr="009D7753">
        <w:t>, age [mean ± SD] 27.3 ± 4.3 y)</w:t>
      </w:r>
      <w:r>
        <w:t xml:space="preserve"> and</w:t>
      </w:r>
      <w:r w:rsidRPr="009D7753">
        <w:t xml:space="preserve"> </w:t>
      </w:r>
      <w:r>
        <w:t>12</w:t>
      </w:r>
      <w:r w:rsidRPr="009D7753">
        <w:t xml:space="preserve"> participants </w:t>
      </w:r>
      <w:r>
        <w:t>for</w:t>
      </w:r>
      <w:r w:rsidRPr="009D7753">
        <w:t xml:space="preserve"> </w:t>
      </w:r>
      <w:r w:rsidR="00C80565">
        <w:t>P</w:t>
      </w:r>
      <w:r w:rsidRPr="009D7753">
        <w:t xml:space="preserve">art </w:t>
      </w:r>
      <w:r>
        <w:t>2</w:t>
      </w:r>
      <w:r w:rsidRPr="009D7753">
        <w:t xml:space="preserve"> (6 </w:t>
      </w:r>
      <w:r w:rsidR="00C80565">
        <w:t>men</w:t>
      </w:r>
      <w:r w:rsidRPr="009D7753">
        <w:t xml:space="preserve">, 6 </w:t>
      </w:r>
      <w:r w:rsidR="00C80565">
        <w:t>women</w:t>
      </w:r>
      <w:r w:rsidRPr="009D7753">
        <w:t xml:space="preserve">, age 28.4 ± 3.5 y). </w:t>
      </w:r>
      <w:r>
        <w:t>The s</w:t>
      </w:r>
      <w:r w:rsidRPr="009D7753">
        <w:t xml:space="preserve">tudy sample size </w:t>
      </w:r>
      <w:r>
        <w:t xml:space="preserve">for part 1 </w:t>
      </w:r>
      <w:r w:rsidRPr="009D7753">
        <w:t xml:space="preserve">was calculated using </w:t>
      </w:r>
      <w:r>
        <w:t xml:space="preserve">an </w:t>
      </w:r>
      <w:r w:rsidR="00E02773">
        <w:t>a</w:t>
      </w:r>
      <w:r w:rsidRPr="009D7753">
        <w:t xml:space="preserve"> </w:t>
      </w:r>
      <w:r w:rsidR="00E02773">
        <w:t>p</w:t>
      </w:r>
      <w:r w:rsidRPr="009D7753">
        <w:t xml:space="preserve">riori power calculation (G Power; version 3.1.9.4) as detailed by </w:t>
      </w:r>
      <w:proofErr w:type="spellStart"/>
      <w:r w:rsidRPr="009D7753">
        <w:t>Prajapati</w:t>
      </w:r>
      <w:proofErr w:type="spellEnd"/>
      <w:r w:rsidRPr="009D7753">
        <w:t>, Dunne, &amp; Armstrong (2010). A sample size, of 28 was identified, for the seated portion of the investigation, as the number required to identify a moderate effect size (</w:t>
      </w:r>
      <w:r w:rsidR="000B50C8">
        <w:rPr>
          <w:i/>
        </w:rPr>
        <w:t xml:space="preserve">f </w:t>
      </w:r>
      <w:r w:rsidR="000B50C8">
        <w:t>= 0.25</w:t>
      </w:r>
      <w:r w:rsidRPr="009D7753">
        <w:t xml:space="preserve">), with a statistical power of 80%, and an alpha level of 0.05, based upon a correlation coefficient between repeated test performances of </w:t>
      </w:r>
      <w:r w:rsidRPr="003939B6">
        <w:rPr>
          <w:i/>
        </w:rPr>
        <w:t>r</w:t>
      </w:r>
      <w:r w:rsidRPr="009D7753">
        <w:t xml:space="preserve"> = 0.5 (identified from </w:t>
      </w:r>
      <w:r>
        <w:t xml:space="preserve">initial </w:t>
      </w:r>
      <w:r w:rsidRPr="009D7753">
        <w:t xml:space="preserve">pilot testing). </w:t>
      </w:r>
      <w:r>
        <w:t xml:space="preserve">This effect size was chosen as the smallest effect size of interest to military policymakers, based on data from both pilot testing and previous investigations utilising similar cognitive assessment tools </w:t>
      </w:r>
      <w:r>
        <w:fldChar w:fldCharType="begin" w:fldLock="1"/>
      </w:r>
      <w:r>
        <w:instrText>ADDIN CSL_CITATION {"citationItems":[{"id":"ITEM-1","itemData":{"ISSN":"1932-6203","author":[{"dropping-particle":"","family":"Eddy","given":"Marianna D","non-dropping-particle":"","parse-names":false,"suffix":""},{"dropping-particle":"","family":"Hasselquist","given":"Leif","non-dropping-particle":"","parse-names":false,"suffix":""},{"dropping-particle":"","family":"Giles","given":"Grace","non-dropping-particle":"","parse-names":false,"suffix":""},{"dropping-particle":"","family":"Hayes","given":"Jacqueline F","non-dropping-particle":"","parse-names":false,"suffix":""},{"dropping-particle":"","family":"Howe","given":"Jessica","non-dropping-particle":"","parse-names":false,"suffix":""},{"dropping-particle":"","family":"Rourke","given":"Jennifer","non-dropping-particle":"","parse-names":false,"suffix":""},{"dropping-particle":"","family":"Coyne","given":"Megan","non-dropping-particle":"","parse-names":false,"suffix":""},{"dropping-particle":"","family":"O’Donovan","given":"Meghan","non-dropping-particle":"","parse-names":false,"suffix":""},{"dropping-particle":"","family":"Batty","given":"Jessica","non-dropping-particle":"","parse-names":false,"suffix":""},{"dropping-particle":"","family":"Brunyé","given":"Tad T","non-dropping-particle":"","parse-names":false,"suffix":""}],"container-title":"PloS one","id":"ITEM-1","issue":"7","issued":{"date-parts":[["2015"]]},"page":"e0130817","title":"The effects of load carriage and physical fatigue on cognitive performance","type":"article-journal","volume":"10"},"uris":["http://www.mendeley.com/documents/?uuid=277265ca-3acd-4647-9c63-de7214d5443d"]}],"mendeley":{"formattedCitation":"(Eddy et al., 2015)","plainTextFormattedCitation":"(Eddy et al., 2015)","previouslyFormattedCitation":"(Eddy et al., 2015)"},"properties":{"noteIndex":0},"schema":"https://github.com/citation-style-language/schema/raw/master/csl-citation.json"}</w:instrText>
      </w:r>
      <w:r>
        <w:fldChar w:fldCharType="separate"/>
      </w:r>
      <w:r w:rsidRPr="00493AD6">
        <w:rPr>
          <w:noProof/>
        </w:rPr>
        <w:t>(Eddy et al., 2015)</w:t>
      </w:r>
      <w:r>
        <w:fldChar w:fldCharType="end"/>
      </w:r>
      <w:r>
        <w:t xml:space="preserve">. The sub-sample population size was designed to represent the typical size (and therefore likely variation) of study populations within this research area (e.g. </w:t>
      </w:r>
      <w:r>
        <w:lastRenderedPageBreak/>
        <w:fldChar w:fldCharType="begin" w:fldLock="1"/>
      </w:r>
      <w:r w:rsidR="00B4593D">
        <w:instrText>ADDIN CSL_CITATION {"citationItems":[{"id":"ITEM-1","itemData":{"ISSN":"1932-6203","author":[{"dropping-particle":"","family":"Eddy","given":"Marianna D","non-dropping-particle":"","parse-names":false,"suffix":""},{"dropping-particle":"","family":"Hasselquist","given":"Leif","non-dropping-particle":"","parse-names":false,"suffix":""},{"dropping-particle":"","family":"Giles","given":"Grace","non-dropping-particle":"","parse-names":false,"suffix":""},{"dropping-particle":"","family":"Hayes","given":"Jacqueline F","non-dropping-particle":"","parse-names":false,"suffix":""},{"dropping-particle":"","family":"Howe","given":"Jessica","non-dropping-particle":"","parse-names":false,"suffix":""},{"dropping-particle":"","family":"Rourke","given":"Jennifer","non-dropping-particle":"","parse-names":false,"suffix":""},{"dropping-particle":"","family":"Coyne","given":"Megan","non-dropping-particle":"","parse-names":false,"suffix":""},{"dropping-particle":"","family":"O’Donovan","given":"Meghan","non-dropping-particle":"","parse-names":false,"suffix":""},{"dropping-particle":"","family":"Batty","given":"Jessica","non-dropping-particle":"","parse-names":false,"suffix":""},{"dropping-particle":"","family":"Brunyé","given":"Tad T","non-dropping-particle":"","parse-names":false,"suffix":""}],"container-title":"PloS one","id":"ITEM-1","issue":"7","issued":{"date-parts":[["2015"]]},"page":"e0130817","title":"The effects of load carriage and physical fatigue on cognitive performance","type":"article-journal","volume":"10"},"uris":["http://www.mendeley.com/documents/?uuid=277265ca-3acd-4647-9c63-de7214d5443d"]},{"id":"ITEM-2","itemData":{"ISSN":"0031-9384","author":[{"dropping-particle":"","family":"Bhattacharyya","given":"Debojyoti","non-dropping-particle":"","parse-names":false,"suffix":""},{"dropping-particle":"","family":"Pal","given":"Madhusudan","non-dropping-particle":"","parse-names":false,"suffix":""},{"dropping-particle":"","family":"Chatterjee","given":"Tirthankar","non-dropping-particle":"","parse-names":false,"suffix":""},{"dropping-particle":"","family":"Majumdar","given":"Dhurjati","non-dropping-particle":"","parse-names":false,"suffix":""}],"container-title":"Physiology &amp; behavior","id":"ITEM-2","issued":{"date-parts":[["2017"]]},"page":"253-261","title":"Effect of load carriage and natural terrain conditions on cognitive performance in desert environments","type":"article-journal","volume":"179"},"uris":["http://www.mendeley.com/documents/?uuid=0fe5a796-b6dc-4e3d-967d-726b7f40324f"]},{"id":"ITEM-3","itemData":{"author":[{"dropping-particle":"","family":"Crowell","given":"Harrison P","non-dropping-particle":"","parse-names":false,"suffix":""},{"dropping-particle":"","family":"Krausman","given":"Andrea S","non-dropping-particle":"","parse-names":false,"suffix":""},{"dropping-particle":"","family":"Harper","given":"William H","non-dropping-particle":"","parse-names":false,"suffix":""},{"dropping-particle":"","family":"Faughn","given":"Jim A","non-dropping-particle":"","parse-names":false,"suffix":""},{"dropping-particle":"","family":"Sharp","given":"Marilyn A","non-dropping-particle":"","parse-names":false,"suffix":""}],"id":"ITEM-3","issued":{"date-parts":[["1999"]]},"publisher":"Army research lab aberdeen proving ground md","title":"Cognitive and Physiological Performance of Soldiers While They Carry Loads Over Various Terrains","type":"report"},"uris":["http://www.mendeley.com/documents/?uuid=be70c1c5-f24c-4aa6-a9b8-09771e7b45b7"]}],"mendeley":{"formattedCitation":"(Bhattacharyya et al., 2017; Crowell et al., 1999; Eddy et al., 2015)","manualFormatting":"Bhattacharyya et al., 2017; Crowell et al., 1999; Eddy et al., 2015)","plainTextFormattedCitation":"(Bhattacharyya et al., 2017; Crowell et al., 1999; Eddy et al., 2015)","previouslyFormattedCitation":"(Bhattacharyya et al., 2017; Crowell et al., 1999; Eddy et al., 2015)"},"properties":{"noteIndex":0},"schema":"https://github.com/citation-style-language/schema/raw/master/csl-citation.json"}</w:instrText>
      </w:r>
      <w:r>
        <w:fldChar w:fldCharType="separate"/>
      </w:r>
      <w:r w:rsidRPr="00523F0F">
        <w:rPr>
          <w:noProof/>
        </w:rPr>
        <w:t>Bhattacharyya et al., 2017; Crowell et al., 1999; Eddy et al., 2015)</w:t>
      </w:r>
      <w:r>
        <w:fldChar w:fldCharType="end"/>
      </w:r>
      <w:r>
        <w:t xml:space="preserve">. </w:t>
      </w:r>
      <w:r w:rsidRPr="009D7753">
        <w:t>On the participants’ first visit to the laboratory written consent was provided following a written and verbal brief of the study requirements and methodologies. Ethical approval was provided by the Institution’s Research Ethics Committee. All procedures were conducted in accordance with the declaration of Helsinki.</w:t>
      </w:r>
    </w:p>
    <w:p w14:paraId="79D2DEB3" w14:textId="77777777" w:rsidR="00711BE5" w:rsidRDefault="00711BE5" w:rsidP="004E69A3">
      <w:pPr>
        <w:pStyle w:val="Heading2"/>
        <w:jc w:val="both"/>
      </w:pPr>
      <w:r>
        <w:t>Cognitive Assessments</w:t>
      </w:r>
    </w:p>
    <w:p w14:paraId="29B660BB" w14:textId="5489447F" w:rsidR="00711BE5" w:rsidRDefault="00711BE5" w:rsidP="004E69A3">
      <w:pPr>
        <w:spacing w:line="360" w:lineRule="auto"/>
        <w:jc w:val="both"/>
      </w:pPr>
      <w:r>
        <w:t xml:space="preserve">Design decisions were always made in favour of military relevance over ‘typical’ cognitive research norms. For example, stimuli in the </w:t>
      </w:r>
      <w:proofErr w:type="spellStart"/>
      <w:r>
        <w:t>SDST</w:t>
      </w:r>
      <w:proofErr w:type="spellEnd"/>
      <w:r>
        <w:t xml:space="preserve"> were not of equal spatial frequency, as employed in previous research </w:t>
      </w:r>
      <w:r>
        <w:fldChar w:fldCharType="begin" w:fldLock="1"/>
      </w:r>
      <w:r>
        <w:instrText>ADDIN CSL_CITATION {"citationItems":[{"id":"ITEM-1","itemData":{"author":[{"dropping-particle":"","family":"Kobus","given":"David A","non-dropping-particle":"","parse-names":false,"suffix":""},{"dropping-particle":"","family":"Brown","given":"Christine M","non-dropping-particle":"","parse-names":false,"suffix":""},{"dropping-particle":"","family":"Wu","given":"Linda","non-dropping-particle":"","parse-names":false,"suffix":""},{"dropping-particle":"","family":"Robusto","given":"Kristi","non-dropping-particle":"","parse-names":false,"suffix":""},{"dropping-particle":"","family":"Bartlett","given":"Jamie","non-dropping-particle":"","parse-names":false,"suffix":""}],"id":"ITEM-1","issued":{"date-parts":[["2010"]]},"publisher":"PACIFIC SCIENCE AND ENGINEERING GROUP INC SAN DIEGO CA","title":"Cognitive Performance and Physiological Changes under Heavy Load Carriage","type":"report"},"uris":["http://www.mendeley.com/documents/?uuid=5f19e643-9102-4756-82a0-15dbade5b1a1"]}],"mendeley":{"formattedCitation":"(Kobus et al., 2010)","plainTextFormattedCitation":"(Kobus et al., 2010)","previouslyFormattedCitation":"(Kobus et al., 2010)"},"properties":{"noteIndex":0},"schema":"https://github.com/citation-style-language/schema/raw/master/csl-citation.json"}</w:instrText>
      </w:r>
      <w:r>
        <w:fldChar w:fldCharType="separate"/>
      </w:r>
      <w:r w:rsidRPr="050DAF6D">
        <w:rPr>
          <w:noProof/>
        </w:rPr>
        <w:t>(Kobus et al., 2010)</w:t>
      </w:r>
      <w:r>
        <w:fldChar w:fldCharType="end"/>
      </w:r>
      <w:r>
        <w:t xml:space="preserve">, but instead, were of individuals adopting realistic stances that would require specific responses, as used previously within the literature </w:t>
      </w:r>
      <w:r>
        <w:fldChar w:fldCharType="begin" w:fldLock="1"/>
      </w:r>
      <w:r w:rsidR="00193008">
        <w:instrText>ADDIN CSL_CITATION {"citationItems":[{"id":"ITEM-1","itemData":{"author":[{"dropping-particle":"","family":"Armstrong","given":"N","non-dropping-particle":"","parse-names":false,"suffix":""},{"dropping-particle":"","family":"Smith","given":"SJR","non-dropping-particle":"","parse-names":false,"suffix":""},{"dropping-particle":"","family":"Risius","given":"D","non-dropping-particle":"","parse-names":false,"suffix":""},{"dropping-particle":"","family":"…","given":"D Doyle - BMJ Mil","non-dropping-particle":"","parse-names":false,"suffix":""},{"dropping-particle":"","family":"2022","given":"Undefined","non-dropping-particle":"","parse-names":false,"suffix":""}],"container-title":"militaryhealth.bmj.com","id":"ITEM-1","issued":{"date-parts":[["2022"]]},"title":"Cognitive performance of military men and women during prolonged load carriage","type":"article-journal"},"uris":["http://www.mendeley.com/documents/?uuid=aa27c86f-0b03-3d8f-8e63-23c096208cb7"]},{"id":"ITEM-2","itemData":{"ISSN":"1932-6203","author":[{"dropping-particle":"","family":"Eddy","given":"Marianna D","non-dropping-particle":"","parse-names":false,"suffix":""},{"dropping-particle":"","family":"Hasselquist","given":"Leif","non-dropping-particle":"","parse-names":false,"suffix":""},{"dropping-particle":"","family":"Giles","given":"Grace","non-dropping-particle":"","parse-names":false,"suffix":""},{"dropping-particle":"","family":"Hayes","given":"Jacqueline F","non-dropping-particle":"","parse-names":false,"suffix":""},{"dropping-particle":"","family":"Howe","given":"Jessica","non-dropping-particle":"","parse-names":false,"suffix":""},{"dropping-particle":"","family":"Rourke","given":"Jennifer","non-dropping-particle":"","parse-names":false,"suffix":""},{"dropping-particle":"","family":"Coyne","given":"Megan","non-dropping-particle":"","parse-names":false,"suffix":""},{"dropping-particle":"","family":"O’Donovan","given":"Meghan","non-dropping-particle":"","parse-names":false,"suffix":""},{"dropping-particle":"","family":"Batty","given":"Jessica","non-dropping-particle":"","parse-names":false,"suffix":""},{"dropping-particle":"","family":"Brunyé","given":"Tad T","non-dropping-particle":"","parse-names":false,"suffix":""}],"container-title":"PloS one","id":"ITEM-2","issue":"7","issued":{"date-parts":[["2015"]]},"page":"e0130817","title":"The effects of load carriage and physical fatigue on cognitive performance","type":"article-journal","volume":"10"},"uris":["http://www.mendeley.com/documents/?uuid=277265ca-3acd-4647-9c63-de7214d5443d"]},{"id":"ITEM-3","itemData":{"ISSN":"0014-0139","author":[{"dropping-particle":"","family":"Nibbeling","given":"Nicky","non-dropping-particle":"","parse-names":false,"suffix":""},{"dropping-particle":"","family":"Oudejans","given":"Raoul R D","non-dropping-particle":"","parse-names":false,"suffix":""},{"dropping-particle":"","family":"Ubink","given":"Emiel M","non-dropping-particle":"","parse-names":false,"suffix":""},{"dropping-particle":"","family":"Daanen","given":"Hein A M","non-dropping-particle":"","parse-names":false,"suffix":""}],"container-title":"Ergonomics","id":"ITEM-3","issue":"9","issued":{"date-parts":[["2014"]]},"page":"1366-1379","title":"The effects of anxiety and exercise-induced fatigue on shooting accuracy and cognitive performance in infantry soldiers","type":"article-journal","volume":"57"},"uris":["http://www.mendeley.com/documents/?uuid=90e69084-748f-4104-a053-18d3b90630ed"]}],"mendeley":{"formattedCitation":"(Armstrong et al., 2022; Eddy et al., 2015; Nibbeling et al., 2014)","plainTextFormattedCitation":"(Armstrong et al., 2022; Eddy et al., 2015; Nibbeling et al., 2014)","previouslyFormattedCitation":"(Armstrong et al., 2022; Eddy et al., 2015; Nibbeling et al., 2014)"},"properties":{"noteIndex":0},"schema":"https://github.com/citation-style-language/schema/raw/master/csl-citation.json"}</w:instrText>
      </w:r>
      <w:r>
        <w:fldChar w:fldCharType="separate"/>
      </w:r>
      <w:r w:rsidR="002508CA" w:rsidRPr="002508CA">
        <w:rPr>
          <w:noProof/>
        </w:rPr>
        <w:t>(Armstrong et al., 2022; Eddy et al., 2015; Nibbeling et al., 2014)</w:t>
      </w:r>
      <w:r>
        <w:fldChar w:fldCharType="end"/>
      </w:r>
      <w:r>
        <w:t>.</w:t>
      </w:r>
    </w:p>
    <w:p w14:paraId="54A9A865" w14:textId="77777777" w:rsidR="00711BE5" w:rsidRDefault="00711BE5" w:rsidP="004E69A3">
      <w:pPr>
        <w:pStyle w:val="Heading3"/>
        <w:jc w:val="both"/>
      </w:pPr>
      <w:proofErr w:type="spellStart"/>
      <w:r>
        <w:t>MSANT</w:t>
      </w:r>
      <w:proofErr w:type="spellEnd"/>
    </w:p>
    <w:p w14:paraId="0BAE08F4" w14:textId="0E61B3CD" w:rsidR="00711BE5" w:rsidRPr="0087621D" w:rsidRDefault="00711BE5" w:rsidP="004E69A3">
      <w:pPr>
        <w:spacing w:line="360" w:lineRule="auto"/>
        <w:jc w:val="both"/>
      </w:pPr>
      <w:r w:rsidRPr="0087621D">
        <w:t xml:space="preserve">The </w:t>
      </w:r>
      <w:proofErr w:type="spellStart"/>
      <w:r w:rsidRPr="0087621D">
        <w:t>MSANT</w:t>
      </w:r>
      <w:proofErr w:type="spellEnd"/>
      <w:r w:rsidRPr="0087621D">
        <w:t xml:space="preserve"> was developed to mimic aspects of coded military radio traffic, with stimuli comprising of letter pairs, described phonetically, using the International Radiotelephony Spelling Alphabet </w:t>
      </w:r>
      <w:r w:rsidRPr="0087621D">
        <w:fldChar w:fldCharType="begin" w:fldLock="1"/>
      </w:r>
      <w:r w:rsidRPr="0087621D">
        <w:instrText>ADDIN CSL_CITATION {"citationItems":[{"id":"ITEM-1","itemData":{"author":[{"dropping-particle":"","family":"International Civil Aviation Organization","given":"","non-dropping-particle":"","parse-names":false,"suffix":""}],"id":"ITEM-1","issued":{"date-parts":[["2019"]]},"title":"Alphabet - Radiotelephony","type":"article","volume":"2019"},"uris":["http://www.mendeley.com/documents/?uuid=743755e8-f553-4b4b-b7de-991d578d30b9"]}],"mendeley":{"formattedCitation":"(International Civil Aviation Organization, 2019)","plainTextFormattedCitation":"(International Civil Aviation Organization, 2019)","previouslyFormattedCitation":"(International Civil Aviation Organization, 2019)"},"properties":{"noteIndex":0},"schema":"https://github.com/citation-style-language/schema/raw/master/csl-citation.json"}</w:instrText>
      </w:r>
      <w:r w:rsidRPr="0087621D">
        <w:fldChar w:fldCharType="separate"/>
      </w:r>
      <w:r w:rsidRPr="0087621D">
        <w:rPr>
          <w:noProof/>
        </w:rPr>
        <w:t>(International Civil Aviation Organization, 2019)</w:t>
      </w:r>
      <w:r w:rsidRPr="0087621D">
        <w:fldChar w:fldCharType="end"/>
      </w:r>
      <w:r w:rsidRPr="0087621D">
        <w:t>. Each letter within a pair was separated by 0.4 s, and each pair was separated by 2 s. After a random number of letter pairs (3-7 pairs), an auditory tone (0.25 s, 1000 Hz) was sounded and the participant was required to identify the pair of letters described two previous to the auditory tone (i.e. 2-back). The auditory tone occurred 1 s after the last pairing of that stimuli string. In line with previously employed n-back assessments, each test lasted approximately 5 minutes; depend</w:t>
      </w:r>
      <w:r>
        <w:t>ing</w:t>
      </w:r>
      <w:r w:rsidRPr="0087621D">
        <w:t xml:space="preserve"> on letter combinations. Each </w:t>
      </w:r>
      <w:proofErr w:type="spellStart"/>
      <w:r w:rsidRPr="0087621D">
        <w:t>MSANT</w:t>
      </w:r>
      <w:proofErr w:type="spellEnd"/>
      <w:r w:rsidRPr="0087621D">
        <w:t xml:space="preserve"> contained 100 letter stimuli</w:t>
      </w:r>
      <w:r w:rsidR="00E02773">
        <w:t xml:space="preserve"> </w:t>
      </w:r>
      <w:r w:rsidR="00E02773">
        <w:fldChar w:fldCharType="begin" w:fldLock="1"/>
      </w:r>
      <w:r w:rsidR="00E02773">
        <w:instrText>ADDIN CSL_CITATION {"citationItems":[{"id":"ITEM-1","itemData":{"ISSN":"2093-7911","author":[{"dropping-particle":"","family":"Kazemi","given":"Reza","non-dropping-particle":"","parse-names":false,"suffix":""},{"dropping-particle":"","family":"Motamedzade","given":"Majid","non-dropping-particle":"","parse-names":false,"suffix":""},{"dropping-particle":"","family":"Golmohammadi","given":"Rostam","non-dropping-particle":"","parse-names":false,"suffix":""},{"dropping-particle":"","family":"Mokarami","given":"Hamidreza","non-dropping-particle":"","parse-names":false,"suffix":""},{"dropping-particle":"","family":"Hemmatjo","given":"Rasoul","non-dropping-particle":"","parse-names":false,"suffix":""},{"dropping-particle":"","family":"Heidarimoghadam","given":"Rashid","non-dropping-particle":"","parse-names":false,"suffix":""}],"container-title":"Safety and health at work","id":"ITEM-1","issue":"2","issued":{"date-parts":[["2018"]]},"page":"203-209","title":"Field study of effects of night shifts on cognitive performance, salivary melatonin, and sleep","type":"article-journal","volume":"9"},"uris":["http://www.mendeley.com/documents/?uuid=12d7ff86-e93f-4de2-8fea-ae46a094f88c"]}],"mendeley":{"formattedCitation":"(Kazemi et al., 2018)","plainTextFormattedCitation":"(Kazemi et al., 2018)"},"properties":{"noteIndex":0},"schema":"https://github.com/citation-style-language/schema/raw/master/csl-citation.json"}</w:instrText>
      </w:r>
      <w:r w:rsidR="00E02773">
        <w:fldChar w:fldCharType="separate"/>
      </w:r>
      <w:r w:rsidR="00E02773" w:rsidRPr="00E02773">
        <w:rPr>
          <w:noProof/>
        </w:rPr>
        <w:t>(Kazemi et al., 2018)</w:t>
      </w:r>
      <w:r w:rsidR="00E02773">
        <w:fldChar w:fldCharType="end"/>
      </w:r>
      <w:r w:rsidRPr="0087621D">
        <w:t xml:space="preserve"> and required 10 responses.</w:t>
      </w:r>
    </w:p>
    <w:p w14:paraId="2E9A3F73" w14:textId="77777777" w:rsidR="00711BE5" w:rsidRPr="00711BE5" w:rsidRDefault="00711BE5" w:rsidP="004E69A3">
      <w:pPr>
        <w:pStyle w:val="Paragraph"/>
        <w:spacing w:line="360" w:lineRule="auto"/>
        <w:jc w:val="both"/>
      </w:pPr>
      <w:r w:rsidRPr="0087621D">
        <w:t>Letter stimuli were generated using online speech generation software (</w:t>
      </w:r>
      <w:hyperlink r:id="rId8" w:history="1">
        <w:r w:rsidRPr="0087621D">
          <w:rPr>
            <w:rStyle w:val="Hyperlink"/>
            <w:color w:val="000000" w:themeColor="text1"/>
          </w:rPr>
          <w:t>www.fromtexttospeech.com</w:t>
        </w:r>
      </w:hyperlink>
      <w:r w:rsidRPr="0087621D">
        <w:t>) and compiled into a single audio track using an open</w:t>
      </w:r>
      <w:r>
        <w:t>-</w:t>
      </w:r>
      <w:r w:rsidRPr="0087621D">
        <w:t xml:space="preserve">source digital audio editing software (Audacity® </w:t>
      </w:r>
      <w:r w:rsidRPr="0087621D">
        <w:rPr>
          <w:i/>
        </w:rPr>
        <w:t>v2.3</w:t>
      </w:r>
      <w:r w:rsidRPr="0087621D">
        <w:t xml:space="preserve">, Audacity®, USA). Speech generation variables were set to ‘British English’, male voice, and medium for the speech speed. All letter stimuli were randomly selected using an online random number generator (Research Randomiser; </w:t>
      </w:r>
      <w:hyperlink r:id="rId9" w:history="1">
        <w:r w:rsidRPr="0087621D">
          <w:rPr>
            <w:rStyle w:val="Hyperlink"/>
            <w:color w:val="000000" w:themeColor="text1"/>
          </w:rPr>
          <w:t>https://www.randomizer.org/</w:t>
        </w:r>
      </w:hyperlink>
      <w:r w:rsidRPr="0087621D">
        <w:t xml:space="preserve">). The letter ‘F’ was excluded due to the lack of clarity in generated audio stimuli. For both seated and walking conditions participants received the auditory information via headphones at a standardised volume. </w:t>
      </w:r>
      <w:r w:rsidRPr="0087621D">
        <w:lastRenderedPageBreak/>
        <w:t>During the seated condition</w:t>
      </w:r>
      <w:r>
        <w:t>,</w:t>
      </w:r>
      <w:r w:rsidRPr="0087621D">
        <w:t xml:space="preserve"> participants recorded their answers, whilst during walking trials, participants were required to relay their answer</w:t>
      </w:r>
      <w:r>
        <w:t>s</w:t>
      </w:r>
      <w:r w:rsidRPr="0087621D">
        <w:t xml:space="preserve"> verbally to be recorded on their behalf.</w:t>
      </w:r>
      <w:r>
        <w:t xml:space="preserve"> Whilst this approach may have been less than optimal for action fidelity, due to a difference in response modes, as the study was not designed to compare walking and seated conditions, the practicalities of this approach made this approach preferential.</w:t>
      </w:r>
    </w:p>
    <w:p w14:paraId="6E80EB34" w14:textId="77777777" w:rsidR="00711BE5" w:rsidRDefault="00711BE5" w:rsidP="004E69A3">
      <w:pPr>
        <w:pStyle w:val="Heading3"/>
        <w:jc w:val="both"/>
      </w:pPr>
      <w:proofErr w:type="spellStart"/>
      <w:r>
        <w:t>SDST</w:t>
      </w:r>
      <w:proofErr w:type="spellEnd"/>
    </w:p>
    <w:p w14:paraId="62CC0E38" w14:textId="4FC18D02" w:rsidR="00711BE5" w:rsidRPr="0033028C" w:rsidRDefault="00711BE5" w:rsidP="004E69A3">
      <w:pPr>
        <w:spacing w:line="360" w:lineRule="auto"/>
        <w:jc w:val="both"/>
      </w:pPr>
      <w:r w:rsidRPr="0033028C">
        <w:t xml:space="preserve">The </w:t>
      </w:r>
      <w:proofErr w:type="spellStart"/>
      <w:r w:rsidRPr="0033028C">
        <w:t>SDST</w:t>
      </w:r>
      <w:proofErr w:type="spellEnd"/>
      <w:r w:rsidRPr="0033028C">
        <w:t xml:space="preserve"> was designed to be a visual search and inhibition task similar to those tasks previously employed within the literature </w:t>
      </w:r>
      <w:r w:rsidRPr="0033028C">
        <w:fldChar w:fldCharType="begin" w:fldLock="1"/>
      </w:r>
      <w:r w:rsidR="00193008">
        <w:instrText>ADDIN CSL_CITATION {"citationItems":[{"id":"ITEM-1","itemData":{"author":[{"dropping-particle":"","family":"Kobus","given":"David A","non-dropping-particle":"","parse-names":false,"suffix":""},{"dropping-particle":"","family":"Brown","given":"Christine M","non-dropping-particle":"","parse-names":false,"suffix":""},{"dropping-particle":"","family":"Wu","given":"Linda","non-dropping-particle":"","parse-names":false,"suffix":""},{"dropping-particle":"","family":"Robusto","given":"Kristi","non-dropping-particle":"","parse-names":false,"suffix":""},{"dropping-particle":"","family":"Bartlett","given":"Jamie","non-dropping-particle":"","parse-names":false,"suffix":""}],"id":"ITEM-1","issued":{"date-parts":[["2010"]]},"publisher":"PACIFIC SCIENCE AND ENGINEERING GROUP INC SAN DIEGO CA","title":"Cognitive Performance and Physiological Changes under Heavy Load Carriage","type":"report"},"uris":["http://www.mendeley.com/documents/?uuid=5f19e643-9102-4756-82a0-15dbade5b1a1"]},{"id":"ITEM-2","itemData":{"author":[{"dropping-particle":"","family":"Armstrong","given":"N","non-dropping-particle":"","parse-names":false,"suffix":""},{"dropping-particle":"","family":"Smith","given":"SJR","non-dropping-particle":"","parse-names":false,"suffix":""},{"dropping-particle":"","family":"Risius","given":"D","non-dropping-particle":"","parse-names":false,"suffix":""},{"dropping-particle":"","family":"…","given":"D Doyle - BMJ Mil","non-dropping-particle":"","parse-names":false,"suffix":""},{"dropping-particle":"","family":"2022","given":"Undefined","non-dropping-particle":"","parse-names":false,"suffix":""}],"container-title":"militaryhealth.bmj.com","id":"ITEM-2","issued":{"date-parts":[["2022"]]},"title":"Cognitive performance of military men and women during prolonged load carriage","type":"article-journal"},"uris":["http://www.mendeley.com/documents/?uuid=aa27c86f-0b03-3d8f-8e63-23c096208cb7"]},{"id":"ITEM-3","itemData":{"ISSN":"1932-6203","author":[{"dropping-particle":"","family":"Eddy","given":"Marianna D","non-dropping-particle":"","parse-names":false,"suffix":""},{"dropping-particle":"","family":"Hasselquist","given":"Leif","non-dropping-particle":"","parse-names":false,"suffix":""},{"dropping-particle":"","family":"Giles","given":"Grace","non-dropping-particle":"","parse-names":false,"suffix":""},{"dropping-particle":"","family":"Hayes","given":"Jacqueline F","non-dropping-particle":"","parse-names":false,"suffix":""},{"dropping-particle":"","family":"Howe","given":"Jessica","non-dropping-particle":"","parse-names":false,"suffix":""},{"dropping-particle":"","family":"Rourke","given":"Jennifer","non-dropping-particle":"","parse-names":false,"suffix":""},{"dropping-particle":"","family":"Coyne","given":"Megan","non-dropping-particle":"","parse-names":false,"suffix":""},{"dropping-particle":"","family":"O’Donovan","given":"Meghan","non-dropping-particle":"","parse-names":false,"suffix":""},{"dropping-particle":"","family":"Batty","given":"Jessica","non-dropping-particle":"","parse-names":false,"suffix":""},{"dropping-particle":"","family":"Brunyé","given":"Tad T","non-dropping-particle":"","parse-names":false,"suffix":""}],"container-title":"PloS one","id":"ITEM-3","issue":"7","issued":{"date-parts":[["2015"]]},"page":"e0130817","title":"The effects of load carriage and physical fatigue on cognitive performance","type":"article-journal","volume":"10"},"uris":["http://www.mendeley.com/documents/?uuid=277265ca-3acd-4647-9c63-de7214d5443d"]}],"mendeley":{"formattedCitation":"(Armstrong et al., 2022; Eddy et al., 2015; Kobus et al., 2010)","plainTextFormattedCitation":"(Armstrong et al., 2022; Eddy et al., 2015; Kobus et al., 2010)","previouslyFormattedCitation":"(Armstrong et al., 2022; Eddy et al., 2015; Kobus et al., 2010)"},"properties":{"noteIndex":0},"schema":"https://github.com/citation-style-language/schema/raw/master/csl-citation.json"}</w:instrText>
      </w:r>
      <w:r w:rsidRPr="0033028C">
        <w:fldChar w:fldCharType="separate"/>
      </w:r>
      <w:r w:rsidR="002508CA" w:rsidRPr="002508CA">
        <w:rPr>
          <w:noProof/>
        </w:rPr>
        <w:t>(Armstrong et al., 2022; Eddy et al., 2015; Kobus et al., 2010)</w:t>
      </w:r>
      <w:r w:rsidRPr="0033028C">
        <w:fldChar w:fldCharType="end"/>
      </w:r>
      <w:r w:rsidRPr="0033028C">
        <w:t xml:space="preserve">. The urban scene depicted a derelict warehouse </w:t>
      </w:r>
      <w:r w:rsidR="000D0C11">
        <w:t>(Figure 1)</w:t>
      </w:r>
      <w:r w:rsidRPr="0033028C">
        <w:t>, with 12 possible target locations (windows); comprising of 6 on the ground floor and 6 on the first floor. There were no stimuli on the gantry level. Using a calibration stick, the warehouse within the scene was measured to be 9.18 m high and 18.42 m in width. Windows containing the target stimuli were standardised, to a size of 1.60 m x 0.87m (555 x 300 pixels) and coloured using a dark grey (</w:t>
      </w:r>
      <w:proofErr w:type="spellStart"/>
      <w:r w:rsidRPr="0033028C">
        <w:t>RGB</w:t>
      </w:r>
      <w:proofErr w:type="spellEnd"/>
      <w:r w:rsidRPr="0033028C">
        <w:t xml:space="preserve"> 58,50,48) in order that they provided a uniform background for the target stimuli. At random time intervals (0.5 - 3 s), either a target (persons adopting a shooting stance) or non-target (persons with hands up above their head) would appear at a random window. For a target stimulus</w:t>
      </w:r>
      <w:r>
        <w:t>,</w:t>
      </w:r>
      <w:r w:rsidRPr="0033028C">
        <w:t xml:space="preserve"> a mouse click was required as quickly as possible (no locational movement required), whereas no response was required for a non-target. The two stimuli were not of the same spatial frequency due to this not being representative of real-world scenario</w:t>
      </w:r>
      <w:r>
        <w:t>s</w:t>
      </w:r>
      <w:r w:rsidRPr="0033028C">
        <w:t xml:space="preserve">, however stimuli size was standardised. Participants were instructed to place equal importance on both response time and accuracy. For the </w:t>
      </w:r>
      <w:proofErr w:type="spellStart"/>
      <w:r w:rsidRPr="0033028C">
        <w:t>SDST</w:t>
      </w:r>
      <w:proofErr w:type="spellEnd"/>
      <w:r w:rsidRPr="0033028C">
        <w:t xml:space="preserve"> there was a 2:1 ratio between targets and non-targets, with two targets and one non-target appearing in each location during each </w:t>
      </w:r>
      <w:proofErr w:type="spellStart"/>
      <w:r w:rsidRPr="0033028C">
        <w:t>SDST</w:t>
      </w:r>
      <w:proofErr w:type="spellEnd"/>
      <w:r w:rsidRPr="0033028C">
        <w:t xml:space="preserve">. The </w:t>
      </w:r>
      <w:proofErr w:type="spellStart"/>
      <w:r w:rsidRPr="0033028C">
        <w:t>SDST</w:t>
      </w:r>
      <w:proofErr w:type="spellEnd"/>
      <w:r w:rsidRPr="0033028C">
        <w:t xml:space="preserve"> was created and recorded using </w:t>
      </w:r>
      <w:proofErr w:type="spellStart"/>
      <w:r w:rsidRPr="0033028C">
        <w:t>SuperLab</w:t>
      </w:r>
      <w:proofErr w:type="spellEnd"/>
      <w:r w:rsidRPr="0033028C">
        <w:t xml:space="preserve"> 5 softwa</w:t>
      </w:r>
      <w:r w:rsidRPr="003939B6">
        <w:t xml:space="preserve">re (version 5.05; </w:t>
      </w:r>
      <w:proofErr w:type="spellStart"/>
      <w:r w:rsidRPr="003939B6">
        <w:t>Cedrus</w:t>
      </w:r>
      <w:proofErr w:type="spellEnd"/>
      <w:r w:rsidRPr="003939B6">
        <w:t xml:space="preserve">®, San Pedro, USA), with response times recorded to the nearest millisecond for all target stimuli. </w:t>
      </w:r>
    </w:p>
    <w:p w14:paraId="494A5C93" w14:textId="7D5767F0" w:rsidR="00711BE5" w:rsidRDefault="00711BE5" w:rsidP="004E69A3">
      <w:pPr>
        <w:spacing w:line="360" w:lineRule="auto"/>
        <w:jc w:val="both"/>
      </w:pPr>
      <w:r w:rsidRPr="0033028C">
        <w:t>For both conditions</w:t>
      </w:r>
      <w:r>
        <w:t>,</w:t>
      </w:r>
      <w:r w:rsidRPr="0033028C">
        <w:t xml:space="preserve"> a gaming mouse (Logitech G203, Logitech, Lausanne, Switzerland) with 1 ms latency was employed. In the walking condition</w:t>
      </w:r>
      <w:r>
        <w:t>,</w:t>
      </w:r>
      <w:r w:rsidRPr="0033028C">
        <w:t xml:space="preserve"> the mouse was attached to the side of a replica SA80 rifle, of correct mass, with </w:t>
      </w:r>
      <w:r>
        <w:t xml:space="preserve">a </w:t>
      </w:r>
      <w:r w:rsidRPr="0033028C">
        <w:t>mouse button adjacent to the trigger location. During the seated condition</w:t>
      </w:r>
      <w:r>
        <w:t>,</w:t>
      </w:r>
      <w:r w:rsidRPr="0033028C">
        <w:t xml:space="preserve"> the tests were displayed on a laptop screen (30.9 x 17.4 cm; Toshiba, Tokyo, Japan), whilst for </w:t>
      </w:r>
      <w:r>
        <w:t xml:space="preserve">the </w:t>
      </w:r>
      <w:r w:rsidRPr="0033028C">
        <w:t>walking condition</w:t>
      </w:r>
      <w:r>
        <w:t>,</w:t>
      </w:r>
      <w:r w:rsidRPr="0033028C">
        <w:t xml:space="preserve"> the task was projected ~2.6 m in front of the individual walking on the treadmill (0.97 x 0.79 m). A marker was placed on the side of the treadmill, and participants were instructed to stay in line with it, </w:t>
      </w:r>
      <w:r>
        <w:lastRenderedPageBreak/>
        <w:t>so</w:t>
      </w:r>
      <w:r w:rsidRPr="0033028C">
        <w:t xml:space="preserve"> that the stimuli size was consistent for all participants. Again, whilst this approach may have been less than optimal</w:t>
      </w:r>
      <w:r>
        <w:t>,</w:t>
      </w:r>
      <w:r w:rsidRPr="0033028C">
        <w:t xml:space="preserve"> with respect to action fidelity, due to differen</w:t>
      </w:r>
      <w:r>
        <w:t>t</w:t>
      </w:r>
      <w:r w:rsidRPr="0033028C">
        <w:t xml:space="preserve"> response modes, as the study was not designed </w:t>
      </w:r>
      <w:r>
        <w:t xml:space="preserve">to </w:t>
      </w:r>
      <w:r w:rsidRPr="0033028C">
        <w:t>compare walking and seated conditions, this approach was chosen principally due to the impracticalities of utilising physiological laboratories to collect seated data.</w:t>
      </w:r>
    </w:p>
    <w:p w14:paraId="6A7EB835" w14:textId="77777777" w:rsidR="00E02773" w:rsidRDefault="00E02773" w:rsidP="004E69A3">
      <w:pPr>
        <w:pStyle w:val="Heading2"/>
        <w:jc w:val="both"/>
      </w:pPr>
      <w:r>
        <w:rPr>
          <w:noProof/>
        </w:rPr>
        <w:drawing>
          <wp:inline distT="0" distB="0" distL="0" distR="0" wp14:anchorId="7E9CB769" wp14:editId="741DD794">
            <wp:extent cx="5396865" cy="380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_stimuliv2.jpe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396865" cy="3804920"/>
                    </a:xfrm>
                    <a:prstGeom prst="rect">
                      <a:avLst/>
                    </a:prstGeom>
                  </pic:spPr>
                </pic:pic>
              </a:graphicData>
            </a:graphic>
          </wp:inline>
        </w:drawing>
      </w:r>
    </w:p>
    <w:p w14:paraId="3FA1B7FD" w14:textId="6217C2CF" w:rsidR="00E02773" w:rsidRDefault="00E02773" w:rsidP="00E02773">
      <w:pPr>
        <w:pStyle w:val="Figurecaption"/>
      </w:pPr>
      <w:r>
        <w:t>Figure 1. Example Shoot-/Don’t-Shoot Stimuli.</w:t>
      </w:r>
    </w:p>
    <w:p w14:paraId="44CE5243" w14:textId="21972CE3" w:rsidR="00711BE5" w:rsidRDefault="00711BE5" w:rsidP="004E69A3">
      <w:pPr>
        <w:pStyle w:val="Heading2"/>
        <w:jc w:val="both"/>
      </w:pPr>
      <w:r w:rsidRPr="00711BE5">
        <w:t xml:space="preserve">Seated Reliability of Military Specific Cognitive Assessments </w:t>
      </w:r>
    </w:p>
    <w:p w14:paraId="3A36AC88" w14:textId="77777777" w:rsidR="00711BE5" w:rsidRDefault="00711BE5" w:rsidP="004E69A3">
      <w:pPr>
        <w:spacing w:line="360" w:lineRule="auto"/>
        <w:jc w:val="both"/>
        <w:rPr>
          <w:color w:val="000000" w:themeColor="text1"/>
        </w:rPr>
      </w:pPr>
      <w:r w:rsidRPr="00334FCA">
        <w:t>Part 1 comprised of three laboratory visits. During the first visit</w:t>
      </w:r>
      <w:r>
        <w:t>,</w:t>
      </w:r>
      <w:r w:rsidRPr="00334FCA">
        <w:t xml:space="preserve"> participants were familiarised (two full trial completions</w:t>
      </w:r>
      <w:r>
        <w:t xml:space="preserve"> of each assessment</w:t>
      </w:r>
      <w:r w:rsidRPr="00334FCA">
        <w:t xml:space="preserve">) with the </w:t>
      </w:r>
      <w:proofErr w:type="spellStart"/>
      <w:r w:rsidRPr="00334FCA">
        <w:t>MSANT</w:t>
      </w:r>
      <w:proofErr w:type="spellEnd"/>
      <w:r w:rsidRPr="00334FCA">
        <w:t xml:space="preserve"> and </w:t>
      </w:r>
      <w:proofErr w:type="spellStart"/>
      <w:r w:rsidRPr="00334FCA">
        <w:t>SDST</w:t>
      </w:r>
      <w:proofErr w:type="spellEnd"/>
      <w:r w:rsidRPr="00334FCA">
        <w:t>, in a randomised counterbalanced order. The number of familiarisation trials w</w:t>
      </w:r>
      <w:r>
        <w:t>as</w:t>
      </w:r>
      <w:r w:rsidRPr="00334FCA">
        <w:t xml:space="preserve"> based on initial pilot testing, and time expediency. For the second, and third visits, participants completed the </w:t>
      </w:r>
      <w:proofErr w:type="spellStart"/>
      <w:r w:rsidRPr="00334FCA">
        <w:t>MSANT</w:t>
      </w:r>
      <w:proofErr w:type="spellEnd"/>
      <w:r w:rsidRPr="00334FCA">
        <w:t xml:space="preserve"> and </w:t>
      </w:r>
      <w:proofErr w:type="spellStart"/>
      <w:r w:rsidRPr="00334FCA">
        <w:t>SDST</w:t>
      </w:r>
      <w:proofErr w:type="spellEnd"/>
      <w:r w:rsidRPr="00334FCA">
        <w:t xml:space="preserve"> in the same randomised counterbalanced order as they had during visit one. </w:t>
      </w:r>
      <w:r w:rsidRPr="00334FCA">
        <w:rPr>
          <w:color w:val="000000" w:themeColor="text1"/>
        </w:rPr>
        <w:t>Trials were separated by a minimum of 24 hours.</w:t>
      </w:r>
    </w:p>
    <w:p w14:paraId="5E85AF3A" w14:textId="77777777" w:rsidR="00711BE5" w:rsidRDefault="00711BE5" w:rsidP="004E69A3">
      <w:pPr>
        <w:pStyle w:val="Heading2"/>
        <w:jc w:val="both"/>
      </w:pPr>
      <w:r>
        <w:lastRenderedPageBreak/>
        <w:t>Wa</w:t>
      </w:r>
      <w:r w:rsidRPr="00711BE5">
        <w:t>lking Reliability of Military Specific Cognitive Assessments</w:t>
      </w:r>
    </w:p>
    <w:p w14:paraId="49A02B65" w14:textId="36186F1C" w:rsidR="00711BE5" w:rsidRDefault="00711BE5" w:rsidP="004E69A3">
      <w:pPr>
        <w:spacing w:line="360" w:lineRule="auto"/>
        <w:jc w:val="both"/>
      </w:pPr>
      <w:r w:rsidRPr="00334FCA">
        <w:t xml:space="preserve">For part 2, a subsample of 12 participants completed three additional laboratory visits and completed the </w:t>
      </w:r>
      <w:proofErr w:type="spellStart"/>
      <w:r w:rsidRPr="00334FCA">
        <w:t>SDST</w:t>
      </w:r>
      <w:proofErr w:type="spellEnd"/>
      <w:r w:rsidRPr="00334FCA">
        <w:t xml:space="preserve"> and </w:t>
      </w:r>
      <w:proofErr w:type="spellStart"/>
      <w:r w:rsidRPr="00334FCA">
        <w:t>MSANT</w:t>
      </w:r>
      <w:proofErr w:type="spellEnd"/>
      <w:r w:rsidRPr="00334FCA">
        <w:t xml:space="preserve"> whilst walking on a treadmill. The </w:t>
      </w:r>
      <w:proofErr w:type="spellStart"/>
      <w:r w:rsidRPr="00334FCA">
        <w:t>MSANT</w:t>
      </w:r>
      <w:proofErr w:type="spellEnd"/>
      <w:r w:rsidRPr="00334FCA">
        <w:t xml:space="preserve"> and </w:t>
      </w:r>
      <w:proofErr w:type="spellStart"/>
      <w:r w:rsidRPr="00334FCA">
        <w:t>SDST</w:t>
      </w:r>
      <w:proofErr w:type="spellEnd"/>
      <w:r w:rsidRPr="00334FCA">
        <w:t xml:space="preserve"> were again completed in a randomised counterbalanced order. All tests were completed with 10 minutes </w:t>
      </w:r>
      <w:r>
        <w:t xml:space="preserve">of </w:t>
      </w:r>
      <w:r w:rsidRPr="00334FCA">
        <w:t xml:space="preserve">seated rest between trials to negate the influence of physical fatigue. To enable </w:t>
      </w:r>
      <w:r>
        <w:t xml:space="preserve">a </w:t>
      </w:r>
      <w:r w:rsidRPr="00334FCA">
        <w:t>physiological steady</w:t>
      </w:r>
      <w:r>
        <w:t>-</w:t>
      </w:r>
      <w:r w:rsidRPr="00334FCA">
        <w:t xml:space="preserve">state to occur, participants completed five minutes of walking </w:t>
      </w:r>
      <w:r>
        <w:t>before</w:t>
      </w:r>
      <w:r w:rsidRPr="00334FCA">
        <w:t xml:space="preserve"> the commencement of the cognitive assessments. For all walking trials, participants walked on a motorised treadmill (6.5 km·h</w:t>
      </w:r>
      <w:r w:rsidRPr="00334FCA">
        <w:rPr>
          <w:vertAlign w:val="superscript"/>
        </w:rPr>
        <w:t>-1</w:t>
      </w:r>
      <w:r w:rsidRPr="00334FCA">
        <w:t xml:space="preserve">, 1% gradient) based on the fastest load carriage walking speed within the literature </w:t>
      </w:r>
      <w:r w:rsidRPr="00334FCA">
        <w:fldChar w:fldCharType="begin" w:fldLock="1"/>
      </w:r>
      <w:r w:rsidR="00B4593D">
        <w:instrText>ADDIN CSL_CITATION {"citationItems":[{"id":"ITEM-1","itemData":{"ISSN":"1899-7562","author":[{"dropping-particle":"","family":"Blacker","given":"S.D","non-dropping-particle":"","parse-names":false,"suffix":""},{"dropping-particle":"","family":"Fallowfield","given":"J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T","non-dropping-particle":"","parse-names":false,"suffix":""}],"container-title":"Journal of human kinetics","id":"ITEM-1","issue":"1","issued":{"date-parts":[["2013"]]},"page":"91-98","title":"Neuromuscular impairment following backpack load carriage","type":"article-journal","volume":"37"},"uris":["http://www.mendeley.com/documents/?uuid=f50693d3-d581-4d9a-a23d-3f5efa9a8320"]}],"mendeley":{"formattedCitation":"(Blacker et al., 2013)","manualFormatting":"(Blacker et al., 2013)","plainTextFormattedCitation":"(Blacker et al., 2013)","previouslyFormattedCitation":"(Blacker et al., 2013)"},"properties":{"noteIndex":0},"schema":"https://github.com/citation-style-language/schema/raw/master/csl-citation.json"}</w:instrText>
      </w:r>
      <w:r w:rsidRPr="00334FCA">
        <w:fldChar w:fldCharType="separate"/>
      </w:r>
      <w:r>
        <w:rPr>
          <w:noProof/>
        </w:rPr>
        <w:t>(</w:t>
      </w:r>
      <w:r w:rsidRPr="00CA30C0">
        <w:rPr>
          <w:noProof/>
        </w:rPr>
        <w:t>Blacker et al., 2013)</w:t>
      </w:r>
      <w:r w:rsidRPr="00334FCA">
        <w:fldChar w:fldCharType="end"/>
      </w:r>
      <w:r w:rsidRPr="00334FCA">
        <w:t xml:space="preserve"> and represent</w:t>
      </w:r>
      <w:r>
        <w:t>s a typical ‘enemy c</w:t>
      </w:r>
      <w:r w:rsidRPr="00334FCA">
        <w:t xml:space="preserve">ontact’ speed </w:t>
      </w:r>
      <w:r w:rsidRPr="00334FCA">
        <w:fldChar w:fldCharType="begin" w:fldLock="1"/>
      </w:r>
      <w:r w:rsidR="00193008">
        <w:instrText>ADDIN CSL_CITATION {"citationItems":[{"id":"ITEM-1","itemData":{"DOI":"10.1080/00140139.2019.1629638","ISSN":"13665847","abstract":"The effect of load carriage on pulmonary function was investigated during a treadmill march of increasing intensity. 24 male infantry soldiers marched on six occasions wearing either: no load, 15 kg, 30 kg, 40 kg or 50 kg. Each loaded configuration included body armour which was worn as battle-fit or loose-fit (40 kg only). FVC and FEV1 were reduced by 6 to 15% with load. Maximal mouth pressures were reduced post load carriage by up to 11% (inspiratory) and 17% (expiratory). Increased ventilatory demands associated with carrying increased mass were met by increases in breathing frequency (from 3 to 26 breaths·min−1) with minimal changes to tidal volume. 72% of participants experienced expiratory flow limitation whilst wearing the heaviest load. Loosening the armour had minimal effects on pulmonary function. It was concluded that as mass and exercise intensity are increased, the degree of expiratory flow limitation also increases. Practitioner Summary: This study investigated the effect of soldier load carriage on pulmonary function, to inform the trade-off between protection and burden. Load carriage caused an inefficient breathing pattern, respiratory muscle fatigue and expiratory flow limitation during marching. These effects were exacerbated by increases in mass carried and march intensity.","author":[{"dropping-particle":"","family":"Armstrong","given":"N","non-dropping-particle":"","parse-names":false,"suffix":""},{"dropping-particle":"","family":"Ward","given":"Amanda","non-dropping-particle":"","parse-names":false,"suffix":""},{"dropping-particle":"","family":"Lomax","given":"Mitch","non-dropping-particle":"","parse-names":false,"suffix":""},{"dropping-particle":"","family":"Tipton","given":"Michael J.","non-dropping-particle":"","parse-names":false,"suffix":""},{"dropping-particle":"","family":"House","given":"James R.","non-dropping-particle":"","parse-names":false,"suffix":""}],"container-title":"Ergonomics","id":"ITEM-1","issue":"9","issued":{"date-parts":[["2019"]]},"page":"1181-1192","publisher":"Taylor &amp; Francis","title":"Wearing body armour and backpack loads increase the likelihood of expiratory flow limitation and respiratory muscle fatigue during marching","type":"article-journal","volume":"62"},"uris":["http://www.mendeley.com/documents/?uuid=833ccb3d-2263-4e4c-8589-180e5c51e4da"]}],"mendeley":{"formattedCitation":"(Armstrong et al., 2019)","manualFormatting":"(Armstrong, Ward, Lomax, Tipton, &amp; House, 2019)","plainTextFormattedCitation":"(Armstrong et al., 2019)","previouslyFormattedCitation":"(Armstrong et al., 2019)"},"properties":{"noteIndex":0},"schema":"https://github.com/citation-style-language/schema/raw/master/csl-citation.json"}</w:instrText>
      </w:r>
      <w:r w:rsidRPr="00334FCA">
        <w:fldChar w:fldCharType="separate"/>
      </w:r>
      <w:r w:rsidRPr="00334FCA">
        <w:rPr>
          <w:noProof/>
        </w:rPr>
        <w:t>(Armstrong, Ward, Lomax, Tipton, &amp; House, 2019)</w:t>
      </w:r>
      <w:r w:rsidRPr="00334FCA">
        <w:fldChar w:fldCharType="end"/>
      </w:r>
      <w:r w:rsidRPr="00334FCA">
        <w:t>.</w:t>
      </w:r>
    </w:p>
    <w:p w14:paraId="20ADAE0A" w14:textId="77777777" w:rsidR="00711BE5" w:rsidRDefault="00711BE5" w:rsidP="004E69A3">
      <w:pPr>
        <w:pStyle w:val="Heading2"/>
        <w:jc w:val="both"/>
      </w:pPr>
      <w:r w:rsidRPr="00711BE5">
        <w:t xml:space="preserve">Analysis of </w:t>
      </w:r>
      <w:r>
        <w:t>Cognitive Assessment Parameters</w:t>
      </w:r>
    </w:p>
    <w:p w14:paraId="41FA8223" w14:textId="77777777" w:rsidR="00711BE5" w:rsidRDefault="00711BE5" w:rsidP="004E69A3">
      <w:pPr>
        <w:pStyle w:val="Heading3"/>
        <w:jc w:val="both"/>
      </w:pPr>
      <w:proofErr w:type="spellStart"/>
      <w:r>
        <w:t>MSANT</w:t>
      </w:r>
      <w:proofErr w:type="spellEnd"/>
    </w:p>
    <w:p w14:paraId="425F3DA6" w14:textId="0651BBF8" w:rsidR="00711BE5" w:rsidRDefault="00711BE5" w:rsidP="004E69A3">
      <w:pPr>
        <w:spacing w:line="360" w:lineRule="auto"/>
        <w:jc w:val="both"/>
      </w:pPr>
      <w:r>
        <w:t>The n</w:t>
      </w:r>
      <w:r w:rsidRPr="00334FCA">
        <w:t>umber of correct responses and partial</w:t>
      </w:r>
      <w:r>
        <w:t>ly</w:t>
      </w:r>
      <w:r w:rsidRPr="00334FCA">
        <w:t xml:space="preserve"> correct responses w</w:t>
      </w:r>
      <w:r>
        <w:t>as</w:t>
      </w:r>
      <w:r w:rsidRPr="00334FCA">
        <w:t xml:space="preserve"> collected and compared for each trial. A </w:t>
      </w:r>
      <w:r>
        <w:t xml:space="preserve">correct response was when both letters were correctly identified and in the correct order. </w:t>
      </w:r>
      <w:r w:rsidR="00CC670E">
        <w:t>A</w:t>
      </w:r>
      <w:r>
        <w:t xml:space="preserve"> </w:t>
      </w:r>
      <w:r w:rsidRPr="00334FCA">
        <w:t xml:space="preserve">partial response was when an individual letter in a pair was identified, in the correct location (i.e. first or second letter), but the </w:t>
      </w:r>
      <w:r>
        <w:t>other letter given</w:t>
      </w:r>
      <w:r w:rsidRPr="00334FCA">
        <w:t xml:space="preserve"> was incorrect. </w:t>
      </w:r>
      <w:r>
        <w:t>T</w:t>
      </w:r>
      <w:r w:rsidRPr="00334FCA">
        <w:t>o give an additional level of fidelity and sensitivity between individuals, the parameter of total combined co</w:t>
      </w:r>
      <w:r>
        <w:t xml:space="preserve">rrect responses was calculated </w:t>
      </w:r>
      <w:r w:rsidR="00E339F2">
        <w:t>(Equation 1</w:t>
      </w:r>
      <w:r w:rsidRPr="00334FCA">
        <w:t>)</w:t>
      </w:r>
      <w:r>
        <w:t>. Within this equation, a weighting was added to total correct responses to differentiate from partial correct responses and also highlight the importance of correct responses compared with partial correct responses within the context of military operations.</w:t>
      </w:r>
    </w:p>
    <w:p w14:paraId="2FB5CB1D" w14:textId="77777777" w:rsidR="00E339F2" w:rsidRDefault="00CC670E" w:rsidP="004E69A3">
      <w:pPr>
        <w:pStyle w:val="Displayedequation"/>
        <w:spacing w:line="360" w:lineRule="auto"/>
        <w:jc w:val="both"/>
      </w:pPr>
      <w:r w:rsidRPr="00E339F2">
        <w:t xml:space="preserve">Total combined correct responses = </w:t>
      </w:r>
    </w:p>
    <w:p w14:paraId="5ACCE757" w14:textId="27CB4A60" w:rsidR="00711BE5" w:rsidRPr="00E339F2" w:rsidRDefault="00CC670E" w:rsidP="004E69A3">
      <w:pPr>
        <w:pStyle w:val="Displayedequation"/>
        <w:spacing w:line="360" w:lineRule="auto"/>
        <w:jc w:val="both"/>
      </w:pPr>
      <w:r w:rsidRPr="00E339F2">
        <w:t>(3 x Total correct responses) + Partial correct responses</w:t>
      </w:r>
      <w:r w:rsidR="00E339F2">
        <w:tab/>
        <w:t>(1)</w:t>
      </w:r>
    </w:p>
    <w:p w14:paraId="01D3CCE0" w14:textId="77777777" w:rsidR="00711BE5" w:rsidRDefault="00711BE5" w:rsidP="004E69A3">
      <w:pPr>
        <w:pStyle w:val="Heading3"/>
        <w:jc w:val="both"/>
      </w:pPr>
      <w:proofErr w:type="spellStart"/>
      <w:r>
        <w:t>SDST</w:t>
      </w:r>
      <w:proofErr w:type="spellEnd"/>
    </w:p>
    <w:p w14:paraId="35675FCD" w14:textId="37133895" w:rsidR="00711BE5" w:rsidRDefault="00711BE5" w:rsidP="004E69A3">
      <w:pPr>
        <w:spacing w:line="360" w:lineRule="auto"/>
        <w:jc w:val="both"/>
      </w:pPr>
      <w:r>
        <w:t xml:space="preserve">The number of </w:t>
      </w:r>
      <w:r w:rsidRPr="008C0A90">
        <w:t>shoot correct, don’</w:t>
      </w:r>
      <w:r>
        <w:t xml:space="preserve">t-shoot correct, total correct </w:t>
      </w:r>
      <w:r w:rsidR="00E339F2">
        <w:t>(Equation 2)</w:t>
      </w:r>
      <w:r w:rsidRPr="008C0A90">
        <w:t>, and response times w</w:t>
      </w:r>
      <w:r>
        <w:t>as</w:t>
      </w:r>
      <w:r w:rsidRPr="008C0A90">
        <w:t xml:space="preserve"> compared across trials. A response time greater than 1 second, was classified as a non-response. </w:t>
      </w:r>
      <w:r>
        <w:t>T</w:t>
      </w:r>
      <w:r w:rsidRPr="008C0A90">
        <w:t xml:space="preserve">o determine whether changes in the aforementioned </w:t>
      </w:r>
      <w:proofErr w:type="spellStart"/>
      <w:r w:rsidRPr="008C0A90">
        <w:t>SDST</w:t>
      </w:r>
      <w:proofErr w:type="spellEnd"/>
      <w:r w:rsidRPr="008C0A90">
        <w:t xml:space="preserve"> </w:t>
      </w:r>
      <w:r w:rsidRPr="008C0A90">
        <w:lastRenderedPageBreak/>
        <w:t>parameters were operationally relevant the accuracy-speed tra</w:t>
      </w:r>
      <w:r>
        <w:t xml:space="preserve">de-off </w:t>
      </w:r>
      <w:proofErr w:type="spellStart"/>
      <w:r w:rsidR="007048EA">
        <w:t>ASTO</w:t>
      </w:r>
      <w:proofErr w:type="spellEnd"/>
      <w:r w:rsidR="007048EA">
        <w:t xml:space="preserve">) </w:t>
      </w:r>
      <w:r>
        <w:t xml:space="preserve">variable was calculated </w:t>
      </w:r>
      <w:r w:rsidR="00E339F2">
        <w:t>(Equation 3)</w:t>
      </w:r>
      <w:r w:rsidRPr="008C0A90">
        <w:t>.</w:t>
      </w:r>
    </w:p>
    <w:p w14:paraId="59D31EAE" w14:textId="57CC91D3" w:rsidR="00711BE5" w:rsidRPr="00E339F2" w:rsidRDefault="00711BE5" w:rsidP="004E69A3">
      <w:pPr>
        <w:pStyle w:val="Displayedequation"/>
        <w:spacing w:line="360" w:lineRule="auto"/>
        <w:jc w:val="both"/>
      </w:pPr>
      <w:r w:rsidRPr="00E339F2">
        <w:t>Total correct responses = (∑ shoot correct + ∑ don’t-shoot correct)</w:t>
      </w:r>
      <w:r w:rsidR="00E339F2">
        <w:tab/>
        <w:t>(2)</w:t>
      </w:r>
    </w:p>
    <w:p w14:paraId="134CD693" w14:textId="42616AA4" w:rsidR="00711BE5" w:rsidRPr="00E339F2" w:rsidRDefault="007048EA" w:rsidP="004E69A3">
      <w:pPr>
        <w:pStyle w:val="Displayedequation"/>
        <w:spacing w:line="360" w:lineRule="auto"/>
        <w:jc w:val="both"/>
      </w:pPr>
      <w:proofErr w:type="spellStart"/>
      <w:r>
        <w:t>ASTO</w:t>
      </w:r>
      <w:proofErr w:type="spellEnd"/>
      <w:r w:rsidR="00711BE5" w:rsidRPr="00E339F2">
        <w:t xml:space="preserve"> =</w:t>
      </w:r>
      <w:r w:rsidR="00CC670E" w:rsidRPr="00E339F2">
        <w:t xml:space="preserve"> </w:t>
      </w:r>
      <w:r w:rsidR="00711BE5" w:rsidRPr="00E339F2">
        <w:t>(</w:t>
      </w:r>
      <w:r w:rsidR="00CC670E" w:rsidRPr="00E339F2">
        <w:t>Average</w:t>
      </w:r>
      <w:r w:rsidR="00711BE5" w:rsidRPr="00E339F2">
        <w:t xml:space="preserve"> response time)</w:t>
      </w:r>
      <w:r w:rsidR="00CC670E" w:rsidRPr="00E339F2">
        <w:t xml:space="preserve"> ÷ </w:t>
      </w:r>
      <w:r w:rsidR="00711BE5" w:rsidRPr="00E339F2">
        <w:t>(Total correct responses)</w:t>
      </w:r>
      <w:r w:rsidR="00E339F2">
        <w:tab/>
        <w:t>(3)</w:t>
      </w:r>
    </w:p>
    <w:p w14:paraId="05D08552" w14:textId="77777777" w:rsidR="00711BE5" w:rsidRDefault="00711BE5" w:rsidP="004E69A3">
      <w:pPr>
        <w:pStyle w:val="Heading2"/>
        <w:jc w:val="both"/>
        <w:rPr>
          <w:lang w:eastAsia="en-US"/>
        </w:rPr>
      </w:pPr>
      <w:r>
        <w:rPr>
          <w:lang w:eastAsia="en-US"/>
        </w:rPr>
        <w:t>Statistical Analysis</w:t>
      </w:r>
    </w:p>
    <w:p w14:paraId="2B974BF2" w14:textId="7DFF3352" w:rsidR="00711BE5" w:rsidRDefault="00711BE5" w:rsidP="004E69A3">
      <w:pPr>
        <w:spacing w:line="360" w:lineRule="auto"/>
        <w:jc w:val="both"/>
        <w:rPr>
          <w:color w:val="000000" w:themeColor="text1"/>
        </w:rPr>
      </w:pPr>
      <w:r w:rsidRPr="00F57CA6">
        <w:t xml:space="preserve">Data were </w:t>
      </w:r>
      <w:r>
        <w:t xml:space="preserve">principally </w:t>
      </w:r>
      <w:r w:rsidRPr="00F57CA6">
        <w:t xml:space="preserve">analysed using </w:t>
      </w:r>
      <w:proofErr w:type="spellStart"/>
      <w:r w:rsidRPr="00F57CA6">
        <w:t>JASP</w:t>
      </w:r>
      <w:proofErr w:type="spellEnd"/>
      <w:r w:rsidRPr="00F57CA6">
        <w:t xml:space="preserve"> </w:t>
      </w:r>
      <w:r w:rsidRPr="00F57CA6">
        <w:fldChar w:fldCharType="begin" w:fldLock="1"/>
      </w:r>
      <w:r w:rsidRPr="00F57CA6">
        <w:instrText>ADDIN CSL_CITATION {"citationItems":[{"id":"ITEM-1","itemData":{"author":[{"dropping-particle":"","family":"JASP","given":"","non-dropping-particle":"","parse-names":false,"suffix":""}],"id":"ITEM-1","issued":{"date-parts":[["2020"]]},"title":"JASP (Version 0.14.1)[Computer software]","type":"article"},"uris":["http://www.mendeley.com/documents/?uuid=f441595a-1d98-4e0a-8500-5d9443f81d46"]}],"mendeley":{"formattedCitation":"(JASP, 2020)","manualFormatting":"(JASP, 2020; ","plainTextFormattedCitation":"(JASP, 2020)","previouslyFormattedCitation":"(JASP, 2020)"},"properties":{"noteIndex":0},"schema":"https://github.com/citation-style-language/schema/raw/master/csl-citation.json"}</w:instrText>
      </w:r>
      <w:r w:rsidRPr="00F57CA6">
        <w:fldChar w:fldCharType="separate"/>
      </w:r>
      <w:r w:rsidRPr="00F57CA6">
        <w:rPr>
          <w:noProof/>
        </w:rPr>
        <w:t xml:space="preserve">(JASP, 2020; </w:t>
      </w:r>
      <w:r w:rsidRPr="00F57CA6">
        <w:fldChar w:fldCharType="end"/>
      </w:r>
      <w:r w:rsidRPr="00F57CA6">
        <w:t>Version 0.14.1) and are present</w:t>
      </w:r>
      <w:r w:rsidR="00B4593D">
        <w:t>ed as mean ± standard deviation</w:t>
      </w:r>
      <w:r w:rsidRPr="00F57CA6">
        <w:t xml:space="preserve"> unless otherwise stated. </w:t>
      </w:r>
      <w:r>
        <w:t xml:space="preserve">For comparative purposes, scores were converted to percentages. </w:t>
      </w:r>
      <w:r w:rsidRPr="00F57CA6">
        <w:t xml:space="preserve">Data were assessed for normality using skewness and kurtosis ratios </w:t>
      </w:r>
      <w:r w:rsidRPr="00F57CA6">
        <w:fldChar w:fldCharType="begin" w:fldLock="1"/>
      </w:r>
      <w:r>
        <w:instrText>ADDIN CSL_CITATION {"citationItems":[{"id":"ITEM-1","itemData":{"ISBN":"1905367007","author":[{"dropping-particle":"","family":"Fallowfield","given":"Joanne L","non-dropping-particle":"","parse-names":false,"suffix":""},{"dropping-particle":"","family":"Hale","given":"Beverley J","non-dropping-particle":"","parse-names":false,"suffix":""},{"dropping-particle":"","family":"Wilkinson","given":"David M","non-dropping-particle":"","parse-names":false,"suffix":""}],"id":"ITEM-1","issued":{"date-parts":[["2005"]]},"publisher":"Lotus Pub.","title":"Using statistics in sport and exercise science research","type":"book"},"uris":["http://www.mendeley.com/documents/?uuid=0101a895-8f3e-4b8a-adf4-cf743e8c7725"]}],"mendeley":{"formattedCitation":"(Fallowfield et al., 2005)","plainTextFormattedCitation":"(Fallowfield et al., 2005)","previouslyFormattedCitation":"(Fallowfield et al., 2005)"},"properties":{"noteIndex":0},"schema":"https://github.com/citation-style-language/schema/raw/master/csl-citation.json"}</w:instrText>
      </w:r>
      <w:r w:rsidRPr="00F57CA6">
        <w:fldChar w:fldCharType="separate"/>
      </w:r>
      <w:r w:rsidRPr="00CA30C0">
        <w:rPr>
          <w:noProof/>
        </w:rPr>
        <w:t>(Fallowfield et al., 2005)</w:t>
      </w:r>
      <w:r w:rsidRPr="00F57CA6">
        <w:fldChar w:fldCharType="end"/>
      </w:r>
      <w:r w:rsidRPr="00F57CA6">
        <w:t>, and sphericity; with the Greenhouse-</w:t>
      </w:r>
      <w:proofErr w:type="spellStart"/>
      <w:r w:rsidRPr="00F57CA6">
        <w:t>Geisser</w:t>
      </w:r>
      <w:proofErr w:type="spellEnd"/>
      <w:r w:rsidRPr="00F57CA6">
        <w:t xml:space="preserve"> correction applied if sphericity assumptions were violated. For normally distributed data, a one-way ANOVA was employed to identify whether a likely main effect of assessment </w:t>
      </w:r>
      <w:r>
        <w:t xml:space="preserve">time point (including familiarisation trials) </w:t>
      </w:r>
      <w:r w:rsidRPr="00F57CA6">
        <w:t>was apparent</w:t>
      </w:r>
      <w:r>
        <w:t xml:space="preserve">. </w:t>
      </w:r>
      <w:r w:rsidRPr="00F57CA6">
        <w:t>Effect sizes are presented as Omega squared (</w:t>
      </w:r>
      <w:r w:rsidRPr="00DE3A78">
        <w:t>Ѡ</w:t>
      </w:r>
      <w:r w:rsidRPr="00D528CE">
        <w:rPr>
          <w:vertAlign w:val="superscript"/>
        </w:rPr>
        <w:t>2</w:t>
      </w:r>
      <w:r w:rsidRPr="00F57CA6">
        <w:t xml:space="preserve">) </w:t>
      </w:r>
      <w:r w:rsidRPr="00F57CA6">
        <w:fldChar w:fldCharType="begin" w:fldLock="1"/>
      </w:r>
      <w:r>
        <w:instrText>ADDIN CSL_CITATION {"citationItems":[{"id":"ITEM-1","itemData":{"ISSN":"0360-3989","author":[{"dropping-particle":"","family":"Levine","given":"Timothy R","non-dropping-particle":"","parse-names":false,"suffix":""},{"dropping-particle":"","family":"Hullett","given":"Craig R","non-dropping-particle":"","parse-names":false,"suffix":""}],"container-title":"Human Communication Research","id":"ITEM-1","issue":"4","issued":{"date-parts":[["2002"]]},"page":"612-625","publisher":"Oxford University Press","title":"Eta squared, partial eta squared, and misreporting of effect size in communication research","type":"article-journal","volume":"28"},"uris":["http://www.mendeley.com/documents/?uuid=17692cbc-8f06-4f48-a548-a2f7d5043cba"]}],"mendeley":{"formattedCitation":"(Levine &amp; Hullett, 2002)","plainTextFormattedCitation":"(Levine &amp; Hullett, 2002)","previouslyFormattedCitation":"(Levine &amp; Hullett, 2002)"},"properties":{"noteIndex":0},"schema":"https://github.com/citation-style-language/schema/raw/master/csl-citation.json"}</w:instrText>
      </w:r>
      <w:r w:rsidRPr="00F57CA6">
        <w:fldChar w:fldCharType="separate"/>
      </w:r>
      <w:r w:rsidRPr="00F57CA6">
        <w:rPr>
          <w:noProof/>
        </w:rPr>
        <w:t>(Levine &amp; Hullett, 2002)</w:t>
      </w:r>
      <w:r w:rsidRPr="00F57CA6">
        <w:fldChar w:fldCharType="end"/>
      </w:r>
      <w:r w:rsidRPr="00F57CA6">
        <w:t xml:space="preserve">, with 0.01, 0.06, and 0.14 classed as small, medium and large, respectively </w:t>
      </w:r>
      <w:r w:rsidRPr="00F57CA6">
        <w:fldChar w:fldCharType="begin" w:fldLock="1"/>
      </w:r>
      <w:r>
        <w:instrText>ADDIN CSL_CITATION {"citationItems":[{"id":"ITEM-1","itemData":{"ISBN":"1446274586","author":[{"dropping-particle":"","family":"Field","given":"Andy","non-dropping-particle":"","parse-names":false,"suffix":""}],"id":"ITEM-1","issued":{"date-parts":[["2013"]]},"note":"Field (2013) suggests the following interpretation heuristics:\nOmega Squared = 0 - 0.01: Very small\nOmega Squared = 0.01 - 0.06: Small\nOmega Squared = 0.06 - 0.14: Medium\nOmega Squared &amp;gt; 0.14: Large","publisher":"sage","title":"Discovering statistics using IBM SPSS statistics","type":"book"},"uris":["http://www.mendeley.com/documents/?uuid=64093dc0-b512-456e-b4e8-e6316ce2ea8e"]}],"mendeley":{"formattedCitation":"(Field, 2013)","plainTextFormattedCitation":"(Field, 2013)","previouslyFormattedCitation":"(Field, 2013)"},"properties":{"noteIndex":0},"schema":"https://github.com/citation-style-language/schema/raw/master/csl-citation.json"}</w:instrText>
      </w:r>
      <w:r w:rsidRPr="00F57CA6">
        <w:fldChar w:fldCharType="separate"/>
      </w:r>
      <w:r w:rsidRPr="00F57CA6">
        <w:rPr>
          <w:noProof/>
        </w:rPr>
        <w:t>(Field, 2013)</w:t>
      </w:r>
      <w:r w:rsidRPr="00F57CA6">
        <w:fldChar w:fldCharType="end"/>
      </w:r>
      <w:r w:rsidRPr="00F57CA6">
        <w:t xml:space="preserve">. Where F-statistics, </w:t>
      </w:r>
      <w:r w:rsidRPr="050DAF6D">
        <w:rPr>
          <w:i/>
          <w:iCs/>
        </w:rPr>
        <w:t>p</w:t>
      </w:r>
      <w:r w:rsidRPr="00F57CA6">
        <w:t xml:space="preserve">-values, and effect sizes, likely indicate an incompatibility with the null model, Holm-Bonferroni adjusted pairwise comparisons were made </w:t>
      </w:r>
      <w:r w:rsidRPr="050DAF6D">
        <w:rPr>
          <w:i/>
          <w:iCs/>
        </w:rPr>
        <w:t>post-hoc</w:t>
      </w:r>
      <w:r w:rsidRPr="00F57CA6">
        <w:t>.</w:t>
      </w:r>
      <w:r>
        <w:t xml:space="preserve"> </w:t>
      </w:r>
      <w:r w:rsidRPr="00900C06">
        <w:t>Whilst this approach was utilised to investigate incompatibility with the null model across assessment periods, a lack of incompatibility does not imply equity between time points; thus two one-sided tests were employed between trials 1,</w:t>
      </w:r>
      <w:r>
        <w:t xml:space="preserve"> </w:t>
      </w:r>
      <w:r w:rsidRPr="00900C06">
        <w:t>2</w:t>
      </w:r>
      <w:r>
        <w:t>,</w:t>
      </w:r>
      <w:r w:rsidRPr="00900C06">
        <w:t xml:space="preserve"> and 3, to assess whether differences in scores between trials were at least as extreme as the smallest effect size of interest </w:t>
      </w:r>
      <w:r w:rsidRPr="00900C06">
        <w:fldChar w:fldCharType="begin" w:fldLock="1"/>
      </w:r>
      <w:r w:rsidRPr="00900C06">
        <w:instrText>ADDIN CSL_CITATION {"citationItems":[{"id":"ITEM-1","itemData":{"ISSN":"2515-2459","author":[{"dropping-particle":"","family":"Lakens","given":"Daniël","non-dropping-particle":"","parse-names":false,"suffix":""},{"dropping-particle":"","family":"Scheel","given":"Anne M","non-dropping-particle":"","parse-names":false,"suffix":""},{"dropping-particle":"","family":"Isager","given":"Peder M","non-dropping-particle":"","parse-names":false,"suffix":""}],"container-title":"Advances in Methods and Practices in Psychological Science","id":"ITEM-1","issue":"2","issued":{"date-parts":[["2018"]]},"page":"259-269","publisher":"Sage Publications Sage CA: Los Angeles, CA","title":"Equivalence testing for psychological research: A tutorial","type":"article-journal","volume":"1"},"uris":["http://www.mendeley.com/documents/?uuid=9309cb75-3287-400b-b25a-030e0ef08690"]}],"mendeley":{"formattedCitation":"(Lakens et al., 2018)","plainTextFormattedCitation":"(Lakens et al., 2018)","previouslyFormattedCitation":"(Lakens et al., 2018)"},"properties":{"noteIndex":0},"schema":"https://github.com/citation-style-language/schema/raw/master/csl-citation.json"}</w:instrText>
      </w:r>
      <w:r w:rsidRPr="00900C06">
        <w:fldChar w:fldCharType="separate"/>
      </w:r>
      <w:r w:rsidRPr="00900C06">
        <w:rPr>
          <w:noProof/>
        </w:rPr>
        <w:t>(Lakens et al., 2018)</w:t>
      </w:r>
      <w:r w:rsidRPr="00900C06">
        <w:fldChar w:fldCharType="end"/>
      </w:r>
      <w:r w:rsidRPr="00900C06">
        <w:t xml:space="preserve">. </w:t>
      </w:r>
      <w:r w:rsidRPr="00C0639D">
        <w:t>For non-parametric data a Wilcoxon T</w:t>
      </w:r>
      <w:r w:rsidR="005600F7">
        <w:t xml:space="preserve">wo </w:t>
      </w:r>
      <w:r w:rsidRPr="00C0639D">
        <w:t>O</w:t>
      </w:r>
      <w:r w:rsidR="005600F7">
        <w:t xml:space="preserve">ne </w:t>
      </w:r>
      <w:r w:rsidRPr="00C0639D">
        <w:t>S</w:t>
      </w:r>
      <w:r w:rsidR="005600F7">
        <w:t xml:space="preserve">ided </w:t>
      </w:r>
      <w:r w:rsidRPr="00C0639D">
        <w:t>T</w:t>
      </w:r>
      <w:r w:rsidR="005600F7">
        <w:t>ests</w:t>
      </w:r>
      <w:r w:rsidRPr="00C0639D">
        <w:t xml:space="preserve"> was conducted in R Studio (version 2021.09.1), and the </w:t>
      </w:r>
      <w:proofErr w:type="spellStart"/>
      <w:r w:rsidRPr="00C0639D">
        <w:t>TOSTR</w:t>
      </w:r>
      <w:proofErr w:type="spellEnd"/>
      <w:r>
        <w:t xml:space="preserve"> </w:t>
      </w:r>
      <w:r w:rsidRPr="00C0639D">
        <w:t>package</w:t>
      </w:r>
      <w:r>
        <w:t xml:space="preserve"> (version 0.4.1)</w:t>
      </w:r>
      <w:r w:rsidRPr="00C0639D">
        <w:t>.</w:t>
      </w:r>
      <w:r>
        <w:t xml:space="preserve"> </w:t>
      </w:r>
      <w:r w:rsidRPr="00F57CA6">
        <w:t xml:space="preserve">Based upon the </w:t>
      </w:r>
      <w:r w:rsidR="00E02773">
        <w:t>a</w:t>
      </w:r>
      <w:r w:rsidRPr="00F57CA6">
        <w:t xml:space="preserve"> </w:t>
      </w:r>
      <w:r w:rsidR="00E02773">
        <w:t>p</w:t>
      </w:r>
      <w:r w:rsidRPr="00F57CA6">
        <w:t xml:space="preserve">riori sample size calculation, </w:t>
      </w:r>
      <w:r w:rsidRPr="050DAF6D">
        <w:rPr>
          <w:i/>
          <w:iCs/>
        </w:rPr>
        <w:t>d</w:t>
      </w:r>
      <w:r w:rsidRPr="00F57CA6">
        <w:t xml:space="preserve"> = 0.5 was employed as the smallest effect size of interest. To describe the typical variation in assessment parameters between trials, </w:t>
      </w:r>
      <w:r>
        <w:t>L</w:t>
      </w:r>
      <w:r w:rsidR="005600F7">
        <w:t xml:space="preserve">imits </w:t>
      </w:r>
      <w:r>
        <w:t>o</w:t>
      </w:r>
      <w:r w:rsidR="005600F7">
        <w:t xml:space="preserve">f </w:t>
      </w:r>
      <w:r>
        <w:t>A</w:t>
      </w:r>
      <w:r w:rsidR="005600F7">
        <w:t>greement (</w:t>
      </w:r>
      <w:proofErr w:type="spellStart"/>
      <w:r w:rsidR="005600F7">
        <w:t>LoA</w:t>
      </w:r>
      <w:proofErr w:type="spellEnd"/>
      <w:r w:rsidR="005600F7">
        <w:t>)</w:t>
      </w:r>
      <w:r w:rsidRPr="00F57CA6">
        <w:t xml:space="preserve"> ± 95% </w:t>
      </w:r>
      <w:r>
        <w:t>C</w:t>
      </w:r>
      <w:r w:rsidR="005600F7">
        <w:t xml:space="preserve">onfidence </w:t>
      </w:r>
      <w:r>
        <w:t>I</w:t>
      </w:r>
      <w:r w:rsidR="005600F7">
        <w:t>ntervals (CI)</w:t>
      </w:r>
      <w:r w:rsidRPr="00F57CA6">
        <w:t xml:space="preserve">, </w:t>
      </w:r>
      <w:r>
        <w:t>S</w:t>
      </w:r>
      <w:r w:rsidR="005600F7">
        <w:t xml:space="preserve">tandard </w:t>
      </w:r>
      <w:r>
        <w:t>E</w:t>
      </w:r>
      <w:r w:rsidR="005600F7">
        <w:t xml:space="preserve">rror of the </w:t>
      </w:r>
      <w:r>
        <w:t>M</w:t>
      </w:r>
      <w:r w:rsidR="005600F7">
        <w:t>ean (</w:t>
      </w:r>
      <w:proofErr w:type="spellStart"/>
      <w:r w:rsidR="005600F7">
        <w:t>SEM</w:t>
      </w:r>
      <w:proofErr w:type="spellEnd"/>
      <w:r w:rsidR="005600F7">
        <w:t>)</w:t>
      </w:r>
      <w:r>
        <w:t>,</w:t>
      </w:r>
      <w:r w:rsidRPr="00F57CA6">
        <w:t xml:space="preserve"> and S</w:t>
      </w:r>
      <w:r w:rsidR="005600F7">
        <w:t xml:space="preserve">mallest </w:t>
      </w:r>
      <w:r w:rsidRPr="00F57CA6">
        <w:t>D</w:t>
      </w:r>
      <w:r w:rsidR="005600F7">
        <w:t>etectable Change (</w:t>
      </w:r>
      <w:proofErr w:type="spellStart"/>
      <w:r w:rsidR="005600F7">
        <w:t>SDC</w:t>
      </w:r>
      <w:proofErr w:type="spellEnd"/>
      <w:r w:rsidR="005600F7">
        <w:t>)</w:t>
      </w:r>
      <w:r w:rsidRPr="00F57CA6">
        <w:t xml:space="preserve"> values were calculated. The </w:t>
      </w:r>
      <w:proofErr w:type="spellStart"/>
      <w:r w:rsidRPr="00F57CA6">
        <w:t>SEM</w:t>
      </w:r>
      <w:proofErr w:type="spellEnd"/>
      <w:r w:rsidRPr="00F57CA6">
        <w:t xml:space="preserve"> was calculated by dividing the standard deviation of the difference between trials by </w:t>
      </w:r>
      <m:oMath>
        <m:r>
          <w:rPr>
            <w:rFonts w:ascii="Cambria Math" w:hAnsi="Cambria Math"/>
          </w:rPr>
          <m:t>√2</m:t>
        </m:r>
      </m:oMath>
      <w:r w:rsidRPr="00F57CA6">
        <w:t xml:space="preserve"> </w:t>
      </w:r>
      <w:r w:rsidRPr="00F57CA6">
        <w:fldChar w:fldCharType="begin" w:fldLock="1"/>
      </w:r>
      <w:r w:rsidRPr="00F57CA6">
        <w:instrText>ADDIN CSL_CITATION {"citationItems":[{"id":"ITEM-1","itemData":{"DOI":"10.2165/00007256-200030010-00001","ISSN":"01121642","PMID":"10907753","abstract":"Reliability refers to the reproducibility of values of a test, assay or other measurement in repeated trials on the same individuals. Better reliability implies better precision of single measurements and better tracking of changes in measurements in research or practical settings. The main measures of reliability are within-subject random variation, systematic change in the mean, and retest correlation. A simple, adaptable form of within-subject variation is the typical (standard) error of measurement: the standard deviation of an individual's repeated measurements. For many measurements in sports medicine and science, the typical error is best expressed as a coefficient of variation (percentage of the mean). A biased, more limited form of within-subject variation is the limits of agreement: the 95% likely range of change of an individual's measurements between 2 trials. Systematic changes in the mean of a measure between consecutive trials represent such effects as learning, motivation or fatigue; these changes need to be eliminated from estimates of within-subject variation. Retest correlation is difficult to interpret, mainly because its value is sensitive to the heterogeneity of the sample of participants. Uses of reliability include decision-making when monitoring individuals, comparison of tests or equipment, estimation of sample size in experiments and estimation of the magnitude of individual differences in the response to a treatment. Reasonable precision for estimates of reliability requires approximately 50 study participants and at least 3 trials. Studies aimed at assessing variation in reliability between tests or equipment require complex designs and analyses that researchers seldom perform correctly. A wider understanding of reliability and adoption of the typical error as the standard measure of reliability would improve the assessment of tests and equipment in our disciplines.","author":[{"dropping-particle":"","family":"Hopkins","given":"Will G.","non-dropping-particle":"","parse-names":false,"suffix":""}],"container-title":"Sports Medicine","id":"ITEM-1","issue":"1","issued":{"date-parts":[["2000"]]},"page":"1-15","title":"Measures of reliability in sports medicine and science","type":"article-journal","volume":"30"},"uris":["http://www.mendeley.com/documents/?uuid=91d7345d-37cd-48ee-8bf3-a9e73015becd"]},{"id":"ITEM-2","itemData":{"DOI":"10.1111/j.1440-1681.2009.05288.x","ISSN":"03051870","abstract":"Altman and Bland argue that the virtue of plotting differences against averages in method-comparison studies is that 95% confidence limits for the differences can be constructed. These allow authors and readers to judge whether one method of measurement could be substituted for another. 2. The technique is often misused. So I have set out, by statistical argument and worked examples, to advise pharmacologists and physiologists how best to construct these limits. 3. First, construct a scattergram of differences on averages, then calculate the line of best fit for the linear regression of differences on averages. If the slope of the regression is shown to differ from zero, there is proportional bias. 4. If there is no proportional bias and if the scatter of differences is uniform (homoscedasticity), construct 'classical' 95% confidence limits. 5. If there is proportional bias yet homoscedasticity, construct hyperbolic 95% confidence limits (prediction interval) around the line of best fit. 6. If there is proportional bias and the scatter of values for differences increases progressively as the average values increase (heteroscedasticity), log-transform the raw values from the two methods and replot differences against averages. If this eliminates proportional bias and heteroscedasticity, construct 'classical' 95% confidence limits. Otherwise, construct horizontal V-shaped 95% confidence limits around the line of best fit of differences on averages or around the weighted least products line of best fit to the original data. 7. In designing a method-comparison study, consult a qualified biostatistician, obey the rules of randomization and make replicate observations. © 2010 Blackwell Publishing Asia Pty Ltd.","author":[{"dropping-particle":"","family":"Ludbrook","given":"John","non-dropping-particle":"","parse-names":false,"suffix":""}],"container-title":"Clinical and Experimental Pharmacology and Physiology","id":"ITEM-2","issue":"2","issued":{"date-parts":[["2010"]]},"page":"143-149","title":"Confidence in Altman-Bland plots: A critical review of the method of differences","type":"article-journal","volume":"37"},"uris":["http://www.mendeley.com/documents/?uuid=ec4227e6-1f6d-4bba-b7b8-468ffb67c9c4"]}],"mendeley":{"formattedCitation":"(Hopkins, 2000; Ludbrook, 2010)","plainTextFormattedCitation":"(Hopkins, 2000; Ludbrook, 2010)","previouslyFormattedCitation":"(Hopkins, 2000; Ludbrook, 2010)"},"properties":{"noteIndex":0},"schema":"https://github.com/citation-style-language/schema/raw/master/csl-citation.json"}</w:instrText>
      </w:r>
      <w:r w:rsidRPr="00F57CA6">
        <w:fldChar w:fldCharType="separate"/>
      </w:r>
      <w:r w:rsidRPr="00F57CA6">
        <w:rPr>
          <w:noProof/>
        </w:rPr>
        <w:t>(Hopkins, 2000; Ludbrook, 2010)</w:t>
      </w:r>
      <w:r w:rsidRPr="00F57CA6">
        <w:fldChar w:fldCharType="end"/>
      </w:r>
      <w:r w:rsidRPr="00F57CA6">
        <w:t xml:space="preserve">. Using </w:t>
      </w:r>
      <w:proofErr w:type="spellStart"/>
      <w:r w:rsidRPr="00F57CA6">
        <w:t>SEM</w:t>
      </w:r>
      <w:proofErr w:type="spellEnd"/>
      <w:r w:rsidRPr="00F57CA6">
        <w:t xml:space="preserve"> the </w:t>
      </w:r>
      <w:proofErr w:type="spellStart"/>
      <w:r w:rsidRPr="00F57CA6">
        <w:t>SDC</w:t>
      </w:r>
      <w:proofErr w:type="spellEnd"/>
      <w:r w:rsidRPr="00F57CA6">
        <w:t xml:space="preserve"> was also calculated; </w:t>
      </w:r>
      <w:proofErr w:type="spellStart"/>
      <w:r w:rsidRPr="00F57CA6">
        <w:t>SEM</w:t>
      </w:r>
      <w:proofErr w:type="spellEnd"/>
      <w:r w:rsidRPr="00F57CA6">
        <w:t xml:space="preserve"> x 1.96 x </w:t>
      </w:r>
      <m:oMath>
        <m:r>
          <w:rPr>
            <w:rFonts w:ascii="Cambria Math" w:hAnsi="Cambria Math"/>
          </w:rPr>
          <m:t>√2</m:t>
        </m:r>
      </m:oMath>
      <w:r w:rsidRPr="050DAF6D">
        <w:rPr>
          <w:rFonts w:eastAsiaTheme="minorEastAsia"/>
        </w:rPr>
        <w:t xml:space="preserve"> </w:t>
      </w:r>
      <w:r w:rsidRPr="050DAF6D">
        <w:rPr>
          <w:rFonts w:eastAsiaTheme="minorEastAsia"/>
        </w:rPr>
        <w:fldChar w:fldCharType="begin" w:fldLock="1"/>
      </w:r>
      <w:r w:rsidRPr="050DAF6D">
        <w:rPr>
          <w:rFonts w:eastAsiaTheme="minorEastAsia"/>
        </w:rPr>
        <w:instrText>ADDIN CSL_CITATION {"citationItems":[{"id":"ITEM-1","itemData":{"ISSN":"1749-799X","author":[{"dropping-particle":"","family":"Kampen","given":"Derk A","non-dropping-particle":"van","parse-names":false,"suffix":""},{"dropping-particle":"","family":"Willems","given":"W Jaap","non-dropping-particle":"","parse-names":false,"suffix":""},{"dropping-particle":"","family":"Beers","given":"Loes W A H","non-dropping-particle":"van","parse-names":false,"suffix":""},{"dropping-particle":"","family":"Castelein","given":"Rene M","non-dropping-particle":"","parse-names":false,"suffix":""},{"dropping-particle":"","family":"Scholtes","given":"Vanessa A B","non-dropping-particle":"","parse-names":false,"suffix":""},{"dropping-particle":"","family":"Terwee","given":"Caroline B","non-dropping-particle":"","parse-names":false,"suffix":""}],"container-title":"Journal of orthopaedic surgery and research","id":"ITEM-1","issue":"1","issued":{"date-parts":[["2013"]]},"page":"40","publisher":"BioMed Central","title":"Determination and comparison of the smallest detectable change (SDC) and the minimal important change (MIC) of four-shoulder patient-reported outcome measures (PROMs)","type":"article-journal","volume":"8"},"uris":["http://www.mendeley.com/documents/?uuid=ae85c723-d968-4f43-81e6-bfe259373765"]}],"mendeley":{"formattedCitation":"(van Kampen et al., 2013)","plainTextFormattedCitation":"(van Kampen et al., 2013)","previouslyFormattedCitation":"(van Kampen et al., 2013)"},"properties":{"noteIndex":0},"schema":"https://github.com/citation-style-language/schema/raw/master/csl-citation.json"}</w:instrText>
      </w:r>
      <w:r w:rsidRPr="050DAF6D">
        <w:rPr>
          <w:rFonts w:eastAsiaTheme="minorEastAsia"/>
        </w:rPr>
        <w:fldChar w:fldCharType="separate"/>
      </w:r>
      <w:r w:rsidRPr="050DAF6D">
        <w:rPr>
          <w:rFonts w:eastAsiaTheme="minorEastAsia"/>
          <w:noProof/>
        </w:rPr>
        <w:t>(van Kampen et al., 2013)</w:t>
      </w:r>
      <w:r w:rsidRPr="050DAF6D">
        <w:rPr>
          <w:rFonts w:eastAsiaTheme="minorEastAsia"/>
        </w:rPr>
        <w:fldChar w:fldCharType="end"/>
      </w:r>
      <w:r w:rsidRPr="00F57CA6">
        <w:t>.</w:t>
      </w:r>
      <w:r w:rsidRPr="00A40032">
        <w:rPr>
          <w:color w:val="000000" w:themeColor="text1"/>
        </w:rPr>
        <w:t xml:space="preserve"> </w:t>
      </w:r>
      <w:r w:rsidRPr="008E0FC9">
        <w:rPr>
          <w:color w:val="000000" w:themeColor="text1"/>
        </w:rPr>
        <w:t xml:space="preserve">For non-parametric data </w:t>
      </w:r>
      <w:r w:rsidRPr="00F871BF">
        <w:rPr>
          <w:color w:val="000000" w:themeColor="text1"/>
        </w:rPr>
        <w:t>a Friedman’s test was employed with effect sizes presented using Kendall’s W. Where the combination of χ</w:t>
      </w:r>
      <w:r w:rsidRPr="00F871BF">
        <w:rPr>
          <w:color w:val="000000" w:themeColor="text1"/>
          <w:vertAlign w:val="superscript"/>
        </w:rPr>
        <w:t>2</w:t>
      </w:r>
      <w:r w:rsidRPr="00F871BF">
        <w:rPr>
          <w:color w:val="000000" w:themeColor="text1"/>
        </w:rPr>
        <w:t>-</w:t>
      </w:r>
      <w:r w:rsidRPr="00F871BF">
        <w:rPr>
          <w:color w:val="000000" w:themeColor="text1"/>
        </w:rPr>
        <w:lastRenderedPageBreak/>
        <w:t xml:space="preserve">statistics, </w:t>
      </w:r>
      <w:r w:rsidRPr="050DAF6D">
        <w:rPr>
          <w:i/>
          <w:iCs/>
          <w:color w:val="000000" w:themeColor="text1"/>
        </w:rPr>
        <w:t>p-</w:t>
      </w:r>
      <w:r>
        <w:rPr>
          <w:color w:val="000000" w:themeColor="text1"/>
        </w:rPr>
        <w:t>values</w:t>
      </w:r>
      <w:r w:rsidRPr="00F871BF">
        <w:rPr>
          <w:color w:val="000000" w:themeColor="text1"/>
        </w:rPr>
        <w:t xml:space="preserve">, and effect sizes, indicate a likely incompatibility with the null model, </w:t>
      </w:r>
      <w:r w:rsidRPr="050DAF6D">
        <w:rPr>
          <w:i/>
          <w:iCs/>
          <w:color w:val="000000" w:themeColor="text1"/>
        </w:rPr>
        <w:t>post hoc</w:t>
      </w:r>
      <w:r w:rsidRPr="00F871BF">
        <w:rPr>
          <w:color w:val="000000" w:themeColor="text1"/>
        </w:rPr>
        <w:t xml:space="preserve"> pairwise comparisons were made using Conover’s test.</w:t>
      </w:r>
    </w:p>
    <w:p w14:paraId="07E59B14" w14:textId="22EFD7CA" w:rsidR="00193008" w:rsidRDefault="00193008" w:rsidP="004E69A3">
      <w:pPr>
        <w:spacing w:line="360" w:lineRule="auto"/>
        <w:jc w:val="both"/>
        <w:rPr>
          <w:color w:val="000000" w:themeColor="text1"/>
        </w:rPr>
      </w:pPr>
    </w:p>
    <w:p w14:paraId="663619DA" w14:textId="69011D01" w:rsidR="00193008" w:rsidRDefault="00193008" w:rsidP="004E69A3">
      <w:pPr>
        <w:pStyle w:val="Heading1"/>
      </w:pPr>
      <w:r>
        <w:t>References</w:t>
      </w:r>
    </w:p>
    <w:p w14:paraId="234C9515" w14:textId="194BFCD2" w:rsidR="00E02773" w:rsidRPr="00E02773" w:rsidRDefault="00193008" w:rsidP="00E02773">
      <w:pPr>
        <w:widowControl w:val="0"/>
        <w:autoSpaceDE w:val="0"/>
        <w:autoSpaceDN w:val="0"/>
        <w:adjustRightInd w:val="0"/>
        <w:spacing w:before="240" w:line="240" w:lineRule="auto"/>
        <w:ind w:left="480" w:hanging="480"/>
        <w:rPr>
          <w:noProof/>
        </w:rPr>
      </w:pPr>
      <w:r>
        <w:fldChar w:fldCharType="begin" w:fldLock="1"/>
      </w:r>
      <w:r>
        <w:instrText xml:space="preserve">ADDIN Mendeley Bibliography CSL_BIBLIOGRAPHY </w:instrText>
      </w:r>
      <w:r>
        <w:fldChar w:fldCharType="separate"/>
      </w:r>
      <w:r w:rsidR="00E02773" w:rsidRPr="00E02773">
        <w:rPr>
          <w:noProof/>
        </w:rPr>
        <w:t xml:space="preserve">Armstrong, N., Smith, S., Risius, D., … D. D.-B. M., &amp; 2022, U. (2022). Cognitive performance of military men and women during prolonged load carriage. </w:t>
      </w:r>
      <w:r w:rsidR="002879BA">
        <w:rPr>
          <w:i/>
          <w:iCs/>
          <w:noProof/>
        </w:rPr>
        <w:t>BMJ Military Health.</w:t>
      </w:r>
    </w:p>
    <w:p w14:paraId="4C00135B" w14:textId="600B1CE8"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Armstrong, N., Ward, A., Lomax, M., Tipton, M. J., &amp; House, J. R. (2019). Wearing body armour and backpack loads increase the likelihood of expiratory flow limitation and respiratory muscle fatigue during marching. </w:t>
      </w:r>
      <w:r w:rsidRPr="00E02773">
        <w:rPr>
          <w:i/>
          <w:iCs/>
          <w:noProof/>
        </w:rPr>
        <w:t>Ergonomics</w:t>
      </w:r>
      <w:r w:rsidRPr="00E02773">
        <w:rPr>
          <w:noProof/>
        </w:rPr>
        <w:t xml:space="preserve">, </w:t>
      </w:r>
      <w:r w:rsidRPr="00E02773">
        <w:rPr>
          <w:i/>
          <w:iCs/>
          <w:noProof/>
        </w:rPr>
        <w:t>62</w:t>
      </w:r>
      <w:r w:rsidRPr="00E02773">
        <w:rPr>
          <w:noProof/>
        </w:rPr>
        <w:t>(9), 1181–</w:t>
      </w:r>
      <w:r w:rsidR="002879BA">
        <w:rPr>
          <w:noProof/>
        </w:rPr>
        <w:t>1192.</w:t>
      </w:r>
    </w:p>
    <w:p w14:paraId="39F363E6"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Bhattacharyya, D., Pal, M., Chatterjee, T., &amp; Majumdar, D. (2017). Effect of load carriage and natural terrain conditions on cognitive performance in desert environments. </w:t>
      </w:r>
      <w:r w:rsidRPr="00E02773">
        <w:rPr>
          <w:i/>
          <w:iCs/>
          <w:noProof/>
        </w:rPr>
        <w:t>Physiology &amp; Behavior</w:t>
      </w:r>
      <w:r w:rsidRPr="00E02773">
        <w:rPr>
          <w:noProof/>
        </w:rPr>
        <w:t xml:space="preserve">, </w:t>
      </w:r>
      <w:r w:rsidRPr="00E02773">
        <w:rPr>
          <w:i/>
          <w:iCs/>
          <w:noProof/>
        </w:rPr>
        <w:t>179</w:t>
      </w:r>
      <w:r w:rsidRPr="00E02773">
        <w:rPr>
          <w:noProof/>
        </w:rPr>
        <w:t>, 253–261.</w:t>
      </w:r>
    </w:p>
    <w:p w14:paraId="494C403A" w14:textId="1942C5E5"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Blacker, S. ., Fallowfield, J. L., Bilzon, J. L. J., &amp; Willems, M. E. T. (2013). Neuromuscular impairment following backpack load carriage. </w:t>
      </w:r>
      <w:r w:rsidRPr="00E02773">
        <w:rPr>
          <w:i/>
          <w:iCs/>
          <w:noProof/>
        </w:rPr>
        <w:t>Journal of Human Kinetics</w:t>
      </w:r>
      <w:r w:rsidRPr="00E02773">
        <w:rPr>
          <w:noProof/>
        </w:rPr>
        <w:t xml:space="preserve">, </w:t>
      </w:r>
      <w:r w:rsidRPr="00E02773">
        <w:rPr>
          <w:i/>
          <w:iCs/>
          <w:noProof/>
        </w:rPr>
        <w:t>37</w:t>
      </w:r>
      <w:r w:rsidRPr="00E02773">
        <w:rPr>
          <w:noProof/>
        </w:rPr>
        <w:t>(1), 91–9</w:t>
      </w:r>
      <w:r w:rsidR="002879BA">
        <w:rPr>
          <w:noProof/>
        </w:rPr>
        <w:t>8.</w:t>
      </w:r>
    </w:p>
    <w:p w14:paraId="0D48CA77" w14:textId="2694E78E"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Crowell, H. P., Krausman, A. S., Harper, W. H., Faughn, J. A., &amp; Sharp, M. A. (1999). </w:t>
      </w:r>
      <w:r w:rsidRPr="00E02773">
        <w:rPr>
          <w:i/>
          <w:iCs/>
          <w:noProof/>
        </w:rPr>
        <w:t>Cognitive and Physiological Performance of Soldiers While They Carry Loads Over Various Terrains</w:t>
      </w:r>
      <w:r w:rsidR="002879BA">
        <w:rPr>
          <w:noProof/>
        </w:rPr>
        <w:t>. Army R</w:t>
      </w:r>
      <w:r w:rsidRPr="00E02773">
        <w:rPr>
          <w:noProof/>
        </w:rPr>
        <w:t xml:space="preserve">esearch </w:t>
      </w:r>
      <w:r w:rsidR="002879BA">
        <w:rPr>
          <w:noProof/>
        </w:rPr>
        <w:t>L</w:t>
      </w:r>
      <w:r w:rsidRPr="00E02773">
        <w:rPr>
          <w:noProof/>
        </w:rPr>
        <w:t>ab</w:t>
      </w:r>
      <w:r w:rsidR="002879BA">
        <w:rPr>
          <w:noProof/>
        </w:rPr>
        <w:t>oratory,</w:t>
      </w:r>
      <w:r w:rsidRPr="00E02773">
        <w:rPr>
          <w:noProof/>
        </w:rPr>
        <w:t xml:space="preserve"> </w:t>
      </w:r>
      <w:r w:rsidR="002879BA">
        <w:rPr>
          <w:noProof/>
        </w:rPr>
        <w:t>A</w:t>
      </w:r>
      <w:r w:rsidRPr="00E02773">
        <w:rPr>
          <w:noProof/>
        </w:rPr>
        <w:t xml:space="preserve">berdeen </w:t>
      </w:r>
      <w:r w:rsidR="002879BA">
        <w:rPr>
          <w:noProof/>
        </w:rPr>
        <w:t>P</w:t>
      </w:r>
      <w:r w:rsidRPr="00E02773">
        <w:rPr>
          <w:noProof/>
        </w:rPr>
        <w:t xml:space="preserve">roving </w:t>
      </w:r>
      <w:r w:rsidR="002879BA">
        <w:rPr>
          <w:noProof/>
        </w:rPr>
        <w:t>G</w:t>
      </w:r>
      <w:r w:rsidRPr="00E02773">
        <w:rPr>
          <w:noProof/>
        </w:rPr>
        <w:t>round</w:t>
      </w:r>
      <w:r w:rsidR="002879BA">
        <w:rPr>
          <w:noProof/>
        </w:rPr>
        <w:t>,</w:t>
      </w:r>
      <w:r w:rsidRPr="00E02773">
        <w:rPr>
          <w:noProof/>
        </w:rPr>
        <w:t xml:space="preserve"> </w:t>
      </w:r>
      <w:r w:rsidR="002879BA">
        <w:rPr>
          <w:noProof/>
        </w:rPr>
        <w:t>MD</w:t>
      </w:r>
      <w:r w:rsidRPr="00E02773">
        <w:rPr>
          <w:noProof/>
        </w:rPr>
        <w:t>.</w:t>
      </w:r>
    </w:p>
    <w:p w14:paraId="3C8BDF18"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Eddy, M. D., Hasselquist, L., Giles, G., Hayes, J. F., Howe, J., Rourke, J., Coyne, M., O’Donovan, M., Batty, J., &amp; Brunyé, T. T. (2015). The effects of load carriage and physical fatigue on cognitive performance. </w:t>
      </w:r>
      <w:r w:rsidRPr="00E02773">
        <w:rPr>
          <w:i/>
          <w:iCs/>
          <w:noProof/>
        </w:rPr>
        <w:t>PloS One</w:t>
      </w:r>
      <w:r w:rsidRPr="00E02773">
        <w:rPr>
          <w:noProof/>
        </w:rPr>
        <w:t xml:space="preserve">, </w:t>
      </w:r>
      <w:r w:rsidRPr="00E02773">
        <w:rPr>
          <w:i/>
          <w:iCs/>
          <w:noProof/>
        </w:rPr>
        <w:t>10</w:t>
      </w:r>
      <w:r w:rsidRPr="00E02773">
        <w:rPr>
          <w:noProof/>
        </w:rPr>
        <w:t>(7), e0130817.</w:t>
      </w:r>
    </w:p>
    <w:p w14:paraId="5CFA6778" w14:textId="2660F6D9"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Fallowfield, J. L., Hale, B. J., &amp; Wilkinson, D. M. (2005). </w:t>
      </w:r>
      <w:r w:rsidRPr="00E02773">
        <w:rPr>
          <w:i/>
          <w:iCs/>
          <w:noProof/>
        </w:rPr>
        <w:t>Using statistics in sport and exercise science research</w:t>
      </w:r>
      <w:r w:rsidRPr="00E02773">
        <w:rPr>
          <w:noProof/>
        </w:rPr>
        <w:t>. Lotus Pub</w:t>
      </w:r>
      <w:r w:rsidR="002879BA">
        <w:rPr>
          <w:noProof/>
        </w:rPr>
        <w:t>lishing</w:t>
      </w:r>
      <w:r w:rsidRPr="00E02773">
        <w:rPr>
          <w:noProof/>
        </w:rPr>
        <w:t>.</w:t>
      </w:r>
    </w:p>
    <w:p w14:paraId="0D6058F0"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Field, A. (2013). </w:t>
      </w:r>
      <w:r w:rsidRPr="00E02773">
        <w:rPr>
          <w:i/>
          <w:iCs/>
          <w:noProof/>
        </w:rPr>
        <w:t>Discovering statistics using IBM SPSS statistics</w:t>
      </w:r>
      <w:r w:rsidRPr="00E02773">
        <w:rPr>
          <w:noProof/>
        </w:rPr>
        <w:t>. sage.</w:t>
      </w:r>
    </w:p>
    <w:p w14:paraId="4440A9B5" w14:textId="3E2819D3"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Hopkins, W. G. (2000). Measures of reliability in sports medicine and science. </w:t>
      </w:r>
      <w:r w:rsidRPr="00E02773">
        <w:rPr>
          <w:i/>
          <w:iCs/>
          <w:noProof/>
        </w:rPr>
        <w:t>Sports Medicine</w:t>
      </w:r>
      <w:r w:rsidRPr="00E02773">
        <w:rPr>
          <w:noProof/>
        </w:rPr>
        <w:t xml:space="preserve">, </w:t>
      </w:r>
      <w:r w:rsidRPr="00E02773">
        <w:rPr>
          <w:i/>
          <w:iCs/>
          <w:noProof/>
        </w:rPr>
        <w:t>30</w:t>
      </w:r>
      <w:r w:rsidRPr="00E02773">
        <w:rPr>
          <w:noProof/>
        </w:rPr>
        <w:t>(1), 1–15.</w:t>
      </w:r>
    </w:p>
    <w:p w14:paraId="7FBB5945"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International Civil Aviation Organization. (2019). </w:t>
      </w:r>
      <w:r w:rsidRPr="00E02773">
        <w:rPr>
          <w:i/>
          <w:iCs/>
          <w:noProof/>
        </w:rPr>
        <w:t>Alphabet - Radiotelephony</w:t>
      </w:r>
      <w:r w:rsidRPr="00E02773">
        <w:rPr>
          <w:noProof/>
        </w:rPr>
        <w:t xml:space="preserve"> (Vol. 2019). https://www.icao.int/Pages/AlphabetRadiotelephony.aspx</w:t>
      </w:r>
    </w:p>
    <w:p w14:paraId="515CA812"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JASP. (2020). </w:t>
      </w:r>
      <w:r w:rsidRPr="00E02773">
        <w:rPr>
          <w:i/>
          <w:iCs/>
          <w:noProof/>
        </w:rPr>
        <w:t>JASP (Version 0.14.1)[Computer software]</w:t>
      </w:r>
      <w:r w:rsidRPr="00E02773">
        <w:rPr>
          <w:noProof/>
        </w:rPr>
        <w:t>.</w:t>
      </w:r>
    </w:p>
    <w:p w14:paraId="6AA8AC0E"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Kazemi, R., Motamedzade, M., Golmohammadi, R., Mokarami, H., Hemmatjo, R., &amp; Heidarimoghadam, R. (2018). Field study of effects of night shifts on cognitive performance, salivary melatonin, and sleep. </w:t>
      </w:r>
      <w:r w:rsidRPr="00E02773">
        <w:rPr>
          <w:i/>
          <w:iCs/>
          <w:noProof/>
        </w:rPr>
        <w:t>Safety and Health at Work</w:t>
      </w:r>
      <w:r w:rsidRPr="00E02773">
        <w:rPr>
          <w:noProof/>
        </w:rPr>
        <w:t xml:space="preserve">, </w:t>
      </w:r>
      <w:r w:rsidRPr="00E02773">
        <w:rPr>
          <w:i/>
          <w:iCs/>
          <w:noProof/>
        </w:rPr>
        <w:t>9</w:t>
      </w:r>
      <w:r w:rsidRPr="00E02773">
        <w:rPr>
          <w:noProof/>
        </w:rPr>
        <w:t>(2), 203–209.</w:t>
      </w:r>
    </w:p>
    <w:p w14:paraId="63DD760B" w14:textId="3B9954DD"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lastRenderedPageBreak/>
        <w:t xml:space="preserve">Kobus, D. A., Brown, C. M., Wu, L., Robusto, K., &amp; Bartlett, J. (2010). </w:t>
      </w:r>
      <w:r w:rsidRPr="00E02773">
        <w:rPr>
          <w:i/>
          <w:iCs/>
          <w:noProof/>
        </w:rPr>
        <w:t>Cognitive Performance and Physiological Changes under Heavy Load Carriage</w:t>
      </w:r>
      <w:r w:rsidRPr="00E02773">
        <w:rPr>
          <w:noProof/>
        </w:rPr>
        <w:t xml:space="preserve">. </w:t>
      </w:r>
      <w:r w:rsidR="002879BA">
        <w:rPr>
          <w:noProof/>
        </w:rPr>
        <w:t>Pacific Science a</w:t>
      </w:r>
      <w:r w:rsidR="002879BA" w:rsidRPr="00E02773">
        <w:rPr>
          <w:noProof/>
        </w:rPr>
        <w:t>nd Engineering Group Inc</w:t>
      </w:r>
      <w:r w:rsidR="002879BA">
        <w:rPr>
          <w:noProof/>
        </w:rPr>
        <w:t>.,</w:t>
      </w:r>
      <w:r w:rsidRPr="00E02773">
        <w:rPr>
          <w:noProof/>
        </w:rPr>
        <w:t xml:space="preserve"> </w:t>
      </w:r>
      <w:r w:rsidR="002879BA" w:rsidRPr="00E02773">
        <w:rPr>
          <w:noProof/>
        </w:rPr>
        <w:t>San Diego</w:t>
      </w:r>
      <w:r w:rsidR="002879BA">
        <w:rPr>
          <w:noProof/>
        </w:rPr>
        <w:t>,</w:t>
      </w:r>
      <w:r w:rsidRPr="00E02773">
        <w:rPr>
          <w:noProof/>
        </w:rPr>
        <w:t xml:space="preserve"> CA.</w:t>
      </w:r>
    </w:p>
    <w:p w14:paraId="42065F7C"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Lakens, D., Scheel, A. M., &amp; Isager, P. M. (2018). Equivalence testing for psychological research: A tutorial. </w:t>
      </w:r>
      <w:r w:rsidRPr="00E02773">
        <w:rPr>
          <w:i/>
          <w:iCs/>
          <w:noProof/>
        </w:rPr>
        <w:t>Advances in Methods and Practices in Psychological Science</w:t>
      </w:r>
      <w:r w:rsidRPr="00E02773">
        <w:rPr>
          <w:noProof/>
        </w:rPr>
        <w:t xml:space="preserve">, </w:t>
      </w:r>
      <w:r w:rsidRPr="00E02773">
        <w:rPr>
          <w:i/>
          <w:iCs/>
          <w:noProof/>
        </w:rPr>
        <w:t>1</w:t>
      </w:r>
      <w:r w:rsidRPr="00E02773">
        <w:rPr>
          <w:noProof/>
        </w:rPr>
        <w:t>(2), 259–269.</w:t>
      </w:r>
    </w:p>
    <w:p w14:paraId="0989E993"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Levine, T. R., &amp; Hullett, C. R. (2002). Eta squared, partial eta squared, and misreporting of effect size in communication research. </w:t>
      </w:r>
      <w:r w:rsidRPr="00E02773">
        <w:rPr>
          <w:i/>
          <w:iCs/>
          <w:noProof/>
        </w:rPr>
        <w:t>Human Communication Research</w:t>
      </w:r>
      <w:r w:rsidRPr="00E02773">
        <w:rPr>
          <w:noProof/>
        </w:rPr>
        <w:t xml:space="preserve">, </w:t>
      </w:r>
      <w:r w:rsidRPr="00E02773">
        <w:rPr>
          <w:i/>
          <w:iCs/>
          <w:noProof/>
        </w:rPr>
        <w:t>28</w:t>
      </w:r>
      <w:r w:rsidRPr="00E02773">
        <w:rPr>
          <w:noProof/>
        </w:rPr>
        <w:t>(4), 612–625.</w:t>
      </w:r>
    </w:p>
    <w:p w14:paraId="0AD2517F" w14:textId="00BC3B98"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Ludbrook, J. (2010). Confidence in Altman-Bland plots: A critical review of the method of differences. </w:t>
      </w:r>
      <w:r w:rsidRPr="00E02773">
        <w:rPr>
          <w:i/>
          <w:iCs/>
          <w:noProof/>
        </w:rPr>
        <w:t>Clinical and Experimental Pharmacology and Physiology</w:t>
      </w:r>
      <w:r w:rsidRPr="00E02773">
        <w:rPr>
          <w:noProof/>
        </w:rPr>
        <w:t xml:space="preserve">, </w:t>
      </w:r>
      <w:r w:rsidRPr="00E02773">
        <w:rPr>
          <w:i/>
          <w:iCs/>
          <w:noProof/>
        </w:rPr>
        <w:t>37</w:t>
      </w:r>
      <w:r w:rsidRPr="00E02773">
        <w:rPr>
          <w:noProof/>
        </w:rPr>
        <w:t>(2), 143–</w:t>
      </w:r>
      <w:r w:rsidR="002879BA">
        <w:rPr>
          <w:noProof/>
        </w:rPr>
        <w:t>149.</w:t>
      </w:r>
    </w:p>
    <w:p w14:paraId="418D253E" w14:textId="77777777" w:rsidR="00E02773" w:rsidRPr="00E02773" w:rsidRDefault="00E02773" w:rsidP="00E02773">
      <w:pPr>
        <w:widowControl w:val="0"/>
        <w:autoSpaceDE w:val="0"/>
        <w:autoSpaceDN w:val="0"/>
        <w:adjustRightInd w:val="0"/>
        <w:spacing w:before="240" w:line="240" w:lineRule="auto"/>
        <w:ind w:left="480" w:hanging="480"/>
        <w:rPr>
          <w:noProof/>
        </w:rPr>
      </w:pPr>
      <w:r w:rsidRPr="00E02773">
        <w:rPr>
          <w:noProof/>
        </w:rPr>
        <w:t xml:space="preserve">Nibbeling, N., Oudejans, R. R. D., Ubink, E. M., &amp; Daanen, H. A. M. (2014). The effects of anxiety and exercise-induced fatigue on shooting accuracy and cognitive performance in infantry soldiers. </w:t>
      </w:r>
      <w:r w:rsidRPr="00E02773">
        <w:rPr>
          <w:i/>
          <w:iCs/>
          <w:noProof/>
        </w:rPr>
        <w:t>Ergonomics</w:t>
      </w:r>
      <w:r w:rsidRPr="00E02773">
        <w:rPr>
          <w:noProof/>
        </w:rPr>
        <w:t xml:space="preserve">, </w:t>
      </w:r>
      <w:r w:rsidRPr="00E02773">
        <w:rPr>
          <w:i/>
          <w:iCs/>
          <w:noProof/>
        </w:rPr>
        <w:t>57</w:t>
      </w:r>
      <w:r w:rsidRPr="00E02773">
        <w:rPr>
          <w:noProof/>
        </w:rPr>
        <w:t>(9), 1366–1379.</w:t>
      </w:r>
    </w:p>
    <w:p w14:paraId="6AC2A17A" w14:textId="2DEFB2A2" w:rsidR="00193008" w:rsidRPr="00193008" w:rsidRDefault="00E02773" w:rsidP="00CF0752">
      <w:pPr>
        <w:widowControl w:val="0"/>
        <w:autoSpaceDE w:val="0"/>
        <w:autoSpaceDN w:val="0"/>
        <w:adjustRightInd w:val="0"/>
        <w:spacing w:before="240" w:line="240" w:lineRule="auto"/>
        <w:ind w:left="480" w:hanging="480"/>
      </w:pPr>
      <w:r w:rsidRPr="00E02773">
        <w:rPr>
          <w:noProof/>
        </w:rPr>
        <w:t xml:space="preserve">van Kampen, D. A., Willems, W. J., van Beers, L. W. A. H., Castelein, R. M., Scholtes, V. A. B., &amp; Terwee, C. B. (2013). Determination and comparison of the smallest detectable change (SDC) and the minimal important change (MIC) of four-shoulder patient-reported outcome measures (PROMs). </w:t>
      </w:r>
      <w:r w:rsidRPr="00E02773">
        <w:rPr>
          <w:i/>
          <w:iCs/>
          <w:noProof/>
        </w:rPr>
        <w:t>Journal of Orthopaedic Surgery and Research</w:t>
      </w:r>
      <w:r w:rsidRPr="00E02773">
        <w:rPr>
          <w:noProof/>
        </w:rPr>
        <w:t xml:space="preserve">, </w:t>
      </w:r>
      <w:r w:rsidRPr="00E02773">
        <w:rPr>
          <w:i/>
          <w:iCs/>
          <w:noProof/>
        </w:rPr>
        <w:t>8</w:t>
      </w:r>
      <w:r w:rsidRPr="00E02773">
        <w:rPr>
          <w:noProof/>
        </w:rPr>
        <w:t>(1), 40.</w:t>
      </w:r>
      <w:r w:rsidR="00193008">
        <w:fldChar w:fldCharType="end"/>
      </w:r>
      <w:bookmarkStart w:id="0" w:name="_GoBack"/>
      <w:bookmarkEnd w:id="0"/>
    </w:p>
    <w:sectPr w:rsidR="00193008" w:rsidRPr="00193008" w:rsidSect="005C2426">
      <w:footerReference w:type="default" r:id="rId11"/>
      <w:pgSz w:w="11901" w:h="16840" w:code="9"/>
      <w:pgMar w:top="1418" w:right="1701"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3ECBE" w16cex:dateUtc="2022-05-09T18:40:00Z"/>
  <w16cex:commentExtensible w16cex:durableId="2623ED23" w16cex:dateUtc="2022-05-09T18:42:00Z"/>
  <w16cex:commentExtensible w16cex:durableId="26249A8A" w16cex:dateUtc="2022-05-10T07:02:00Z"/>
  <w16cex:commentExtensible w16cex:durableId="2623EDA3" w16cex:dateUtc="2022-05-09T18:44:00Z"/>
  <w16cex:commentExtensible w16cex:durableId="26249AB5" w16cex:dateUtc="2022-05-10T07:03:00Z"/>
  <w16cex:commentExtensible w16cex:durableId="2623EE03" w16cex:dateUtc="2022-05-09T18:46:00Z"/>
  <w16cex:commentExtensible w16cex:durableId="2623EE67" w16cex:dateUtc="2022-05-09T18:47:00Z"/>
  <w16cex:commentExtensible w16cex:durableId="2623EE89" w16cex:dateUtc="2022-05-09T1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FB913E" w16cid:durableId="2623ECBE"/>
  <w16cid:commentId w16cid:paraId="4E2CEAFD" w16cid:durableId="2623ED23"/>
  <w16cid:commentId w16cid:paraId="0B4213C5" w16cid:durableId="26249A8A"/>
  <w16cid:commentId w16cid:paraId="7FB14A9F" w16cid:durableId="2623EDA3"/>
  <w16cid:commentId w16cid:paraId="703070BA" w16cid:durableId="26249AB5"/>
  <w16cid:commentId w16cid:paraId="0D3A2E5B" w16cid:durableId="2623EE03"/>
  <w16cid:commentId w16cid:paraId="3CA3D6A0" w16cid:durableId="2623EE67"/>
  <w16cid:commentId w16cid:paraId="529E2887" w16cid:durableId="2623EE8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C7DCE" w14:textId="77777777" w:rsidR="00852D20" w:rsidRDefault="00852D20" w:rsidP="00AF2C92">
      <w:r>
        <w:separator/>
      </w:r>
    </w:p>
  </w:endnote>
  <w:endnote w:type="continuationSeparator" w:id="0">
    <w:p w14:paraId="1F599435" w14:textId="77777777" w:rsidR="00852D20" w:rsidRDefault="00852D20"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F98BA" w14:textId="4F0C1CBA" w:rsidR="002211DD" w:rsidRPr="00CC670E" w:rsidRDefault="00CC670E" w:rsidP="00CC670E">
    <w:pPr>
      <w:pStyle w:val="Footer"/>
      <w:jc w:val="center"/>
      <w:rPr>
        <w:i/>
      </w:rPr>
    </w:pPr>
    <w:r w:rsidRPr="00CC670E">
      <w:rPr>
        <w:i/>
      </w:rPr>
      <w:t xml:space="preserve">Page </w:t>
    </w:r>
    <w:r w:rsidRPr="00CC670E">
      <w:rPr>
        <w:bCs/>
        <w:i/>
      </w:rPr>
      <w:fldChar w:fldCharType="begin"/>
    </w:r>
    <w:r w:rsidRPr="00CC670E">
      <w:rPr>
        <w:bCs/>
        <w:i/>
      </w:rPr>
      <w:instrText xml:space="preserve"> PAGE  \* Arabic  \* MERGEFORMAT </w:instrText>
    </w:r>
    <w:r w:rsidRPr="00CC670E">
      <w:rPr>
        <w:bCs/>
        <w:i/>
      </w:rPr>
      <w:fldChar w:fldCharType="separate"/>
    </w:r>
    <w:r w:rsidR="00CF0752">
      <w:rPr>
        <w:bCs/>
        <w:i/>
        <w:noProof/>
      </w:rPr>
      <w:t>8</w:t>
    </w:r>
    <w:r w:rsidRPr="00CC670E">
      <w:rPr>
        <w:bCs/>
        <w:i/>
      </w:rPr>
      <w:fldChar w:fldCharType="end"/>
    </w:r>
    <w:r w:rsidRPr="00CC670E">
      <w:rPr>
        <w:i/>
      </w:rPr>
      <w:t xml:space="preserve"> of </w:t>
    </w:r>
    <w:r w:rsidRPr="00CC670E">
      <w:rPr>
        <w:bCs/>
        <w:i/>
      </w:rPr>
      <w:fldChar w:fldCharType="begin"/>
    </w:r>
    <w:r w:rsidRPr="00CC670E">
      <w:rPr>
        <w:bCs/>
        <w:i/>
      </w:rPr>
      <w:instrText xml:space="preserve"> NUMPAGES  \* Arabic  \* MERGEFORMAT </w:instrText>
    </w:r>
    <w:r w:rsidRPr="00CC670E">
      <w:rPr>
        <w:bCs/>
        <w:i/>
      </w:rPr>
      <w:fldChar w:fldCharType="separate"/>
    </w:r>
    <w:r w:rsidR="00CF0752">
      <w:rPr>
        <w:bCs/>
        <w:i/>
        <w:noProof/>
      </w:rPr>
      <w:t>8</w:t>
    </w:r>
    <w:r w:rsidRPr="00CC670E">
      <w:rPr>
        <w:bCs/>
        <w: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5BD07" w14:textId="77777777" w:rsidR="00852D20" w:rsidRDefault="00852D20" w:rsidP="00AF2C92">
      <w:r>
        <w:separator/>
      </w:r>
    </w:p>
  </w:footnote>
  <w:footnote w:type="continuationSeparator" w:id="0">
    <w:p w14:paraId="035446B3" w14:textId="77777777" w:rsidR="00852D20" w:rsidRDefault="00852D20" w:rsidP="00AF2C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U1NjMzsQBShkYmJko6SsGpxcWZ+XkgBaa1APCEX0UsAAAA"/>
  </w:docVars>
  <w:rsids>
    <w:rsidRoot w:val="00D42212"/>
    <w:rsid w:val="00001899"/>
    <w:rsid w:val="000049AD"/>
    <w:rsid w:val="0000681B"/>
    <w:rsid w:val="000133C0"/>
    <w:rsid w:val="00014C4E"/>
    <w:rsid w:val="00017107"/>
    <w:rsid w:val="000202E2"/>
    <w:rsid w:val="00022441"/>
    <w:rsid w:val="0002261E"/>
    <w:rsid w:val="00024839"/>
    <w:rsid w:val="00026871"/>
    <w:rsid w:val="00037A98"/>
    <w:rsid w:val="000427FB"/>
    <w:rsid w:val="0004455E"/>
    <w:rsid w:val="00047CB5"/>
    <w:rsid w:val="00051FAA"/>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B50C8"/>
    <w:rsid w:val="000C09BE"/>
    <w:rsid w:val="000C1380"/>
    <w:rsid w:val="000C554F"/>
    <w:rsid w:val="000D0C11"/>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30AFF"/>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3008"/>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211DD"/>
    <w:rsid w:val="00236F4B"/>
    <w:rsid w:val="00242B0D"/>
    <w:rsid w:val="002467C6"/>
    <w:rsid w:val="0024692A"/>
    <w:rsid w:val="002508CA"/>
    <w:rsid w:val="00252BBA"/>
    <w:rsid w:val="00253123"/>
    <w:rsid w:val="00264001"/>
    <w:rsid w:val="00266354"/>
    <w:rsid w:val="00267A18"/>
    <w:rsid w:val="00273462"/>
    <w:rsid w:val="0027395B"/>
    <w:rsid w:val="00275854"/>
    <w:rsid w:val="00283B41"/>
    <w:rsid w:val="00283BF6"/>
    <w:rsid w:val="00285F28"/>
    <w:rsid w:val="00286398"/>
    <w:rsid w:val="002879BA"/>
    <w:rsid w:val="002927BE"/>
    <w:rsid w:val="002A3C42"/>
    <w:rsid w:val="002A4971"/>
    <w:rsid w:val="002A5D75"/>
    <w:rsid w:val="002B1B1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0E13"/>
    <w:rsid w:val="00315713"/>
    <w:rsid w:val="0031686C"/>
    <w:rsid w:val="00316FE0"/>
    <w:rsid w:val="003204D2"/>
    <w:rsid w:val="0032605E"/>
    <w:rsid w:val="003275D1"/>
    <w:rsid w:val="00330B2A"/>
    <w:rsid w:val="00331E17"/>
    <w:rsid w:val="00333063"/>
    <w:rsid w:val="00335E38"/>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96073"/>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518D"/>
    <w:rsid w:val="0042221D"/>
    <w:rsid w:val="00424DD3"/>
    <w:rsid w:val="004269C5"/>
    <w:rsid w:val="00435939"/>
    <w:rsid w:val="00437CC7"/>
    <w:rsid w:val="00442B9C"/>
    <w:rsid w:val="00445EFA"/>
    <w:rsid w:val="0044738A"/>
    <w:rsid w:val="004473D3"/>
    <w:rsid w:val="00451446"/>
    <w:rsid w:val="00452231"/>
    <w:rsid w:val="00460C13"/>
    <w:rsid w:val="00463228"/>
    <w:rsid w:val="00463782"/>
    <w:rsid w:val="00463FA4"/>
    <w:rsid w:val="004667E0"/>
    <w:rsid w:val="0046760E"/>
    <w:rsid w:val="00470E10"/>
    <w:rsid w:val="00477A97"/>
    <w:rsid w:val="00481343"/>
    <w:rsid w:val="0048549E"/>
    <w:rsid w:val="004930C6"/>
    <w:rsid w:val="00493347"/>
    <w:rsid w:val="00496092"/>
    <w:rsid w:val="004A08DB"/>
    <w:rsid w:val="004A25D0"/>
    <w:rsid w:val="004A37E8"/>
    <w:rsid w:val="004A7549"/>
    <w:rsid w:val="004B09D4"/>
    <w:rsid w:val="004B0D23"/>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E69A3"/>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0BC"/>
    <w:rsid w:val="0055595E"/>
    <w:rsid w:val="00557988"/>
    <w:rsid w:val="005600F7"/>
    <w:rsid w:val="00562C49"/>
    <w:rsid w:val="00562DEF"/>
    <w:rsid w:val="0056321A"/>
    <w:rsid w:val="00563A35"/>
    <w:rsid w:val="00566596"/>
    <w:rsid w:val="005741E9"/>
    <w:rsid w:val="005748CF"/>
    <w:rsid w:val="00584270"/>
    <w:rsid w:val="00584738"/>
    <w:rsid w:val="005920B0"/>
    <w:rsid w:val="0059380D"/>
    <w:rsid w:val="00595A8F"/>
    <w:rsid w:val="0059637B"/>
    <w:rsid w:val="005977C2"/>
    <w:rsid w:val="00597BF2"/>
    <w:rsid w:val="005A1F54"/>
    <w:rsid w:val="005A3020"/>
    <w:rsid w:val="005B134E"/>
    <w:rsid w:val="005B2039"/>
    <w:rsid w:val="005B344F"/>
    <w:rsid w:val="005B3FBA"/>
    <w:rsid w:val="005B4A1D"/>
    <w:rsid w:val="005B674D"/>
    <w:rsid w:val="005C056D"/>
    <w:rsid w:val="005C0CBE"/>
    <w:rsid w:val="005C1FCF"/>
    <w:rsid w:val="005C2426"/>
    <w:rsid w:val="005C3F41"/>
    <w:rsid w:val="005D1885"/>
    <w:rsid w:val="005D4A38"/>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4782B"/>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048EA"/>
    <w:rsid w:val="00711799"/>
    <w:rsid w:val="00711BE5"/>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737D"/>
    <w:rsid w:val="0080308E"/>
    <w:rsid w:val="00805303"/>
    <w:rsid w:val="008066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2D20"/>
    <w:rsid w:val="00854981"/>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53A3"/>
    <w:rsid w:val="009262C9"/>
    <w:rsid w:val="00930EB9"/>
    <w:rsid w:val="00931FA5"/>
    <w:rsid w:val="00933DC7"/>
    <w:rsid w:val="009418F4"/>
    <w:rsid w:val="00942BBC"/>
    <w:rsid w:val="00944180"/>
    <w:rsid w:val="00944AA0"/>
    <w:rsid w:val="00947DA2"/>
    <w:rsid w:val="00951177"/>
    <w:rsid w:val="00953364"/>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17F57"/>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81FF2"/>
    <w:rsid w:val="00A83904"/>
    <w:rsid w:val="00A90A79"/>
    <w:rsid w:val="00A96B30"/>
    <w:rsid w:val="00AA4313"/>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5BD5"/>
    <w:rsid w:val="00B34079"/>
    <w:rsid w:val="00B3793A"/>
    <w:rsid w:val="00B401BA"/>
    <w:rsid w:val="00B407E4"/>
    <w:rsid w:val="00B425B6"/>
    <w:rsid w:val="00B42A72"/>
    <w:rsid w:val="00B4409E"/>
    <w:rsid w:val="00B441AE"/>
    <w:rsid w:val="00B4593D"/>
    <w:rsid w:val="00B45A65"/>
    <w:rsid w:val="00B45F33"/>
    <w:rsid w:val="00B46D50"/>
    <w:rsid w:val="00B53170"/>
    <w:rsid w:val="00B548B9"/>
    <w:rsid w:val="00B56DBE"/>
    <w:rsid w:val="00B62999"/>
    <w:rsid w:val="00B63BE3"/>
    <w:rsid w:val="00B64885"/>
    <w:rsid w:val="00B64FA3"/>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565"/>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0E"/>
    <w:rsid w:val="00CC67BF"/>
    <w:rsid w:val="00CD0843"/>
    <w:rsid w:val="00CD4E31"/>
    <w:rsid w:val="00CD5A78"/>
    <w:rsid w:val="00CD7345"/>
    <w:rsid w:val="00CE372E"/>
    <w:rsid w:val="00CF0752"/>
    <w:rsid w:val="00CF0A1B"/>
    <w:rsid w:val="00CF19F6"/>
    <w:rsid w:val="00CF2F4F"/>
    <w:rsid w:val="00CF536D"/>
    <w:rsid w:val="00D02E9D"/>
    <w:rsid w:val="00D105B3"/>
    <w:rsid w:val="00D10CB8"/>
    <w:rsid w:val="00D12806"/>
    <w:rsid w:val="00D12D44"/>
    <w:rsid w:val="00D15018"/>
    <w:rsid w:val="00D158AC"/>
    <w:rsid w:val="00D1694C"/>
    <w:rsid w:val="00D20F5E"/>
    <w:rsid w:val="00D23B76"/>
    <w:rsid w:val="00D24B4A"/>
    <w:rsid w:val="00D379A3"/>
    <w:rsid w:val="00D42212"/>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2B5D"/>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773"/>
    <w:rsid w:val="00E0282A"/>
    <w:rsid w:val="00E02F9B"/>
    <w:rsid w:val="00E07E14"/>
    <w:rsid w:val="00E14F94"/>
    <w:rsid w:val="00E17336"/>
    <w:rsid w:val="00E17D15"/>
    <w:rsid w:val="00E22B95"/>
    <w:rsid w:val="00E30331"/>
    <w:rsid w:val="00E30BB8"/>
    <w:rsid w:val="00E31F9C"/>
    <w:rsid w:val="00E339F2"/>
    <w:rsid w:val="00E40488"/>
    <w:rsid w:val="00E50367"/>
    <w:rsid w:val="00E50C99"/>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83973"/>
    <w:rsid w:val="00F87FA3"/>
    <w:rsid w:val="00F93D1A"/>
    <w:rsid w:val="00F93D8C"/>
    <w:rsid w:val="00FA3102"/>
    <w:rsid w:val="00FA48D4"/>
    <w:rsid w:val="00FA54FA"/>
    <w:rsid w:val="00FA6D39"/>
    <w:rsid w:val="00FB227E"/>
    <w:rsid w:val="00FB3D61"/>
    <w:rsid w:val="00FB44CE"/>
    <w:rsid w:val="00FB5009"/>
    <w:rsid w:val="00FB76AB"/>
    <w:rsid w:val="00FB7F6F"/>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453AD"/>
  <w14:defaultImageDpi w14:val="330"/>
  <w15:docId w15:val="{44EA1B51-96DF-4D49-9AEE-83AAC9358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711BE5"/>
    <w:rPr>
      <w:color w:val="0000FF" w:themeColor="hyperlink"/>
      <w:u w:val="single"/>
    </w:rPr>
  </w:style>
  <w:style w:type="character" w:styleId="CommentReference">
    <w:name w:val="annotation reference"/>
    <w:basedOn w:val="DefaultParagraphFont"/>
    <w:semiHidden/>
    <w:unhideWhenUsed/>
    <w:rsid w:val="00711BE5"/>
    <w:rPr>
      <w:sz w:val="16"/>
      <w:szCs w:val="16"/>
    </w:rPr>
  </w:style>
  <w:style w:type="paragraph" w:styleId="CommentText">
    <w:name w:val="annotation text"/>
    <w:basedOn w:val="Normal"/>
    <w:link w:val="CommentTextChar"/>
    <w:semiHidden/>
    <w:unhideWhenUsed/>
    <w:rsid w:val="00711BE5"/>
    <w:pPr>
      <w:spacing w:line="240" w:lineRule="auto"/>
    </w:pPr>
    <w:rPr>
      <w:sz w:val="20"/>
      <w:szCs w:val="20"/>
    </w:rPr>
  </w:style>
  <w:style w:type="character" w:customStyle="1" w:styleId="CommentTextChar">
    <w:name w:val="Comment Text Char"/>
    <w:basedOn w:val="DefaultParagraphFont"/>
    <w:link w:val="CommentText"/>
    <w:semiHidden/>
    <w:rsid w:val="00711BE5"/>
  </w:style>
  <w:style w:type="paragraph" w:styleId="CommentSubject">
    <w:name w:val="annotation subject"/>
    <w:basedOn w:val="CommentText"/>
    <w:next w:val="CommentText"/>
    <w:link w:val="CommentSubjectChar"/>
    <w:semiHidden/>
    <w:unhideWhenUsed/>
    <w:rsid w:val="00711BE5"/>
    <w:rPr>
      <w:b/>
      <w:bCs/>
    </w:rPr>
  </w:style>
  <w:style w:type="character" w:customStyle="1" w:styleId="CommentSubjectChar">
    <w:name w:val="Comment Subject Char"/>
    <w:basedOn w:val="CommentTextChar"/>
    <w:link w:val="CommentSubject"/>
    <w:semiHidden/>
    <w:rsid w:val="00711BE5"/>
    <w:rPr>
      <w:b/>
      <w:bCs/>
    </w:rPr>
  </w:style>
  <w:style w:type="paragraph" w:styleId="BalloonText">
    <w:name w:val="Balloon Text"/>
    <w:basedOn w:val="Normal"/>
    <w:link w:val="BalloonTextChar"/>
    <w:semiHidden/>
    <w:unhideWhenUsed/>
    <w:rsid w:val="00711B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11BE5"/>
    <w:rPr>
      <w:rFonts w:ascii="Segoe UI" w:hAnsi="Segoe UI" w:cs="Segoe UI"/>
      <w:sz w:val="18"/>
      <w:szCs w:val="18"/>
    </w:rPr>
  </w:style>
  <w:style w:type="paragraph" w:styleId="TOC1">
    <w:name w:val="toc 1"/>
    <w:basedOn w:val="Normal"/>
    <w:next w:val="Normal"/>
    <w:autoRedefine/>
    <w:uiPriority w:val="39"/>
    <w:unhideWhenUsed/>
    <w:rsid w:val="00711BE5"/>
    <w:pPr>
      <w:spacing w:after="100"/>
      <w:ind w:firstLine="357"/>
      <w:jc w:val="both"/>
    </w:pPr>
    <w:rPr>
      <w:rFonts w:ascii="Garamond" w:eastAsiaTheme="minorHAnsi" w:hAnsi="Garamond" w:cstheme="minorBidi"/>
      <w:szCs w:val="22"/>
      <w:lang w:eastAsia="en-US"/>
    </w:rPr>
  </w:style>
  <w:style w:type="character" w:styleId="Emphasis">
    <w:name w:val="Emphasis"/>
    <w:basedOn w:val="DefaultParagraphFont"/>
    <w:uiPriority w:val="20"/>
    <w:qFormat/>
    <w:rsid w:val="004B0D23"/>
    <w:rPr>
      <w:rFonts w:ascii="Garamond" w:hAnsi="Garamond"/>
      <w:b/>
      <w:i w:val="0"/>
      <w:iCs/>
      <w:spacing w:val="10"/>
      <w:sz w:val="24"/>
    </w:rPr>
  </w:style>
  <w:style w:type="character" w:styleId="FollowedHyperlink">
    <w:name w:val="FollowedHyperlink"/>
    <w:basedOn w:val="DefaultParagraphFont"/>
    <w:semiHidden/>
    <w:unhideWhenUsed/>
    <w:rsid w:val="00CC670E"/>
    <w:rPr>
      <w:color w:val="800080" w:themeColor="followedHyperlink"/>
      <w:u w:val="single"/>
    </w:rPr>
  </w:style>
  <w:style w:type="character" w:styleId="LineNumber">
    <w:name w:val="line number"/>
    <w:basedOn w:val="DefaultParagraphFont"/>
    <w:semiHidden/>
    <w:unhideWhenUsed/>
    <w:rsid w:val="00D105B3"/>
  </w:style>
  <w:style w:type="paragraph" w:customStyle="1" w:styleId="FigTabEquNotes">
    <w:name w:val="Fig/Tab/Equ. Notes"/>
    <w:basedOn w:val="Normal"/>
    <w:link w:val="FigTabEquNotesChar"/>
    <w:qFormat/>
    <w:rsid w:val="002927BE"/>
    <w:pPr>
      <w:spacing w:after="160" w:line="240" w:lineRule="auto"/>
      <w:jc w:val="both"/>
    </w:pPr>
    <w:rPr>
      <w:rFonts w:ascii="Garamond" w:eastAsiaTheme="minorEastAsia" w:hAnsi="Garamond"/>
      <w:i/>
      <w:szCs w:val="22"/>
      <w:lang w:eastAsia="en-US"/>
    </w:rPr>
  </w:style>
  <w:style w:type="character" w:customStyle="1" w:styleId="FigTabEquNotesChar">
    <w:name w:val="Fig/Tab/Equ. Notes Char"/>
    <w:basedOn w:val="DefaultParagraphFont"/>
    <w:link w:val="FigTabEquNotes"/>
    <w:rsid w:val="002927BE"/>
    <w:rPr>
      <w:rFonts w:ascii="Garamond" w:eastAsiaTheme="minorEastAsia" w:hAnsi="Garamond"/>
      <w: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omtexttospeech.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randomizer.org/" TargetMode="External"/><Relationship Id="rId1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D16\OneDrive%20-%20University%20of%20Chichester(1)\PhD\Thesis\Study%202\Human%20Performance\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62FD7-AC99-4887-8F2B-FA08F8621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2</TotalTime>
  <Pages>8</Pages>
  <Words>7388</Words>
  <Characters>42113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49403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MOD16</dc:creator>
  <cp:lastModifiedBy>Christopher Vine</cp:lastModifiedBy>
  <cp:revision>5</cp:revision>
  <cp:lastPrinted>2011-07-22T14:54:00Z</cp:lastPrinted>
  <dcterms:created xsi:type="dcterms:W3CDTF">2022-05-16T08:55:00Z</dcterms:created>
  <dcterms:modified xsi:type="dcterms:W3CDTF">2022-07-27T08:42:00Z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http://www.zotero.org/styles/european-journal-of-applied-physiology</vt:lpwstr>
  </property>
  <property fmtid="{D5CDD505-2E9C-101B-9397-08002B2CF9AE}" pid="9" name="Mendeley Recent Style Name 3_1">
    <vt:lpwstr>European Journal of Applied Physiology</vt:lpwstr>
  </property>
  <property fmtid="{D5CDD505-2E9C-101B-9397-08002B2CF9AE}" pid="10" name="Mendeley Recent Style Id 4_1">
    <vt:lpwstr>http://www.zotero.org/styles/european-journal-of-sport-science</vt:lpwstr>
  </property>
  <property fmtid="{D5CDD505-2E9C-101B-9397-08002B2CF9AE}" pid="11" name="Mendeley Recent Style Name 4_1">
    <vt:lpwstr>European Journal of Sport Science</vt:lpwstr>
  </property>
  <property fmtid="{D5CDD505-2E9C-101B-9397-08002B2CF9AE}" pid="12" name="Mendeley Recent Style Id 5_1">
    <vt:lpwstr>http://www.zotero.org/styles/frontiers-in-psychology</vt:lpwstr>
  </property>
  <property fmtid="{D5CDD505-2E9C-101B-9397-08002B2CF9AE}" pid="13" name="Mendeley Recent Style Name 5_1">
    <vt:lpwstr>Frontiers in Psychology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http://csl.mendeley.com/styles/564124821/vancouver</vt:lpwstr>
  </property>
  <property fmtid="{D5CDD505-2E9C-101B-9397-08002B2CF9AE}" pid="21" name="Mendeley Recent Style Name 9_1">
    <vt:lpwstr>Vancouver - OP RG</vt:lpwstr>
  </property>
  <property fmtid="{D5CDD505-2E9C-101B-9397-08002B2CF9AE}" pid="22" name="Mendeley Document_1">
    <vt:lpwstr>True</vt:lpwstr>
  </property>
  <property fmtid="{D5CDD505-2E9C-101B-9397-08002B2CF9AE}" pid="23" name="Mendeley Unique User Id_1">
    <vt:lpwstr>66e1713b-b173-3d37-a6e4-95d3666a6164</vt:lpwstr>
  </property>
  <property fmtid="{D5CDD505-2E9C-101B-9397-08002B2CF9AE}" pid="24" name="Mendeley Citation Style_1">
    <vt:lpwstr>http://www.zotero.org/styles/apa</vt:lpwstr>
  </property>
</Properties>
</file>