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265F" w:rsidRPr="00E43204" w:rsidRDefault="00F7292E" w:rsidP="00F7292E">
      <w:pPr>
        <w:jc w:val="center"/>
        <w:rPr>
          <w:rFonts w:ascii="Times New Roman" w:hAnsi="Times New Roman" w:cs="Times New Roman"/>
          <w:b/>
          <w:sz w:val="28"/>
          <w:u w:val="single"/>
        </w:rPr>
      </w:pPr>
      <w:r>
        <w:rPr>
          <w:rFonts w:ascii="Times New Roman" w:hAnsi="Times New Roman" w:cs="Times New Roman"/>
          <w:b/>
          <w:sz w:val="28"/>
          <w:u w:val="single"/>
        </w:rPr>
        <w:t>Supplementary Information</w:t>
      </w:r>
    </w:p>
    <w:p w:rsidR="00E43204" w:rsidRPr="00E43204" w:rsidRDefault="00E43204" w:rsidP="00E43204">
      <w:pPr>
        <w:jc w:val="both"/>
        <w:rPr>
          <w:rFonts w:ascii="Times New Roman" w:hAnsi="Times New Roman" w:cs="Times New Roman"/>
          <w:b/>
          <w:sz w:val="24"/>
          <w:u w:val="single"/>
        </w:rPr>
      </w:pPr>
      <w:r w:rsidRPr="00E43204">
        <w:rPr>
          <w:rFonts w:ascii="Times New Roman" w:hAnsi="Times New Roman" w:cs="Times New Roman"/>
          <w:b/>
          <w:sz w:val="24"/>
          <w:u w:val="single"/>
        </w:rPr>
        <w:t>Methods</w:t>
      </w:r>
    </w:p>
    <w:p w:rsidR="000A365B" w:rsidRPr="00E43204" w:rsidRDefault="000A365B" w:rsidP="00F7292E">
      <w:pPr>
        <w:pStyle w:val="IUCrheading2"/>
        <w:numPr>
          <w:ilvl w:val="0"/>
          <w:numId w:val="0"/>
        </w:numPr>
        <w:spacing w:before="0" w:line="240" w:lineRule="auto"/>
        <w:jc w:val="both"/>
        <w:textAlignment w:val="auto"/>
        <w:rPr>
          <w:rFonts w:ascii="Times New Roman" w:hAnsi="Times New Roman"/>
          <w:sz w:val="22"/>
        </w:rPr>
      </w:pPr>
      <w:r w:rsidRPr="00E43204">
        <w:rPr>
          <w:rFonts w:ascii="Times New Roman" w:hAnsi="Times New Roman"/>
          <w:sz w:val="22"/>
        </w:rPr>
        <w:t>Production of C23O64</w:t>
      </w:r>
    </w:p>
    <w:p w:rsidR="000A365B" w:rsidRPr="00E43204" w:rsidRDefault="000A365B" w:rsidP="00F7292E">
      <w:pPr>
        <w:pStyle w:val="IUCrbodytext"/>
        <w:spacing w:after="0"/>
        <w:jc w:val="both"/>
      </w:pPr>
      <w:r w:rsidRPr="00E43204">
        <w:t xml:space="preserve">The gene encoding </w:t>
      </w:r>
      <w:r w:rsidRPr="00E43204">
        <w:rPr>
          <w:i/>
          <w:iCs/>
        </w:rPr>
        <w:t>C23O64</w:t>
      </w:r>
      <w:r w:rsidRPr="00E43204">
        <w:t xml:space="preserve"> was cloned into a pET-21a expression vector and transformed into </w:t>
      </w:r>
      <w:r w:rsidRPr="00E43204">
        <w:rPr>
          <w:i/>
        </w:rPr>
        <w:t>E.</w:t>
      </w:r>
      <w:r w:rsidRPr="00E43204">
        <w:t xml:space="preserve"> </w:t>
      </w:r>
      <w:r w:rsidRPr="00E43204">
        <w:rPr>
          <w:i/>
        </w:rPr>
        <w:t>coli</w:t>
      </w:r>
      <w:r w:rsidRPr="00E43204">
        <w:t xml:space="preserve"> BL21 (DE3) cells for protein expression (Table 1).  The cell cultures were grown at 37 °C to an OD of 0.4-0.6 at 600 nm, followed by the induction with 100 µM isopropyl-β-D-1-thiogalactopyranoside (IPTG).  Cells were then grown for 12 hours at 28 °C and harvested by centrifugation at 4000g for 30 min at 4 °C. The cell pellet was resuspended in buffer A (50 </w:t>
      </w:r>
      <w:proofErr w:type="spellStart"/>
      <w:r w:rsidRPr="00E43204">
        <w:t>mM</w:t>
      </w:r>
      <w:proofErr w:type="spellEnd"/>
      <w:r w:rsidRPr="00E43204">
        <w:t xml:space="preserve"> Tris-</w:t>
      </w:r>
      <w:proofErr w:type="spellStart"/>
      <w:r w:rsidRPr="00E43204">
        <w:t>HCl</w:t>
      </w:r>
      <w:proofErr w:type="spellEnd"/>
      <w:r w:rsidRPr="00E43204">
        <w:t xml:space="preserve"> pH 7.5, 50 </w:t>
      </w:r>
      <w:proofErr w:type="spellStart"/>
      <w:r w:rsidRPr="00E43204">
        <w:t>mM</w:t>
      </w:r>
      <w:proofErr w:type="spellEnd"/>
      <w:r w:rsidRPr="00E43204">
        <w:t xml:space="preserve"> </w:t>
      </w:r>
      <w:proofErr w:type="spellStart"/>
      <w:r w:rsidRPr="00E43204">
        <w:t>NaCl</w:t>
      </w:r>
      <w:proofErr w:type="spellEnd"/>
      <w:r w:rsidRPr="00E43204">
        <w:t xml:space="preserve">, 0.5 </w:t>
      </w:r>
      <w:proofErr w:type="spellStart"/>
      <w:r w:rsidRPr="00E43204">
        <w:t>mM</w:t>
      </w:r>
      <w:proofErr w:type="spellEnd"/>
      <w:r w:rsidRPr="00E43204">
        <w:t xml:space="preserve"> DTT).  Cells were lysed by ultrasonication for 15 min., the cell lysate was centrifuged at 25000 g for 30 min at 4 °C to remove cell debris, and the supernatant was collected.</w:t>
      </w:r>
    </w:p>
    <w:p w:rsidR="000A365B" w:rsidRPr="00F7292E" w:rsidRDefault="000A365B" w:rsidP="000A365B">
      <w:pPr>
        <w:pStyle w:val="CommentText"/>
        <w:jc w:val="both"/>
        <w:rPr>
          <w:sz w:val="22"/>
        </w:rPr>
      </w:pPr>
      <w:r w:rsidRPr="00E43204">
        <w:rPr>
          <w:sz w:val="22"/>
          <w:szCs w:val="22"/>
        </w:rPr>
        <w:t>All purification steps were carried out at 4 °C, and SDS-PAGE was performed to identify the protein of interest.  Purification of the enzyme was achieved by ammonium sulphate precipitation (0-40 %). The precipitate was collected by centrifugation and dissolved in a minimum volume (~10 mL) of buffer A.  Residual salt removal was achieved through dialysis against</w:t>
      </w:r>
      <w:r w:rsidRPr="00E43204">
        <w:rPr>
          <w:sz w:val="22"/>
          <w:szCs w:val="22"/>
          <w:lang w:bidi="hi-IN"/>
        </w:rPr>
        <w:t xml:space="preserve"> </w:t>
      </w:r>
      <w:r w:rsidRPr="00E43204">
        <w:rPr>
          <w:sz w:val="22"/>
          <w:szCs w:val="22"/>
        </w:rPr>
        <w:t xml:space="preserve">buffer A.  Anion exchange chromatography was carried out with Q-FF (16/60) (GE Healthcare), pre-equilibrated with buffer A.  The protein was eluted at 20-40% step-gradient with buffer B (50 </w:t>
      </w:r>
      <w:proofErr w:type="spellStart"/>
      <w:r w:rsidRPr="00E43204">
        <w:rPr>
          <w:sz w:val="22"/>
          <w:szCs w:val="22"/>
        </w:rPr>
        <w:t>mM</w:t>
      </w:r>
      <w:proofErr w:type="spellEnd"/>
      <w:r w:rsidRPr="00E43204">
        <w:rPr>
          <w:sz w:val="22"/>
          <w:szCs w:val="22"/>
        </w:rPr>
        <w:t xml:space="preserve"> Tris-</w:t>
      </w:r>
      <w:proofErr w:type="spellStart"/>
      <w:r w:rsidRPr="00E43204">
        <w:rPr>
          <w:sz w:val="22"/>
          <w:szCs w:val="22"/>
        </w:rPr>
        <w:t>HCl</w:t>
      </w:r>
      <w:proofErr w:type="spellEnd"/>
      <w:r w:rsidRPr="00E43204">
        <w:rPr>
          <w:sz w:val="22"/>
          <w:szCs w:val="22"/>
        </w:rPr>
        <w:t xml:space="preserve"> pH 7.5, 1 M </w:t>
      </w:r>
      <w:proofErr w:type="spellStart"/>
      <w:r w:rsidRPr="00E43204">
        <w:rPr>
          <w:sz w:val="22"/>
          <w:szCs w:val="22"/>
        </w:rPr>
        <w:t>NaCl</w:t>
      </w:r>
      <w:proofErr w:type="spellEnd"/>
      <w:r w:rsidRPr="00E43204">
        <w:rPr>
          <w:sz w:val="22"/>
          <w:szCs w:val="22"/>
        </w:rPr>
        <w:t xml:space="preserve">, 0.5 </w:t>
      </w:r>
      <w:proofErr w:type="spellStart"/>
      <w:r w:rsidRPr="00E43204">
        <w:rPr>
          <w:sz w:val="22"/>
          <w:szCs w:val="22"/>
        </w:rPr>
        <w:t>mM</w:t>
      </w:r>
      <w:proofErr w:type="spellEnd"/>
      <w:r w:rsidRPr="00E43204">
        <w:rPr>
          <w:sz w:val="22"/>
          <w:szCs w:val="22"/>
        </w:rPr>
        <w:t xml:space="preserve"> DTT).  The a</w:t>
      </w:r>
      <w:r w:rsidR="002A566E" w:rsidRPr="00E43204">
        <w:rPr>
          <w:sz w:val="22"/>
          <w:szCs w:val="22"/>
        </w:rPr>
        <w:t xml:space="preserve">ctive </w:t>
      </w:r>
      <w:r w:rsidRPr="00E43204">
        <w:rPr>
          <w:sz w:val="22"/>
          <w:szCs w:val="22"/>
        </w:rPr>
        <w:t xml:space="preserve">fractions were pooled and concentrated using </w:t>
      </w:r>
      <w:proofErr w:type="spellStart"/>
      <w:r w:rsidRPr="00E43204">
        <w:rPr>
          <w:sz w:val="22"/>
          <w:szCs w:val="22"/>
        </w:rPr>
        <w:t>Amicon</w:t>
      </w:r>
      <w:proofErr w:type="spellEnd"/>
      <w:r w:rsidRPr="00E43204">
        <w:rPr>
          <w:sz w:val="22"/>
          <w:szCs w:val="22"/>
        </w:rPr>
        <w:t xml:space="preserve"> ultra-centrifugal filters (30 K MW, Merck Millipore).  In the final step, size exclusion chromatography was performed on an S200 column (16/60, prep; GE Healthcare) pre-equilibrated with buffer A.  The protein fractions were pooled and concentrated.  These were kept as glycerol stock at -20 °C. Protein quantification at each step was determined by Bradford assay using bovine serum albumin as standard.  The glycerol stock was diluted and used for crystallization</w:t>
      </w:r>
      <w:r w:rsidRPr="00E43204">
        <w:rPr>
          <w:sz w:val="22"/>
        </w:rPr>
        <w:t>.</w:t>
      </w:r>
    </w:p>
    <w:p w:rsidR="000A365B" w:rsidRPr="00E43204" w:rsidRDefault="000A365B" w:rsidP="000A365B">
      <w:pPr>
        <w:pStyle w:val="IUCrtablecaption"/>
        <w:numPr>
          <w:ilvl w:val="0"/>
          <w:numId w:val="0"/>
        </w:numPr>
        <w:jc w:val="both"/>
      </w:pPr>
      <w:r w:rsidRPr="00E43204">
        <w:t xml:space="preserve">Table </w:t>
      </w:r>
      <w:r w:rsidR="00860037">
        <w:t>S</w:t>
      </w:r>
      <w:r w:rsidRPr="00E43204">
        <w:t xml:space="preserve">1: Catechol 2,3-dioxygenase from </w:t>
      </w:r>
      <w:r w:rsidRPr="00E43204">
        <w:rPr>
          <w:i/>
        </w:rPr>
        <w:t>Diaphorobacter</w:t>
      </w:r>
      <w:r w:rsidRPr="00E43204">
        <w:t xml:space="preserve"> sp DS2, C23O64 production information</w:t>
      </w:r>
    </w:p>
    <w:tbl>
      <w:tblPr>
        <w:tblStyle w:val="ListTable6Colorful"/>
        <w:tblW w:w="8885" w:type="dxa"/>
        <w:tblLook w:val="04A0" w:firstRow="1" w:lastRow="0" w:firstColumn="1" w:lastColumn="0" w:noHBand="0" w:noVBand="1"/>
      </w:tblPr>
      <w:tblGrid>
        <w:gridCol w:w="3195"/>
        <w:gridCol w:w="5690"/>
      </w:tblGrid>
      <w:tr w:rsidR="000A365B" w:rsidRPr="00E43204" w:rsidTr="00F7292E">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195" w:type="dxa"/>
            <w:shd w:val="clear" w:color="auto" w:fill="auto"/>
            <w:hideMark/>
          </w:tcPr>
          <w:p w:rsidR="000A365B" w:rsidRPr="00E43204" w:rsidRDefault="000A365B" w:rsidP="001F0D11">
            <w:pPr>
              <w:pStyle w:val="IUCrtablefootnote"/>
              <w:rPr>
                <w:sz w:val="18"/>
              </w:rPr>
            </w:pPr>
            <w:r w:rsidRPr="00E43204">
              <w:rPr>
                <w:sz w:val="18"/>
              </w:rPr>
              <w:t xml:space="preserve">Source organism  </w:t>
            </w:r>
          </w:p>
        </w:tc>
        <w:tc>
          <w:tcPr>
            <w:tcW w:w="5690" w:type="dxa"/>
            <w:shd w:val="clear" w:color="auto" w:fill="auto"/>
            <w:hideMark/>
          </w:tcPr>
          <w:p w:rsidR="000A365B" w:rsidRPr="00E43204" w:rsidRDefault="000A365B" w:rsidP="001F0D11">
            <w:pPr>
              <w:pStyle w:val="IUCrtablefootnote"/>
              <w:cnfStyle w:val="100000000000" w:firstRow="1" w:lastRow="0" w:firstColumn="0" w:lastColumn="0" w:oddVBand="0" w:evenVBand="0" w:oddHBand="0" w:evenHBand="0" w:firstRowFirstColumn="0" w:firstRowLastColumn="0" w:lastRowFirstColumn="0" w:lastRowLastColumn="0"/>
              <w:rPr>
                <w:sz w:val="18"/>
              </w:rPr>
            </w:pPr>
            <w:r w:rsidRPr="00E43204">
              <w:rPr>
                <w:sz w:val="18"/>
              </w:rPr>
              <w:t>Diaphorobacter sp. strain DS2</w:t>
            </w:r>
          </w:p>
        </w:tc>
      </w:tr>
      <w:tr w:rsidR="000A365B" w:rsidRPr="00E43204" w:rsidTr="00F7292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3195" w:type="dxa"/>
            <w:shd w:val="clear" w:color="auto" w:fill="auto"/>
            <w:hideMark/>
          </w:tcPr>
          <w:p w:rsidR="000A365B" w:rsidRPr="00E43204" w:rsidRDefault="000A365B" w:rsidP="001F0D11">
            <w:pPr>
              <w:pStyle w:val="IUCrtablefootnote"/>
              <w:rPr>
                <w:sz w:val="18"/>
              </w:rPr>
            </w:pPr>
            <w:r w:rsidRPr="00E43204">
              <w:rPr>
                <w:sz w:val="18"/>
              </w:rPr>
              <w:t>DNA source</w:t>
            </w:r>
          </w:p>
        </w:tc>
        <w:tc>
          <w:tcPr>
            <w:tcW w:w="5690" w:type="dxa"/>
            <w:shd w:val="clear" w:color="auto" w:fill="auto"/>
            <w:hideMark/>
          </w:tcPr>
          <w:p w:rsidR="000A365B" w:rsidRPr="00E43204" w:rsidRDefault="000A365B" w:rsidP="001F0D11">
            <w:pPr>
              <w:pStyle w:val="IUCrtablefootnote"/>
              <w:cnfStyle w:val="000000100000" w:firstRow="0" w:lastRow="0" w:firstColumn="0" w:lastColumn="0" w:oddVBand="0" w:evenVBand="0" w:oddHBand="1" w:evenHBand="0" w:firstRowFirstColumn="0" w:firstRowLastColumn="0" w:lastRowFirstColumn="0" w:lastRowLastColumn="0"/>
              <w:rPr>
                <w:sz w:val="18"/>
              </w:rPr>
            </w:pPr>
            <w:r w:rsidRPr="00E43204">
              <w:rPr>
                <w:b/>
                <w:bCs/>
                <w:sz w:val="18"/>
              </w:rPr>
              <w:t>Genomic DNA</w:t>
            </w:r>
          </w:p>
        </w:tc>
      </w:tr>
      <w:tr w:rsidR="000A365B" w:rsidRPr="00E43204" w:rsidTr="00F7292E">
        <w:trPr>
          <w:trHeight w:val="443"/>
        </w:trPr>
        <w:tc>
          <w:tcPr>
            <w:cnfStyle w:val="001000000000" w:firstRow="0" w:lastRow="0" w:firstColumn="1" w:lastColumn="0" w:oddVBand="0" w:evenVBand="0" w:oddHBand="0" w:evenHBand="0" w:firstRowFirstColumn="0" w:firstRowLastColumn="0" w:lastRowFirstColumn="0" w:lastRowLastColumn="0"/>
            <w:tcW w:w="3195" w:type="dxa"/>
            <w:shd w:val="clear" w:color="auto" w:fill="auto"/>
            <w:hideMark/>
          </w:tcPr>
          <w:p w:rsidR="000A365B" w:rsidRPr="00E43204" w:rsidRDefault="000A365B" w:rsidP="001F0D11">
            <w:pPr>
              <w:pStyle w:val="IUCrtablefootnote"/>
              <w:rPr>
                <w:sz w:val="18"/>
              </w:rPr>
            </w:pPr>
            <w:r w:rsidRPr="00E43204">
              <w:rPr>
                <w:sz w:val="18"/>
              </w:rPr>
              <w:t>Forward primer</w:t>
            </w:r>
          </w:p>
        </w:tc>
        <w:tc>
          <w:tcPr>
            <w:tcW w:w="5690" w:type="dxa"/>
            <w:shd w:val="clear" w:color="auto" w:fill="auto"/>
            <w:hideMark/>
          </w:tcPr>
          <w:p w:rsidR="000A365B" w:rsidRPr="00E43204" w:rsidRDefault="000A365B" w:rsidP="001F0D11">
            <w:pPr>
              <w:pStyle w:val="IUCrtablefootnote"/>
              <w:cnfStyle w:val="000000000000" w:firstRow="0" w:lastRow="0" w:firstColumn="0" w:lastColumn="0" w:oddVBand="0" w:evenVBand="0" w:oddHBand="0" w:evenHBand="0" w:firstRowFirstColumn="0" w:firstRowLastColumn="0" w:lastRowFirstColumn="0" w:lastRowLastColumn="0"/>
              <w:rPr>
                <w:sz w:val="18"/>
              </w:rPr>
            </w:pPr>
            <w:r w:rsidRPr="00E43204">
              <w:rPr>
                <w:b/>
                <w:bCs/>
                <w:sz w:val="18"/>
              </w:rPr>
              <w:t>TCTGCAGGAT</w:t>
            </w:r>
            <w:r w:rsidRPr="00E43204">
              <w:rPr>
                <w:b/>
                <w:bCs/>
                <w:sz w:val="18"/>
                <w:u w:val="single"/>
              </w:rPr>
              <w:t>CCATGG</w:t>
            </w:r>
            <w:r w:rsidRPr="00E43204">
              <w:rPr>
                <w:b/>
                <w:bCs/>
                <w:sz w:val="18"/>
              </w:rPr>
              <w:t>GCGTACTACGCATA</w:t>
            </w:r>
          </w:p>
        </w:tc>
      </w:tr>
      <w:tr w:rsidR="000A365B" w:rsidRPr="00E43204" w:rsidTr="00F7292E">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195" w:type="dxa"/>
            <w:shd w:val="clear" w:color="auto" w:fill="auto"/>
            <w:hideMark/>
          </w:tcPr>
          <w:p w:rsidR="000A365B" w:rsidRPr="00E43204" w:rsidRDefault="000A365B" w:rsidP="001F0D11">
            <w:pPr>
              <w:pStyle w:val="IUCrtablefootnote"/>
              <w:rPr>
                <w:sz w:val="18"/>
              </w:rPr>
            </w:pPr>
            <w:r w:rsidRPr="00E43204">
              <w:rPr>
                <w:sz w:val="18"/>
              </w:rPr>
              <w:t>Reverse primer</w:t>
            </w:r>
          </w:p>
        </w:tc>
        <w:tc>
          <w:tcPr>
            <w:tcW w:w="5690" w:type="dxa"/>
            <w:shd w:val="clear" w:color="auto" w:fill="auto"/>
            <w:hideMark/>
          </w:tcPr>
          <w:p w:rsidR="000A365B" w:rsidRPr="00E43204" w:rsidRDefault="000A365B" w:rsidP="001F0D11">
            <w:pPr>
              <w:pStyle w:val="IUCrtablefootnote"/>
              <w:cnfStyle w:val="000000100000" w:firstRow="0" w:lastRow="0" w:firstColumn="0" w:lastColumn="0" w:oddVBand="0" w:evenVBand="0" w:oddHBand="1" w:evenHBand="0" w:firstRowFirstColumn="0" w:firstRowLastColumn="0" w:lastRowFirstColumn="0" w:lastRowLastColumn="0"/>
              <w:rPr>
                <w:sz w:val="18"/>
              </w:rPr>
            </w:pPr>
            <w:r w:rsidRPr="00E43204">
              <w:rPr>
                <w:b/>
                <w:bCs/>
                <w:sz w:val="18"/>
              </w:rPr>
              <w:t>TCTGCA</w:t>
            </w:r>
            <w:r w:rsidRPr="00E43204">
              <w:rPr>
                <w:b/>
                <w:bCs/>
                <w:sz w:val="18"/>
                <w:u w:val="single"/>
              </w:rPr>
              <w:t>AAGCTT</w:t>
            </w:r>
            <w:r w:rsidRPr="00E43204">
              <w:rPr>
                <w:b/>
                <w:bCs/>
                <w:sz w:val="18"/>
              </w:rPr>
              <w:t>TCAGGTATAGACGTCCGT</w:t>
            </w:r>
          </w:p>
        </w:tc>
      </w:tr>
      <w:tr w:rsidR="000A365B" w:rsidRPr="00E43204" w:rsidTr="00F7292E">
        <w:trPr>
          <w:trHeight w:val="352"/>
        </w:trPr>
        <w:tc>
          <w:tcPr>
            <w:cnfStyle w:val="001000000000" w:firstRow="0" w:lastRow="0" w:firstColumn="1" w:lastColumn="0" w:oddVBand="0" w:evenVBand="0" w:oddHBand="0" w:evenHBand="0" w:firstRowFirstColumn="0" w:firstRowLastColumn="0" w:lastRowFirstColumn="0" w:lastRowLastColumn="0"/>
            <w:tcW w:w="3195" w:type="dxa"/>
            <w:shd w:val="clear" w:color="auto" w:fill="auto"/>
            <w:hideMark/>
          </w:tcPr>
          <w:p w:rsidR="000A365B" w:rsidRPr="00E43204" w:rsidRDefault="000A365B" w:rsidP="001F0D11">
            <w:pPr>
              <w:pStyle w:val="IUCrtablefootnote"/>
              <w:rPr>
                <w:sz w:val="18"/>
              </w:rPr>
            </w:pPr>
            <w:r w:rsidRPr="00E43204">
              <w:rPr>
                <w:sz w:val="18"/>
              </w:rPr>
              <w:t>Cloning vector</w:t>
            </w:r>
          </w:p>
        </w:tc>
        <w:tc>
          <w:tcPr>
            <w:tcW w:w="5690" w:type="dxa"/>
            <w:shd w:val="clear" w:color="auto" w:fill="auto"/>
            <w:hideMark/>
          </w:tcPr>
          <w:p w:rsidR="000A365B" w:rsidRPr="00E43204" w:rsidRDefault="000A365B" w:rsidP="001F0D11">
            <w:pPr>
              <w:pStyle w:val="IUCrtablefootnote"/>
              <w:cnfStyle w:val="000000000000" w:firstRow="0" w:lastRow="0" w:firstColumn="0" w:lastColumn="0" w:oddVBand="0" w:evenVBand="0" w:oddHBand="0" w:evenHBand="0" w:firstRowFirstColumn="0" w:firstRowLastColumn="0" w:lastRowFirstColumn="0" w:lastRowLastColumn="0"/>
              <w:rPr>
                <w:sz w:val="18"/>
              </w:rPr>
            </w:pPr>
            <w:r w:rsidRPr="00E43204">
              <w:rPr>
                <w:b/>
                <w:bCs/>
                <w:sz w:val="18"/>
              </w:rPr>
              <w:t>TA vector</w:t>
            </w:r>
          </w:p>
        </w:tc>
      </w:tr>
      <w:tr w:rsidR="000A365B" w:rsidRPr="00E43204" w:rsidTr="00F7292E">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195" w:type="dxa"/>
            <w:shd w:val="clear" w:color="auto" w:fill="auto"/>
            <w:hideMark/>
          </w:tcPr>
          <w:p w:rsidR="000A365B" w:rsidRPr="00E43204" w:rsidRDefault="000A365B" w:rsidP="001F0D11">
            <w:pPr>
              <w:pStyle w:val="IUCrtablefootnote"/>
              <w:rPr>
                <w:sz w:val="18"/>
              </w:rPr>
            </w:pPr>
            <w:r w:rsidRPr="00E43204">
              <w:rPr>
                <w:sz w:val="18"/>
              </w:rPr>
              <w:t>Expression vector</w:t>
            </w:r>
          </w:p>
        </w:tc>
        <w:tc>
          <w:tcPr>
            <w:tcW w:w="5690" w:type="dxa"/>
            <w:shd w:val="clear" w:color="auto" w:fill="auto"/>
            <w:hideMark/>
          </w:tcPr>
          <w:p w:rsidR="000A365B" w:rsidRPr="00E43204" w:rsidRDefault="000A365B" w:rsidP="001F0D11">
            <w:pPr>
              <w:pStyle w:val="IUCrtablefootnote"/>
              <w:cnfStyle w:val="000000100000" w:firstRow="0" w:lastRow="0" w:firstColumn="0" w:lastColumn="0" w:oddVBand="0" w:evenVBand="0" w:oddHBand="1" w:evenHBand="0" w:firstRowFirstColumn="0" w:firstRowLastColumn="0" w:lastRowFirstColumn="0" w:lastRowLastColumn="0"/>
              <w:rPr>
                <w:sz w:val="18"/>
              </w:rPr>
            </w:pPr>
            <w:r w:rsidRPr="00E43204">
              <w:rPr>
                <w:b/>
                <w:bCs/>
                <w:sz w:val="18"/>
              </w:rPr>
              <w:t>pET-21a</w:t>
            </w:r>
          </w:p>
        </w:tc>
      </w:tr>
      <w:tr w:rsidR="000A365B" w:rsidRPr="00E43204" w:rsidTr="00F7292E">
        <w:trPr>
          <w:trHeight w:val="434"/>
        </w:trPr>
        <w:tc>
          <w:tcPr>
            <w:cnfStyle w:val="001000000000" w:firstRow="0" w:lastRow="0" w:firstColumn="1" w:lastColumn="0" w:oddVBand="0" w:evenVBand="0" w:oddHBand="0" w:evenHBand="0" w:firstRowFirstColumn="0" w:firstRowLastColumn="0" w:lastRowFirstColumn="0" w:lastRowLastColumn="0"/>
            <w:tcW w:w="3195" w:type="dxa"/>
            <w:shd w:val="clear" w:color="auto" w:fill="auto"/>
            <w:hideMark/>
          </w:tcPr>
          <w:p w:rsidR="000A365B" w:rsidRPr="00E43204" w:rsidRDefault="000A365B" w:rsidP="001F0D11">
            <w:pPr>
              <w:pStyle w:val="IUCrtablefootnote"/>
              <w:rPr>
                <w:sz w:val="18"/>
              </w:rPr>
            </w:pPr>
            <w:r w:rsidRPr="00E43204">
              <w:rPr>
                <w:sz w:val="18"/>
              </w:rPr>
              <w:t>Expression host</w:t>
            </w:r>
          </w:p>
        </w:tc>
        <w:tc>
          <w:tcPr>
            <w:tcW w:w="5690" w:type="dxa"/>
            <w:shd w:val="clear" w:color="auto" w:fill="auto"/>
            <w:hideMark/>
          </w:tcPr>
          <w:p w:rsidR="000A365B" w:rsidRPr="00E43204" w:rsidRDefault="000A365B" w:rsidP="001F0D11">
            <w:pPr>
              <w:pStyle w:val="IUCrtablefootnote"/>
              <w:cnfStyle w:val="000000000000" w:firstRow="0" w:lastRow="0" w:firstColumn="0" w:lastColumn="0" w:oddVBand="0" w:evenVBand="0" w:oddHBand="0" w:evenHBand="0" w:firstRowFirstColumn="0" w:firstRowLastColumn="0" w:lastRowFirstColumn="0" w:lastRowLastColumn="0"/>
              <w:rPr>
                <w:sz w:val="18"/>
              </w:rPr>
            </w:pPr>
            <w:r w:rsidRPr="00E43204">
              <w:rPr>
                <w:b/>
                <w:bCs/>
                <w:i/>
                <w:iCs/>
                <w:sz w:val="18"/>
              </w:rPr>
              <w:t>E. coli</w:t>
            </w:r>
            <w:r w:rsidRPr="00E43204">
              <w:rPr>
                <w:b/>
                <w:bCs/>
                <w:sz w:val="18"/>
              </w:rPr>
              <w:t xml:space="preserve"> BL21-DE3</w:t>
            </w:r>
          </w:p>
        </w:tc>
      </w:tr>
      <w:tr w:rsidR="000A365B" w:rsidRPr="00E43204" w:rsidTr="00F7292E">
        <w:trPr>
          <w:cnfStyle w:val="000000100000" w:firstRow="0" w:lastRow="0" w:firstColumn="0" w:lastColumn="0" w:oddVBand="0" w:evenVBand="0" w:oddHBand="1" w:evenHBand="0" w:firstRowFirstColumn="0" w:firstRowLastColumn="0" w:lastRowFirstColumn="0" w:lastRowLastColumn="0"/>
          <w:trHeight w:val="2442"/>
        </w:trPr>
        <w:tc>
          <w:tcPr>
            <w:cnfStyle w:val="001000000000" w:firstRow="0" w:lastRow="0" w:firstColumn="1" w:lastColumn="0" w:oddVBand="0" w:evenVBand="0" w:oddHBand="0" w:evenHBand="0" w:firstRowFirstColumn="0" w:firstRowLastColumn="0" w:lastRowFirstColumn="0" w:lastRowLastColumn="0"/>
            <w:tcW w:w="3195" w:type="dxa"/>
            <w:shd w:val="clear" w:color="auto" w:fill="auto"/>
            <w:hideMark/>
          </w:tcPr>
          <w:p w:rsidR="000A365B" w:rsidRPr="00E43204" w:rsidRDefault="000A365B" w:rsidP="001F0D11">
            <w:pPr>
              <w:pStyle w:val="IUCrtablefootnote"/>
              <w:rPr>
                <w:sz w:val="18"/>
              </w:rPr>
            </w:pPr>
            <w:r w:rsidRPr="00E43204">
              <w:rPr>
                <w:sz w:val="18"/>
              </w:rPr>
              <w:lastRenderedPageBreak/>
              <w:t>The complete amino acid sequence of the construct produced</w:t>
            </w:r>
          </w:p>
        </w:tc>
        <w:tc>
          <w:tcPr>
            <w:tcW w:w="5690" w:type="dxa"/>
            <w:shd w:val="clear" w:color="auto" w:fill="auto"/>
            <w:hideMark/>
          </w:tcPr>
          <w:p w:rsidR="000A365B" w:rsidRPr="00E43204" w:rsidRDefault="000A365B" w:rsidP="001F0D11">
            <w:pPr>
              <w:pStyle w:val="IUCrtablefootnote"/>
              <w:cnfStyle w:val="000000100000" w:firstRow="0" w:lastRow="0" w:firstColumn="0" w:lastColumn="0" w:oddVBand="0" w:evenVBand="0" w:oddHBand="1" w:evenHBand="0" w:firstRowFirstColumn="0" w:firstRowLastColumn="0" w:lastRowFirstColumn="0" w:lastRowLastColumn="0"/>
              <w:rPr>
                <w:sz w:val="18"/>
              </w:rPr>
            </w:pPr>
            <w:r w:rsidRPr="00E43204">
              <w:rPr>
                <w:b/>
                <w:bCs/>
                <w:sz w:val="18"/>
              </w:rPr>
              <w:t>MGVLRIGHASLKVMDMDAAVRHYENVLGMKTT MKDKAGNVYLKCWDEWDKYSVILTPSDQAGMN HLAYKVEKEADLEALQQKIEAWGVKTTMLDEGT LPSTGRMLQFKLPSGHEMRLYASKEFVGTDVGNI NPDPWPDGLKGAGAHWLDHCLLVCEMNPEAGIN TVADNTRFVTECLDFFLTEQVLVGPGGSIQATTFL ARTTTPHDIAFVGGPTSGLHHIAFFLDSWHDVLKA ADVMAKNKVRIDVAPTRHGITRGETIYFFDPSGNR NETFAGLGYLAQRDRPVTTWTEDQLGSAIFYHTG</w:t>
            </w:r>
          </w:p>
          <w:p w:rsidR="000A365B" w:rsidRPr="00E43204" w:rsidRDefault="000A365B" w:rsidP="001F0D11">
            <w:pPr>
              <w:pStyle w:val="IUCrtablefootnote"/>
              <w:cnfStyle w:val="000000100000" w:firstRow="0" w:lastRow="0" w:firstColumn="0" w:lastColumn="0" w:oddVBand="0" w:evenVBand="0" w:oddHBand="1" w:evenHBand="0" w:firstRowFirstColumn="0" w:firstRowLastColumn="0" w:lastRowFirstColumn="0" w:lastRowLastColumn="0"/>
              <w:rPr>
                <w:sz w:val="18"/>
              </w:rPr>
            </w:pPr>
            <w:r w:rsidRPr="00E43204">
              <w:rPr>
                <w:b/>
                <w:bCs/>
                <w:sz w:val="18"/>
              </w:rPr>
              <w:t>YLEPSFTDVYT</w:t>
            </w:r>
          </w:p>
        </w:tc>
      </w:tr>
    </w:tbl>
    <w:p w:rsidR="000A365B" w:rsidRPr="00E43204" w:rsidRDefault="000A365B" w:rsidP="00E43204">
      <w:pPr>
        <w:pStyle w:val="IUCrtablefootnote"/>
        <w:jc w:val="both"/>
      </w:pPr>
      <w:r w:rsidRPr="00E43204">
        <w:t>† Restrictions sites incorporated in the primers have been underlined</w:t>
      </w:r>
    </w:p>
    <w:p w:rsidR="000A365B" w:rsidRPr="00E43204" w:rsidRDefault="000A365B" w:rsidP="000A365B">
      <w:pPr>
        <w:pStyle w:val="IUCrheading2"/>
        <w:numPr>
          <w:ilvl w:val="0"/>
          <w:numId w:val="0"/>
        </w:numPr>
        <w:jc w:val="both"/>
        <w:textAlignment w:val="auto"/>
        <w:rPr>
          <w:rFonts w:ascii="Times New Roman" w:hAnsi="Times New Roman"/>
        </w:rPr>
      </w:pPr>
      <w:r w:rsidRPr="00E43204">
        <w:rPr>
          <w:rFonts w:ascii="Times New Roman" w:hAnsi="Times New Roman"/>
          <w:sz w:val="22"/>
        </w:rPr>
        <w:t xml:space="preserve">Crystallization </w:t>
      </w:r>
      <w:r w:rsidRPr="00E43204">
        <w:rPr>
          <w:rFonts w:ascii="Times New Roman" w:hAnsi="Times New Roman"/>
        </w:rPr>
        <w:t xml:space="preserve"> </w:t>
      </w:r>
    </w:p>
    <w:p w:rsidR="00AC4FCC" w:rsidRDefault="000A365B" w:rsidP="000A365B">
      <w:pPr>
        <w:pStyle w:val="IUCrbodytext"/>
        <w:jc w:val="both"/>
      </w:pPr>
      <w:r w:rsidRPr="00E43204">
        <w:t>The purified C23O64 protein was concentrated to 22 mg ml</w:t>
      </w:r>
      <w:r w:rsidRPr="00E43204">
        <w:rPr>
          <w:vertAlign w:val="superscript"/>
        </w:rPr>
        <w:t xml:space="preserve">-1 </w:t>
      </w:r>
      <w:r w:rsidRPr="00E43204">
        <w:t>in buffer A for crystallization.  A nanolitre-dispensing robot (Mosquito</w:t>
      </w:r>
      <w:r w:rsidRPr="00E43204">
        <w:rPr>
          <w:vertAlign w:val="superscript"/>
        </w:rPr>
        <w:t>®</w:t>
      </w:r>
      <w:r w:rsidRPr="00E43204">
        <w:t xml:space="preserve">, TTP Labtech) was used to set up hanging drop crystallization trials using commercial sparse matrix crystallization screens.  The crystallization screens were from Hampton Research (Crystal Screen 1 and Crystal Screen 2), </w:t>
      </w:r>
      <w:proofErr w:type="spellStart"/>
      <w:r w:rsidRPr="00E43204">
        <w:t>Rigaku</w:t>
      </w:r>
      <w:proofErr w:type="spellEnd"/>
      <w:r w:rsidRPr="00E43204">
        <w:t xml:space="preserve"> Reagents (Wizard 1 and 2), and Qiagen (The Classic and Classic Suite II). The crystallization drops contained 350 </w:t>
      </w:r>
      <w:proofErr w:type="spellStart"/>
      <w:r w:rsidRPr="00E43204">
        <w:t>nl</w:t>
      </w:r>
      <w:proofErr w:type="spellEnd"/>
      <w:r w:rsidRPr="00E43204">
        <w:t xml:space="preserve"> protein solution and 350 </w:t>
      </w:r>
      <w:proofErr w:type="spellStart"/>
      <w:r w:rsidRPr="00E43204">
        <w:t>nl</w:t>
      </w:r>
      <w:proofErr w:type="spellEnd"/>
      <w:r w:rsidRPr="00E43204">
        <w:t xml:space="preserve"> reservoir solution with 100 µl in the reservoir. Among the few conditions that gave good diamond-shaped crystals, the crystals from the well containing 0.2 M MgCl</w:t>
      </w:r>
      <w:r w:rsidRPr="00E43204">
        <w:rPr>
          <w:vertAlign w:val="subscript"/>
        </w:rPr>
        <w:t>2</w:t>
      </w:r>
      <w:r w:rsidRPr="00E43204">
        <w:t xml:space="preserve">, 0.1 M HEPES sodium salt pH-7.5, 30% (v/v) PEG-400 were chosen and used for soaking with the natural and analogous substrates (Table 2).  </w:t>
      </w:r>
    </w:p>
    <w:p w:rsidR="00AC4FCC" w:rsidRDefault="00AC4FCC" w:rsidP="00AC4FCC">
      <w:pPr>
        <w:pStyle w:val="IUCrbodytext"/>
        <w:jc w:val="center"/>
      </w:pPr>
      <w:r>
        <w:rPr>
          <w:b/>
          <w:noProof/>
          <w:sz w:val="24"/>
        </w:rPr>
        <w:drawing>
          <wp:inline distT="0" distB="0" distL="0" distR="0" wp14:anchorId="2F20CB08" wp14:editId="1819BF76">
            <wp:extent cx="4629526" cy="247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_figS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38295" cy="2481191"/>
                    </a:xfrm>
                    <a:prstGeom prst="rect">
                      <a:avLst/>
                    </a:prstGeom>
                  </pic:spPr>
                </pic:pic>
              </a:graphicData>
            </a:graphic>
          </wp:inline>
        </w:drawing>
      </w:r>
    </w:p>
    <w:p w:rsidR="00AC4FCC" w:rsidRPr="00E43204" w:rsidRDefault="00AC4FCC" w:rsidP="00AC4FCC">
      <w:pPr>
        <w:rPr>
          <w:rFonts w:ascii="Times New Roman" w:hAnsi="Times New Roman" w:cs="Times New Roman"/>
        </w:rPr>
      </w:pPr>
      <w:r w:rsidRPr="00E43204">
        <w:rPr>
          <w:rFonts w:ascii="Times New Roman" w:hAnsi="Times New Roman" w:cs="Times New Roman"/>
          <w:b/>
        </w:rPr>
        <w:t>Fig S1</w:t>
      </w:r>
      <w:r w:rsidRPr="00E43204">
        <w:rPr>
          <w:rFonts w:ascii="Times New Roman" w:hAnsi="Times New Roman" w:cs="Times New Roman"/>
        </w:rPr>
        <w:t xml:space="preserve">- Showing the crystals of catechol 2,3-dioxygenase from </w:t>
      </w:r>
      <w:proofErr w:type="spellStart"/>
      <w:r w:rsidRPr="00E43204">
        <w:rPr>
          <w:rFonts w:ascii="Times New Roman" w:hAnsi="Times New Roman" w:cs="Times New Roman"/>
          <w:i/>
        </w:rPr>
        <w:t>Diaphorobacter</w:t>
      </w:r>
      <w:proofErr w:type="spellEnd"/>
      <w:r w:rsidRPr="00E43204">
        <w:rPr>
          <w:rFonts w:ascii="Times New Roman" w:hAnsi="Times New Roman" w:cs="Times New Roman"/>
        </w:rPr>
        <w:t xml:space="preserve"> </w:t>
      </w:r>
      <w:proofErr w:type="spellStart"/>
      <w:r w:rsidRPr="00E43204">
        <w:rPr>
          <w:rFonts w:ascii="Times New Roman" w:hAnsi="Times New Roman" w:cs="Times New Roman"/>
        </w:rPr>
        <w:t>sp</w:t>
      </w:r>
      <w:proofErr w:type="spellEnd"/>
      <w:r w:rsidRPr="00E43204">
        <w:rPr>
          <w:rFonts w:ascii="Times New Roman" w:hAnsi="Times New Roman" w:cs="Times New Roman"/>
        </w:rPr>
        <w:t xml:space="preserve"> strain DS2 from the condition 0.2 M MgCl</w:t>
      </w:r>
      <w:r w:rsidRPr="00E43204">
        <w:rPr>
          <w:rFonts w:ascii="Times New Roman" w:hAnsi="Times New Roman" w:cs="Times New Roman"/>
          <w:vertAlign w:val="subscript"/>
        </w:rPr>
        <w:t>2</w:t>
      </w:r>
      <w:r w:rsidRPr="00E43204">
        <w:rPr>
          <w:rFonts w:ascii="Times New Roman" w:hAnsi="Times New Roman" w:cs="Times New Roman"/>
        </w:rPr>
        <w:t>, 0.1 M HEPES sodium salt pH-7.5, 30% (v/v) PEG-400 and the diffraction pattern of the crystal.</w:t>
      </w:r>
    </w:p>
    <w:p w:rsidR="00AC4FCC" w:rsidRDefault="00AC4FCC" w:rsidP="00AC4FCC">
      <w:pPr>
        <w:pStyle w:val="IUCrbodytext"/>
      </w:pPr>
    </w:p>
    <w:p w:rsidR="000A365B" w:rsidRPr="00E43204" w:rsidRDefault="000A365B" w:rsidP="000A365B">
      <w:pPr>
        <w:pStyle w:val="IUCrbodytext"/>
        <w:jc w:val="both"/>
      </w:pPr>
      <w:r w:rsidRPr="00E43204">
        <w:t xml:space="preserve">The crystals were soaked in a 20% cryoprotectant (PEG-400) solution followed by additional soaking in a 5 </w:t>
      </w:r>
      <w:proofErr w:type="spellStart"/>
      <w:r w:rsidRPr="00E43204">
        <w:t>mM</w:t>
      </w:r>
      <w:proofErr w:type="spellEnd"/>
      <w:r w:rsidRPr="00E43204">
        <w:t xml:space="preserve"> ligand in cryoprotectant.  The crystals were flash cooled and stored in liquid nitrogen for X-ray diffraction. </w:t>
      </w:r>
    </w:p>
    <w:p w:rsidR="000A365B" w:rsidRPr="00E43204" w:rsidRDefault="000A365B" w:rsidP="000A365B">
      <w:pPr>
        <w:pStyle w:val="IUCrtablecaption"/>
        <w:numPr>
          <w:ilvl w:val="0"/>
          <w:numId w:val="0"/>
        </w:numPr>
        <w:jc w:val="both"/>
      </w:pPr>
      <w:r w:rsidRPr="00E43204">
        <w:t xml:space="preserve">Table </w:t>
      </w:r>
      <w:r w:rsidR="00860037">
        <w:t>S</w:t>
      </w:r>
      <w:r w:rsidRPr="00E43204">
        <w:t>2: Crystallization condition for C23O64</w:t>
      </w:r>
    </w:p>
    <w:tbl>
      <w:tblPr>
        <w:tblStyle w:val="ListTable6Colorful"/>
        <w:tblW w:w="8630" w:type="dxa"/>
        <w:tblLook w:val="04A0" w:firstRow="1" w:lastRow="0" w:firstColumn="1" w:lastColumn="0" w:noHBand="0" w:noVBand="1"/>
      </w:tblPr>
      <w:tblGrid>
        <w:gridCol w:w="3140"/>
        <w:gridCol w:w="5490"/>
      </w:tblGrid>
      <w:tr w:rsidR="000A365B" w:rsidRPr="00E43204" w:rsidTr="00AC4FCC">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hideMark/>
          </w:tcPr>
          <w:p w:rsidR="000A365B" w:rsidRPr="00E43204" w:rsidRDefault="000A365B" w:rsidP="001F0D11">
            <w:pPr>
              <w:pStyle w:val="IUCrbodytext"/>
              <w:rPr>
                <w:sz w:val="18"/>
              </w:rPr>
            </w:pPr>
            <w:r w:rsidRPr="00E43204">
              <w:rPr>
                <w:sz w:val="18"/>
              </w:rPr>
              <w:t>Method</w:t>
            </w:r>
          </w:p>
        </w:tc>
        <w:tc>
          <w:tcPr>
            <w:tcW w:w="5490" w:type="dxa"/>
            <w:shd w:val="clear" w:color="auto" w:fill="auto"/>
            <w:hideMark/>
          </w:tcPr>
          <w:p w:rsidR="000A365B" w:rsidRPr="00E43204" w:rsidRDefault="000A365B" w:rsidP="001F0D11">
            <w:pPr>
              <w:pStyle w:val="IUCrbodytext"/>
              <w:cnfStyle w:val="100000000000" w:firstRow="1" w:lastRow="0" w:firstColumn="0" w:lastColumn="0" w:oddVBand="0" w:evenVBand="0" w:oddHBand="0" w:evenHBand="0" w:firstRowFirstColumn="0" w:firstRowLastColumn="0" w:lastRowFirstColumn="0" w:lastRowLastColumn="0"/>
              <w:rPr>
                <w:sz w:val="18"/>
              </w:rPr>
            </w:pPr>
            <w:r w:rsidRPr="00E43204">
              <w:rPr>
                <w:sz w:val="18"/>
              </w:rPr>
              <w:t>Vapour diffusion, hanging drop</w:t>
            </w:r>
          </w:p>
        </w:tc>
      </w:tr>
      <w:tr w:rsidR="000A365B" w:rsidRPr="00E43204" w:rsidTr="00AC4FCC">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hideMark/>
          </w:tcPr>
          <w:p w:rsidR="000A365B" w:rsidRPr="00E43204" w:rsidRDefault="000A365B" w:rsidP="001F0D11">
            <w:pPr>
              <w:pStyle w:val="IUCrbodytext"/>
              <w:rPr>
                <w:sz w:val="18"/>
              </w:rPr>
            </w:pPr>
            <w:r w:rsidRPr="00E43204">
              <w:rPr>
                <w:sz w:val="18"/>
              </w:rPr>
              <w:t>Plate type</w:t>
            </w:r>
          </w:p>
        </w:tc>
        <w:tc>
          <w:tcPr>
            <w:tcW w:w="5490" w:type="dxa"/>
            <w:shd w:val="clear" w:color="auto" w:fill="auto"/>
            <w:hideMark/>
          </w:tcPr>
          <w:p w:rsidR="000A365B" w:rsidRPr="00E43204" w:rsidRDefault="000A365B" w:rsidP="001F0D11">
            <w:pPr>
              <w:pStyle w:val="IUCrbodytext"/>
              <w:cnfStyle w:val="000000100000" w:firstRow="0" w:lastRow="0" w:firstColumn="0" w:lastColumn="0" w:oddVBand="0" w:evenVBand="0" w:oddHBand="1" w:evenHBand="0" w:firstRowFirstColumn="0" w:firstRowLastColumn="0" w:lastRowFirstColumn="0" w:lastRowLastColumn="0"/>
              <w:rPr>
                <w:sz w:val="18"/>
              </w:rPr>
            </w:pPr>
            <w:r w:rsidRPr="00E43204">
              <w:rPr>
                <w:b/>
                <w:bCs/>
                <w:sz w:val="18"/>
              </w:rPr>
              <w:t> 96-well</w:t>
            </w:r>
          </w:p>
        </w:tc>
      </w:tr>
      <w:tr w:rsidR="000A365B" w:rsidRPr="00E43204" w:rsidTr="00AC4FCC">
        <w:trPr>
          <w:trHeight w:val="370"/>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hideMark/>
          </w:tcPr>
          <w:p w:rsidR="000A365B" w:rsidRPr="00E43204" w:rsidRDefault="000A365B" w:rsidP="001F0D11">
            <w:pPr>
              <w:pStyle w:val="IUCrbodytext"/>
              <w:rPr>
                <w:sz w:val="18"/>
              </w:rPr>
            </w:pPr>
            <w:r w:rsidRPr="00E43204">
              <w:rPr>
                <w:sz w:val="18"/>
              </w:rPr>
              <w:t>Temperature (K)</w:t>
            </w:r>
          </w:p>
        </w:tc>
        <w:tc>
          <w:tcPr>
            <w:tcW w:w="5490" w:type="dxa"/>
            <w:shd w:val="clear" w:color="auto" w:fill="auto"/>
            <w:hideMark/>
          </w:tcPr>
          <w:p w:rsidR="000A365B" w:rsidRPr="00E43204" w:rsidRDefault="000A365B" w:rsidP="001F0D11">
            <w:pPr>
              <w:pStyle w:val="IUCrbodytext"/>
              <w:cnfStyle w:val="000000000000" w:firstRow="0" w:lastRow="0" w:firstColumn="0" w:lastColumn="0" w:oddVBand="0" w:evenVBand="0" w:oddHBand="0" w:evenHBand="0" w:firstRowFirstColumn="0" w:firstRowLastColumn="0" w:lastRowFirstColumn="0" w:lastRowLastColumn="0"/>
              <w:rPr>
                <w:sz w:val="18"/>
              </w:rPr>
            </w:pPr>
            <w:r w:rsidRPr="00E43204">
              <w:rPr>
                <w:b/>
                <w:bCs/>
                <w:sz w:val="18"/>
              </w:rPr>
              <w:t>291</w:t>
            </w:r>
          </w:p>
        </w:tc>
      </w:tr>
      <w:tr w:rsidR="000A365B" w:rsidRPr="00E43204" w:rsidTr="00AC4FCC">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hideMark/>
          </w:tcPr>
          <w:p w:rsidR="000A365B" w:rsidRPr="00E43204" w:rsidRDefault="000A365B" w:rsidP="001F0D11">
            <w:pPr>
              <w:pStyle w:val="IUCrbodytext"/>
              <w:rPr>
                <w:sz w:val="18"/>
              </w:rPr>
            </w:pPr>
            <w:r w:rsidRPr="00E43204">
              <w:rPr>
                <w:sz w:val="18"/>
              </w:rPr>
              <w:t>Protein concentration</w:t>
            </w:r>
          </w:p>
        </w:tc>
        <w:tc>
          <w:tcPr>
            <w:tcW w:w="5490" w:type="dxa"/>
            <w:shd w:val="clear" w:color="auto" w:fill="auto"/>
            <w:hideMark/>
          </w:tcPr>
          <w:p w:rsidR="000A365B" w:rsidRPr="00E43204" w:rsidRDefault="000A365B" w:rsidP="001F0D11">
            <w:pPr>
              <w:pStyle w:val="IUCrbodytext"/>
              <w:cnfStyle w:val="000000100000" w:firstRow="0" w:lastRow="0" w:firstColumn="0" w:lastColumn="0" w:oddVBand="0" w:evenVBand="0" w:oddHBand="1" w:evenHBand="0" w:firstRowFirstColumn="0" w:firstRowLastColumn="0" w:lastRowFirstColumn="0" w:lastRowLastColumn="0"/>
              <w:rPr>
                <w:sz w:val="18"/>
              </w:rPr>
            </w:pPr>
            <w:r w:rsidRPr="00E43204">
              <w:rPr>
                <w:b/>
                <w:bCs/>
                <w:sz w:val="18"/>
              </w:rPr>
              <w:t> 22 mg ml</w:t>
            </w:r>
            <w:r w:rsidRPr="00E43204">
              <w:rPr>
                <w:b/>
                <w:bCs/>
                <w:sz w:val="18"/>
                <w:vertAlign w:val="superscript"/>
              </w:rPr>
              <w:t>-1</w:t>
            </w:r>
          </w:p>
        </w:tc>
      </w:tr>
      <w:tr w:rsidR="000A365B" w:rsidRPr="00E43204" w:rsidTr="00AC4FCC">
        <w:trPr>
          <w:trHeight w:val="523"/>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hideMark/>
          </w:tcPr>
          <w:p w:rsidR="000A365B" w:rsidRPr="00E43204" w:rsidRDefault="000A365B" w:rsidP="001F0D11">
            <w:pPr>
              <w:pStyle w:val="IUCrbodytext"/>
              <w:rPr>
                <w:sz w:val="18"/>
              </w:rPr>
            </w:pPr>
            <w:r w:rsidRPr="00E43204">
              <w:rPr>
                <w:sz w:val="18"/>
              </w:rPr>
              <w:t>Buffer composition of protein solution</w:t>
            </w:r>
          </w:p>
        </w:tc>
        <w:tc>
          <w:tcPr>
            <w:tcW w:w="5490" w:type="dxa"/>
            <w:shd w:val="clear" w:color="auto" w:fill="auto"/>
            <w:hideMark/>
          </w:tcPr>
          <w:p w:rsidR="000A365B" w:rsidRPr="00E43204" w:rsidRDefault="000A365B" w:rsidP="001F0D11">
            <w:pPr>
              <w:pStyle w:val="IUCrbodytext"/>
              <w:cnfStyle w:val="000000000000" w:firstRow="0" w:lastRow="0" w:firstColumn="0" w:lastColumn="0" w:oddVBand="0" w:evenVBand="0" w:oddHBand="0" w:evenHBand="0" w:firstRowFirstColumn="0" w:firstRowLastColumn="0" w:lastRowFirstColumn="0" w:lastRowLastColumn="0"/>
              <w:rPr>
                <w:sz w:val="18"/>
              </w:rPr>
            </w:pPr>
            <w:r w:rsidRPr="00E43204">
              <w:rPr>
                <w:b/>
                <w:bCs/>
                <w:sz w:val="18"/>
              </w:rPr>
              <w:t xml:space="preserve"> 50 </w:t>
            </w:r>
            <w:proofErr w:type="spellStart"/>
            <w:r w:rsidRPr="00E43204">
              <w:rPr>
                <w:b/>
                <w:bCs/>
                <w:sz w:val="18"/>
              </w:rPr>
              <w:t>mM</w:t>
            </w:r>
            <w:proofErr w:type="spellEnd"/>
            <w:r w:rsidRPr="00E43204">
              <w:rPr>
                <w:b/>
                <w:bCs/>
                <w:sz w:val="18"/>
              </w:rPr>
              <w:t xml:space="preserve"> tris buffer pH-7.5, 50 </w:t>
            </w:r>
            <w:proofErr w:type="spellStart"/>
            <w:r w:rsidRPr="00E43204">
              <w:rPr>
                <w:b/>
                <w:bCs/>
                <w:sz w:val="18"/>
              </w:rPr>
              <w:t>mM</w:t>
            </w:r>
            <w:proofErr w:type="spellEnd"/>
            <w:r w:rsidRPr="00E43204">
              <w:rPr>
                <w:b/>
                <w:bCs/>
                <w:sz w:val="18"/>
              </w:rPr>
              <w:t xml:space="preserve"> </w:t>
            </w:r>
            <w:proofErr w:type="spellStart"/>
            <w:r w:rsidRPr="00E43204">
              <w:rPr>
                <w:b/>
                <w:bCs/>
                <w:sz w:val="18"/>
              </w:rPr>
              <w:t>NaCl</w:t>
            </w:r>
            <w:proofErr w:type="spellEnd"/>
            <w:r w:rsidRPr="00E43204">
              <w:rPr>
                <w:b/>
                <w:bCs/>
                <w:sz w:val="18"/>
              </w:rPr>
              <w:t xml:space="preserve">, 0.5 </w:t>
            </w:r>
            <w:proofErr w:type="spellStart"/>
            <w:r w:rsidRPr="00E43204">
              <w:rPr>
                <w:b/>
                <w:bCs/>
                <w:sz w:val="18"/>
              </w:rPr>
              <w:t>mM</w:t>
            </w:r>
            <w:proofErr w:type="spellEnd"/>
            <w:r w:rsidRPr="00E43204">
              <w:rPr>
                <w:b/>
                <w:bCs/>
                <w:sz w:val="18"/>
              </w:rPr>
              <w:t xml:space="preserve"> DTT</w:t>
            </w:r>
          </w:p>
        </w:tc>
      </w:tr>
      <w:tr w:rsidR="000A365B" w:rsidRPr="00B24737" w:rsidTr="00AC4FCC">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hideMark/>
          </w:tcPr>
          <w:p w:rsidR="000A365B" w:rsidRPr="00E43204" w:rsidRDefault="000A365B" w:rsidP="001F0D11">
            <w:pPr>
              <w:pStyle w:val="IUCrbodytext"/>
              <w:rPr>
                <w:sz w:val="18"/>
              </w:rPr>
            </w:pPr>
            <w:r w:rsidRPr="00E43204">
              <w:rPr>
                <w:sz w:val="18"/>
              </w:rPr>
              <w:t>Composition of reservoir solution</w:t>
            </w:r>
          </w:p>
        </w:tc>
        <w:tc>
          <w:tcPr>
            <w:tcW w:w="5490" w:type="dxa"/>
            <w:shd w:val="clear" w:color="auto" w:fill="auto"/>
            <w:hideMark/>
          </w:tcPr>
          <w:p w:rsidR="000A365B" w:rsidRPr="00E43204" w:rsidRDefault="000A365B" w:rsidP="001F0D11">
            <w:pPr>
              <w:pStyle w:val="IUCrbodytext"/>
              <w:cnfStyle w:val="000000100000" w:firstRow="0" w:lastRow="0" w:firstColumn="0" w:lastColumn="0" w:oddVBand="0" w:evenVBand="0" w:oddHBand="1" w:evenHBand="0" w:firstRowFirstColumn="0" w:firstRowLastColumn="0" w:lastRowFirstColumn="0" w:lastRowLastColumn="0"/>
              <w:rPr>
                <w:sz w:val="18"/>
                <w:lang w:val="sv-SE"/>
              </w:rPr>
            </w:pPr>
            <w:r w:rsidRPr="00E43204">
              <w:rPr>
                <w:b/>
                <w:bCs/>
                <w:sz w:val="18"/>
                <w:lang w:val="sv-SE"/>
              </w:rPr>
              <w:t>0.2 M MgCl</w:t>
            </w:r>
            <w:r w:rsidRPr="00E43204">
              <w:rPr>
                <w:b/>
                <w:bCs/>
                <w:sz w:val="18"/>
                <w:vertAlign w:val="subscript"/>
                <w:lang w:val="sv-SE"/>
              </w:rPr>
              <w:t>2</w:t>
            </w:r>
            <w:r w:rsidRPr="00E43204">
              <w:rPr>
                <w:b/>
                <w:bCs/>
                <w:sz w:val="18"/>
                <w:lang w:val="sv-SE"/>
              </w:rPr>
              <w:t>, 0.1 M HEPES sodium salt pH-7.5, 30% (v/v) PEG-400</w:t>
            </w:r>
          </w:p>
        </w:tc>
      </w:tr>
      <w:tr w:rsidR="000A365B" w:rsidRPr="00E43204" w:rsidTr="00AC4FCC">
        <w:trPr>
          <w:trHeight w:val="235"/>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hideMark/>
          </w:tcPr>
          <w:p w:rsidR="000A365B" w:rsidRPr="00E43204" w:rsidRDefault="000A365B" w:rsidP="001F0D11">
            <w:pPr>
              <w:pStyle w:val="IUCrbodytext"/>
              <w:rPr>
                <w:sz w:val="18"/>
              </w:rPr>
            </w:pPr>
            <w:r w:rsidRPr="00E43204">
              <w:rPr>
                <w:sz w:val="18"/>
              </w:rPr>
              <w:t>Volume of drop</w:t>
            </w:r>
          </w:p>
        </w:tc>
        <w:tc>
          <w:tcPr>
            <w:tcW w:w="5490" w:type="dxa"/>
            <w:shd w:val="clear" w:color="auto" w:fill="auto"/>
            <w:hideMark/>
          </w:tcPr>
          <w:p w:rsidR="000A365B" w:rsidRPr="00E43204" w:rsidRDefault="000A365B" w:rsidP="001F0D11">
            <w:pPr>
              <w:pStyle w:val="IUCrbodytext"/>
              <w:cnfStyle w:val="000000000000" w:firstRow="0" w:lastRow="0" w:firstColumn="0" w:lastColumn="0" w:oddVBand="0" w:evenVBand="0" w:oddHBand="0" w:evenHBand="0" w:firstRowFirstColumn="0" w:firstRowLastColumn="0" w:lastRowFirstColumn="0" w:lastRowLastColumn="0"/>
              <w:rPr>
                <w:sz w:val="18"/>
              </w:rPr>
            </w:pPr>
            <w:r w:rsidRPr="00E43204">
              <w:rPr>
                <w:b/>
                <w:bCs/>
                <w:sz w:val="18"/>
              </w:rPr>
              <w:t xml:space="preserve"> 700 </w:t>
            </w:r>
            <w:proofErr w:type="spellStart"/>
            <w:r w:rsidRPr="00E43204">
              <w:rPr>
                <w:b/>
                <w:bCs/>
                <w:sz w:val="18"/>
              </w:rPr>
              <w:t>nl</w:t>
            </w:r>
            <w:proofErr w:type="spellEnd"/>
          </w:p>
        </w:tc>
      </w:tr>
      <w:tr w:rsidR="000A365B" w:rsidRPr="00E43204" w:rsidTr="00AC4FC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140" w:type="dxa"/>
            <w:shd w:val="clear" w:color="auto" w:fill="auto"/>
            <w:hideMark/>
          </w:tcPr>
          <w:p w:rsidR="000A365B" w:rsidRPr="00E43204" w:rsidRDefault="000A365B" w:rsidP="001F0D11">
            <w:pPr>
              <w:pStyle w:val="IUCrbodytext"/>
              <w:rPr>
                <w:sz w:val="18"/>
              </w:rPr>
            </w:pPr>
            <w:r w:rsidRPr="00E43204">
              <w:rPr>
                <w:sz w:val="18"/>
              </w:rPr>
              <w:t>Volume of reservoir</w:t>
            </w:r>
          </w:p>
        </w:tc>
        <w:tc>
          <w:tcPr>
            <w:tcW w:w="5490" w:type="dxa"/>
            <w:shd w:val="clear" w:color="auto" w:fill="auto"/>
            <w:hideMark/>
          </w:tcPr>
          <w:p w:rsidR="000A365B" w:rsidRPr="00E43204" w:rsidRDefault="000A365B" w:rsidP="001F0D11">
            <w:pPr>
              <w:pStyle w:val="IUCrbodytext"/>
              <w:cnfStyle w:val="000000100000" w:firstRow="0" w:lastRow="0" w:firstColumn="0" w:lastColumn="0" w:oddVBand="0" w:evenVBand="0" w:oddHBand="1" w:evenHBand="0" w:firstRowFirstColumn="0" w:firstRowLastColumn="0" w:lastRowFirstColumn="0" w:lastRowLastColumn="0"/>
              <w:rPr>
                <w:sz w:val="18"/>
              </w:rPr>
            </w:pPr>
            <w:r w:rsidRPr="00E43204">
              <w:rPr>
                <w:b/>
                <w:bCs/>
                <w:sz w:val="18"/>
              </w:rPr>
              <w:t> 100 µL</w:t>
            </w:r>
          </w:p>
        </w:tc>
      </w:tr>
    </w:tbl>
    <w:p w:rsidR="000A365B" w:rsidRPr="00E43204" w:rsidRDefault="000A365B" w:rsidP="000A365B">
      <w:pPr>
        <w:pStyle w:val="IUCrbodytext"/>
        <w:jc w:val="both"/>
      </w:pPr>
    </w:p>
    <w:p w:rsidR="000A365B" w:rsidRPr="00E43204" w:rsidRDefault="000A365B" w:rsidP="000A365B">
      <w:pPr>
        <w:pStyle w:val="IUCrheading2"/>
        <w:numPr>
          <w:ilvl w:val="0"/>
          <w:numId w:val="0"/>
        </w:numPr>
        <w:jc w:val="both"/>
        <w:textAlignment w:val="auto"/>
        <w:rPr>
          <w:rFonts w:ascii="Times New Roman" w:hAnsi="Times New Roman"/>
          <w:sz w:val="22"/>
        </w:rPr>
      </w:pPr>
      <w:r w:rsidRPr="00E43204">
        <w:rPr>
          <w:rFonts w:ascii="Times New Roman" w:hAnsi="Times New Roman"/>
          <w:sz w:val="22"/>
        </w:rPr>
        <w:t>Data collection and processing</w:t>
      </w:r>
    </w:p>
    <w:p w:rsidR="000A365B" w:rsidRPr="00E43204" w:rsidRDefault="000A365B" w:rsidP="000A365B">
      <w:pPr>
        <w:pStyle w:val="IUCrbodytext"/>
        <w:jc w:val="both"/>
      </w:pPr>
      <w:r w:rsidRPr="00E43204">
        <w:t xml:space="preserve">X-ray diffraction data were collected from crystals of ligand-free and ligand-bound C23O64 at the ALS Beamline 5.0.2 Berkeley USA at 100 K at a wavelength of 1.01 Å. The indexing and integration of the diffraction data were performed using XDS </w:t>
      </w:r>
      <w:r w:rsidRPr="00E43204">
        <w:fldChar w:fldCharType="begin"/>
      </w:r>
      <w:r w:rsidRPr="00E43204">
        <w:instrText xml:space="preserve"> ADDIN EN.CITE &lt;EndNote&gt;&lt;Cite&gt;&lt;Author&gt;Kabsch&lt;/Author&gt;&lt;Year&gt;2010&lt;/Year&gt;&lt;RecNum&gt;158&lt;/RecNum&gt;&lt;DisplayText&gt;(Kabsch, 2010)&lt;/DisplayText&gt;&lt;record&gt;&lt;rec-number&gt;158&lt;/rec-number&gt;&lt;foreign-keys&gt;&lt;key app="EN" db-id="2waps59xu5wrzcewwdvxa55jx9r9fxts2dx5" timestamp="1568359507"&gt;158&lt;/key&gt;&lt;/foreign-keys&gt;&lt;ref-type name="Journal Article"&gt;17&lt;/ref-type&gt;&lt;contributors&gt;&lt;authors&gt;&lt;author&gt;Wolfgang Kabsch&lt;/author&gt;&lt;/authors&gt;&lt;/contributors&gt;&lt;titles&gt;&lt;title&gt;Integration, scaling, space-group assignment and post-refinement&lt;/title&gt;&lt;secondary-title&gt;Acta Cryst. D&lt;/secondary-title&gt;&lt;/titles&gt;&lt;periodical&gt;&lt;full-title&gt;Acta Cryst. D&lt;/full-title&gt;&lt;/periodical&gt;&lt;pages&gt;133–144&lt;/pages&gt;&lt;volume&gt;66&lt;/volume&gt;&lt;dates&gt;&lt;year&gt;2010&lt;/year&gt;&lt;/dates&gt;&lt;urls&gt;&lt;/urls&gt;&lt;/record&gt;&lt;/Cite&gt;&lt;/EndNote&gt;</w:instrText>
      </w:r>
      <w:r w:rsidRPr="00E43204">
        <w:fldChar w:fldCharType="separate"/>
      </w:r>
      <w:r w:rsidRPr="00E43204">
        <w:rPr>
          <w:noProof/>
        </w:rPr>
        <w:t>(</w:t>
      </w:r>
      <w:hyperlink w:anchor="_ENREF_7" w:tooltip="Kabsch, 2010 #158" w:history="1">
        <w:r w:rsidR="00E43204" w:rsidRPr="00E43204">
          <w:rPr>
            <w:noProof/>
          </w:rPr>
          <w:t>Kabsch, 2010</w:t>
        </w:r>
      </w:hyperlink>
      <w:r w:rsidRPr="00E43204">
        <w:rPr>
          <w:noProof/>
        </w:rPr>
        <w:t>)</w:t>
      </w:r>
      <w:r w:rsidRPr="00E43204">
        <w:fldChar w:fldCharType="end"/>
      </w:r>
      <w:r w:rsidRPr="00E43204">
        <w:t xml:space="preserve">. The data reduction and scaling were achieved using AIMLESS </w:t>
      </w:r>
      <w:r w:rsidRPr="00E43204">
        <w:fldChar w:fldCharType="begin"/>
      </w:r>
      <w:r w:rsidRPr="00E43204">
        <w:instrText xml:space="preserve"> ADDIN EN.CITE &lt;EndNote&gt;&lt;Cite&gt;&lt;Author&gt;Evans&lt;/Author&gt;&lt;Year&gt;2013&lt;/Year&gt;&lt;RecNum&gt;159&lt;/RecNum&gt;&lt;DisplayText&gt;(Evans &amp;amp; Murshudov, 2013)&lt;/DisplayText&gt;&lt;record&gt;&lt;rec-number&gt;159&lt;/rec-number&gt;&lt;foreign-keys&gt;&lt;key app="EN" db-id="2waps59xu5wrzcewwdvxa55jx9r9fxts2dx5" timestamp="1568359787"&gt;159&lt;/key&gt;&lt;/foreign-keys&gt;&lt;ref-type name="Journal Article"&gt;17&lt;/ref-type&gt;&lt;contributors&gt;&lt;authors&gt;&lt;author&gt;Philip R. Evans&lt;/author&gt;&lt;author&gt;Garib N. Murshudov&lt;/author&gt;&lt;/authors&gt;&lt;/contributors&gt;&lt;titles&gt;&lt;title&gt;How good are my data and what is the resolution?&lt;/title&gt;&lt;secondary-title&gt;Acta Cryst. D&lt;/secondary-title&gt;&lt;/titles&gt;&lt;periodical&gt;&lt;full-title&gt;Acta Cryst. D&lt;/full-title&gt;&lt;/periodical&gt;&lt;pages&gt;1204–1214&lt;/pages&gt;&lt;volume&gt;69&lt;/volume&gt;&lt;dates&gt;&lt;year&gt;2013&lt;/year&gt;&lt;/dates&gt;&lt;urls&gt;&lt;/urls&gt;&lt;/record&gt;&lt;/Cite&gt;&lt;/EndNote&gt;</w:instrText>
      </w:r>
      <w:r w:rsidRPr="00E43204">
        <w:fldChar w:fldCharType="separate"/>
      </w:r>
      <w:r w:rsidRPr="00E43204">
        <w:rPr>
          <w:noProof/>
        </w:rPr>
        <w:t>(</w:t>
      </w:r>
      <w:hyperlink w:anchor="_ENREF_6" w:tooltip="Evans, 2013 #159" w:history="1">
        <w:r w:rsidR="00E43204" w:rsidRPr="00E43204">
          <w:rPr>
            <w:noProof/>
          </w:rPr>
          <w:t>Evans &amp; Murshudov, 2013</w:t>
        </w:r>
      </w:hyperlink>
      <w:r w:rsidRPr="00E43204">
        <w:rPr>
          <w:noProof/>
        </w:rPr>
        <w:t>)</w:t>
      </w:r>
      <w:r w:rsidRPr="00E43204">
        <w:fldChar w:fldCharType="end"/>
      </w:r>
      <w:r w:rsidRPr="00E43204">
        <w:t xml:space="preserve">  from CCP4i suite </w:t>
      </w:r>
      <w:r w:rsidRPr="00E43204">
        <w:fldChar w:fldCharType="begin"/>
      </w:r>
      <w:r w:rsidR="00903162" w:rsidRPr="00E43204">
        <w:instrText xml:space="preserve"> ADDIN EN.CITE &lt;EndNote&gt;&lt;Cite&gt;&lt;Author&gt;Winn&lt;/Author&gt;&lt;Year&gt;2011&lt;/Year&gt;&lt;RecNum&gt;160&lt;/RecNum&gt;&lt;DisplayText&gt;(Winn et al., 2011)&lt;/DisplayText&gt;&lt;record&gt;&lt;rec-number&gt;160&lt;/rec-number&gt;&lt;foreign-keys&gt;&lt;key app="EN" db-id="2waps59xu5wrzcewwdvxa55jx9r9fxts2dx5" timestamp="1568612837"&gt;160&lt;/key&gt;&lt;/foreign-keys&gt;&lt;ref-type name="Journal Article"&gt;17&lt;/ref-type&gt;&lt;contributors&gt;&lt;authors&gt;&lt;author&gt;Martyn D. Winn&lt;/author&gt;&lt;author&gt;Charles C.vBallard&lt;/author&gt;&lt;author&gt;Kevin D. Cowtan&lt;/author&gt;&lt;author&gt;Eleanor J. Dodson&lt;/author&gt;&lt;author&gt;Paul Emsley&lt;/author&gt;&lt;author&gt;Phil R. Evans&lt;/author&gt;&lt;author&gt;Ronan M. Keegan&lt;/author&gt;&lt;author&gt;Eugene B. Krissinel&lt;/author&gt;&lt;author&gt;Andrew G. W. Leslie&lt;/author&gt;&lt;author&gt;Airlie McCoy&lt;/author&gt;&lt;author&gt;Stuart J. McNicholas&lt;/author&gt;&lt;author&gt;Garib N. Murshudov&lt;/author&gt;&lt;author&gt;Navraj S. Pannu&lt;/author&gt;&lt;author&gt;Elizabeth A. Potterton&lt;/author&gt;&lt;author&gt;Harold R. Powell&lt;/author&gt;&lt;author&gt;Randy J. Read&lt;/author&gt;&lt;author&gt;Alexei Vaginc&lt;/author&gt;&lt;author&gt;Keith S. Wilson&lt;/author&gt;&lt;/authors&gt;&lt;/contributors&gt;&lt;titles&gt;&lt;title&gt;Overview of the CCP4 suite and current developments&lt;/title&gt;&lt;secondary-title&gt;Acta Cryst. D&lt;/secondary-title&gt;&lt;/titles&gt;&lt;periodical&gt;&lt;full-title&gt;Acta Cryst. D&lt;/full-title&gt;&lt;/periodical&gt;&lt;pages&gt;235–242&lt;/pages&gt;&lt;volume&gt;D67&lt;/volume&gt;&lt;dates&gt;&lt;year&gt;2011&lt;/year&gt;&lt;/dates&gt;&lt;urls&gt;&lt;/urls&gt;&lt;/record&gt;&lt;/Cite&gt;&lt;/EndNote&gt;</w:instrText>
      </w:r>
      <w:r w:rsidRPr="00E43204">
        <w:fldChar w:fldCharType="separate"/>
      </w:r>
      <w:r w:rsidR="00903162" w:rsidRPr="00E43204">
        <w:rPr>
          <w:noProof/>
        </w:rPr>
        <w:t>(</w:t>
      </w:r>
      <w:hyperlink w:anchor="_ENREF_12" w:tooltip="Winn, 2011 #160" w:history="1">
        <w:r w:rsidR="00E43204" w:rsidRPr="00E43204">
          <w:rPr>
            <w:noProof/>
          </w:rPr>
          <w:t>Winn et al., 2011</w:t>
        </w:r>
      </w:hyperlink>
      <w:r w:rsidR="00903162" w:rsidRPr="00E43204">
        <w:rPr>
          <w:noProof/>
        </w:rPr>
        <w:t>)</w:t>
      </w:r>
      <w:r w:rsidRPr="00E43204">
        <w:fldChar w:fldCharType="end"/>
      </w:r>
      <w:r w:rsidRPr="00E43204">
        <w:t xml:space="preserve">. </w:t>
      </w:r>
      <w:proofErr w:type="spellStart"/>
      <w:r w:rsidRPr="00E43204">
        <w:t>Phenix.xtriage</w:t>
      </w:r>
      <w:proofErr w:type="spellEnd"/>
      <w:r w:rsidRPr="00E43204">
        <w:t xml:space="preserve"> from PHENIX suite </w:t>
      </w:r>
      <w:r w:rsidRPr="00E43204">
        <w:fldChar w:fldCharType="begin"/>
      </w:r>
      <w:r w:rsidR="00903162" w:rsidRPr="00E43204">
        <w:instrText xml:space="preserve"> ADDIN EN.CITE &lt;EndNote&gt;&lt;Cite&gt;&lt;Author&gt;Adams&lt;/Author&gt;&lt;Year&gt;2010&lt;/Year&gt;&lt;RecNum&gt;161&lt;/RecNum&gt;&lt;DisplayText&gt;(Adams et al., 2010)&lt;/DisplayText&gt;&lt;record&gt;&lt;rec-number&gt;161&lt;/rec-number&gt;&lt;foreign-keys&gt;&lt;key app="EN" db-id="2waps59xu5wrzcewwdvxa55jx9r9fxts2dx5" timestamp="1568613929"&gt;161&lt;/key&gt;&lt;/foreign-keys&gt;&lt;ref-type name="Journal Article"&gt;17&lt;/ref-type&gt;&lt;contributors&gt;&lt;authors&gt;&lt;author&gt;Paul D. Adams&lt;/author&gt;&lt;author&gt;Pavel V. Afonine&lt;/author&gt;&lt;author&gt;Ga´bor Bunko´czi&lt;/author&gt;&lt;author&gt;Vincent B. Chen&lt;/author&gt;&lt;author&gt;Ian W. Davis&lt;/author&gt;&lt;author&gt;Nathaniel Echols&lt;/author&gt;&lt;author&gt;Jeffrey J. Headd&lt;/author&gt;&lt;author&gt;Li-Wei Hung&lt;/author&gt;&lt;author&gt;Gary J. Kapral&lt;/author&gt;&lt;author&gt;Ralf W. GrosseKunstleve&lt;/author&gt;&lt;author&gt;Airlie J. McCoy&lt;/author&gt;&lt;author&gt;Nigel W. Moriarty&lt;/author&gt;&lt;author&gt;Robert Oeffner&lt;/author&gt;&lt;author&gt;Randy J. Read&lt;/author&gt;&lt;author&gt;David C. Richardson&lt;/author&gt;&lt;author&gt;Jane S. Richardson&lt;/author&gt;&lt;author&gt;Thomas C. Terwilligere&lt;/author&gt;&lt;author&gt;Peter H. Zwarta&lt;/author&gt;&lt;/authors&gt;&lt;/contributors&gt;&lt;titles&gt;&lt;title&gt;PHENIX: a comprehensive Python-based system for macromolecular structure solution&lt;/title&gt;&lt;secondary-title&gt;Acta Cryst. D&lt;/secondary-title&gt;&lt;/titles&gt;&lt;periodical&gt;&lt;full-title&gt;Acta Cryst. D&lt;/full-title&gt;&lt;/periodical&gt;&lt;pages&gt;213–221&lt;/pages&gt;&lt;volume&gt;D66 &lt;/volume&gt;&lt;dates&gt;&lt;year&gt;2010&lt;/year&gt;&lt;/dates&gt;&lt;urls&gt;&lt;/urls&gt;&lt;/record&gt;&lt;/Cite&gt;&lt;/EndNote&gt;</w:instrText>
      </w:r>
      <w:r w:rsidRPr="00E43204">
        <w:fldChar w:fldCharType="separate"/>
      </w:r>
      <w:r w:rsidR="00903162" w:rsidRPr="00E43204">
        <w:rPr>
          <w:noProof/>
        </w:rPr>
        <w:t>(</w:t>
      </w:r>
      <w:hyperlink w:anchor="_ENREF_1" w:tooltip="Adams, 2010 #161" w:history="1">
        <w:r w:rsidR="00E43204" w:rsidRPr="00E43204">
          <w:rPr>
            <w:noProof/>
          </w:rPr>
          <w:t>Adams et al., 2010</w:t>
        </w:r>
      </w:hyperlink>
      <w:r w:rsidR="00903162" w:rsidRPr="00E43204">
        <w:rPr>
          <w:noProof/>
        </w:rPr>
        <w:t>)</w:t>
      </w:r>
      <w:r w:rsidRPr="00E43204">
        <w:fldChar w:fldCharType="end"/>
      </w:r>
      <w:r w:rsidRPr="00E43204">
        <w:t xml:space="preserve"> was then used to </w:t>
      </w:r>
      <w:proofErr w:type="spellStart"/>
      <w:r w:rsidRPr="00E43204">
        <w:t>analyze</w:t>
      </w:r>
      <w:proofErr w:type="spellEnd"/>
      <w:r w:rsidRPr="00E43204">
        <w:t xml:space="preserve"> the resulting intensity data. </w:t>
      </w:r>
      <w:proofErr w:type="spellStart"/>
      <w:r w:rsidRPr="00E43204">
        <w:t>Matthews_coeff</w:t>
      </w:r>
      <w:proofErr w:type="spellEnd"/>
      <w:r w:rsidRPr="00E43204">
        <w:t xml:space="preserve"> from the CCP4i suite </w:t>
      </w:r>
      <w:r w:rsidRPr="00E43204">
        <w:fldChar w:fldCharType="begin"/>
      </w:r>
      <w:r w:rsidRPr="00E43204">
        <w:instrText xml:space="preserve"> ADDIN EN.CITE &lt;EndNote&gt;&lt;Cite&gt;&lt;Author&gt;Matthews&lt;/Author&gt;&lt;Year&gt;1968&lt;/Year&gt;&lt;RecNum&gt;162&lt;/RecNum&gt;&lt;DisplayText&gt;(Matthews, 1968)&lt;/DisplayText&gt;&lt;record&gt;&lt;rec-number&gt;162&lt;/rec-number&gt;&lt;foreign-keys&gt;&lt;key app="EN" db-id="2waps59xu5wrzcewwdvxa55jx9r9fxts2dx5" timestamp="1568614178"&gt;162&lt;/key&gt;&lt;/foreign-keys&gt;&lt;ref-type name="Journal Article"&gt;17&lt;/ref-type&gt;&lt;contributors&gt;&lt;authors&gt;&lt;author&gt; B. W. Matthews &lt;/author&gt;&lt;/authors&gt;&lt;/contributors&gt;&lt;titles&gt;&lt;title&gt;Solvent Content of Protein Crystals&lt;/title&gt;&lt;secondary-title&gt;J. Mol. Biol. &lt;/secondary-title&gt;&lt;/titles&gt;&lt;periodical&gt;&lt;full-title&gt;J. Mol. Biol.&lt;/full-title&gt;&lt;/periodical&gt;&lt;pages&gt;491-497&lt;/pages&gt;&lt;volume&gt;33&lt;/volume&gt;&lt;dates&gt;&lt;year&gt;1968&lt;/year&gt;&lt;/dates&gt;&lt;urls&gt;&lt;/urls&gt;&lt;/record&gt;&lt;/Cite&gt;&lt;/EndNote&gt;</w:instrText>
      </w:r>
      <w:r w:rsidRPr="00E43204">
        <w:fldChar w:fldCharType="separate"/>
      </w:r>
      <w:r w:rsidRPr="00E43204">
        <w:rPr>
          <w:noProof/>
        </w:rPr>
        <w:t>(</w:t>
      </w:r>
      <w:hyperlink w:anchor="_ENREF_9" w:tooltip="Matthews, 1968 #162" w:history="1">
        <w:r w:rsidR="00E43204" w:rsidRPr="00E43204">
          <w:rPr>
            <w:noProof/>
          </w:rPr>
          <w:t>Matthews, 1968</w:t>
        </w:r>
      </w:hyperlink>
      <w:r w:rsidRPr="00E43204">
        <w:rPr>
          <w:noProof/>
        </w:rPr>
        <w:t>)</w:t>
      </w:r>
      <w:r w:rsidRPr="00E43204">
        <w:fldChar w:fldCharType="end"/>
      </w:r>
      <w:r w:rsidRPr="00E43204">
        <w:t xml:space="preserve"> </w:t>
      </w:r>
      <w:r w:rsidRPr="00E43204">
        <w:fldChar w:fldCharType="begin"/>
      </w:r>
      <w:r w:rsidRPr="00E43204">
        <w:instrText xml:space="preserve"> ADDIN EN.CITE &lt;EndNote&gt;&lt;Cite&gt;&lt;Author&gt;Kantardjieff&lt;/Author&gt;&lt;Year&gt;2003&lt;/Year&gt;&lt;RecNum&gt;163&lt;/RecNum&gt;&lt;DisplayText&gt;(Kantardjieff &amp;amp; Rupp, 2003)&lt;/DisplayText&gt;&lt;record&gt;&lt;rec-number&gt;163&lt;/rec-number&gt;&lt;foreign-keys&gt;&lt;key app="EN" db-id="2waps59xu5wrzcewwdvxa55jx9r9fxts2dx5" timestamp="1568618176"&gt;163&lt;/key&gt;&lt;/foreign-keys&gt;&lt;ref-type name="Journal Article"&gt;17&lt;/ref-type&gt;&lt;contributors&gt;&lt;authors&gt;&lt;author&gt;Katherine A. Kantardjieff&lt;/author&gt;&lt;author&gt;Bernhard Rupp&lt;/author&gt;&lt;/authors&gt;&lt;/contributors&gt;&lt;titles&gt;&lt;title&gt;Matthews coefficient probabilities: Improved estimates for unit cell contents of proteins, DNA, and protein–nucleic acid complex crystals&lt;/title&gt;&lt;secondary-title&gt;Protein Science &lt;/secondary-title&gt;&lt;/titles&gt;&lt;periodical&gt;&lt;full-title&gt;Protein Science&lt;/full-title&gt;&lt;/periodical&gt;&lt;pages&gt;1865–1871&lt;/pages&gt;&lt;volume&gt;12&lt;/volume&gt;&lt;dates&gt;&lt;year&gt;2003&lt;/year&gt;&lt;/dates&gt;&lt;urls&gt;&lt;/urls&gt;&lt;/record&gt;&lt;/Cite&gt;&lt;/EndNote&gt;</w:instrText>
      </w:r>
      <w:r w:rsidRPr="00E43204">
        <w:fldChar w:fldCharType="separate"/>
      </w:r>
      <w:r w:rsidRPr="00E43204">
        <w:rPr>
          <w:noProof/>
        </w:rPr>
        <w:t>(</w:t>
      </w:r>
      <w:hyperlink w:anchor="_ENREF_8" w:tooltip="Kantardjieff, 2003 #163" w:history="1">
        <w:r w:rsidR="00E43204" w:rsidRPr="00E43204">
          <w:rPr>
            <w:noProof/>
          </w:rPr>
          <w:t>Kantardjieff &amp; Rupp, 2003</w:t>
        </w:r>
      </w:hyperlink>
      <w:r w:rsidRPr="00E43204">
        <w:rPr>
          <w:noProof/>
        </w:rPr>
        <w:t>)</w:t>
      </w:r>
      <w:r w:rsidRPr="00E43204">
        <w:fldChar w:fldCharType="end"/>
      </w:r>
      <w:r w:rsidRPr="00E43204">
        <w:t xml:space="preserve"> provided an estimate of the number of molecules in the asymmetric unit. The summary is shown in Table 3.</w:t>
      </w:r>
    </w:p>
    <w:p w:rsidR="000A365B" w:rsidRPr="00E43204" w:rsidRDefault="000A365B" w:rsidP="000A365B">
      <w:pPr>
        <w:pStyle w:val="IUCrtablecaption"/>
        <w:numPr>
          <w:ilvl w:val="0"/>
          <w:numId w:val="0"/>
        </w:numPr>
        <w:jc w:val="both"/>
      </w:pPr>
      <w:r w:rsidRPr="00E43204">
        <w:t xml:space="preserve">Table </w:t>
      </w:r>
      <w:r w:rsidR="00860037">
        <w:t>S</w:t>
      </w:r>
      <w:r w:rsidRPr="00E43204">
        <w:t xml:space="preserve">3: Data collection and processing </w:t>
      </w:r>
    </w:p>
    <w:p w:rsidR="000A365B" w:rsidRPr="00E43204" w:rsidRDefault="000A365B" w:rsidP="000A365B">
      <w:pPr>
        <w:pStyle w:val="IUCrtableheadnote"/>
        <w:jc w:val="both"/>
      </w:pPr>
      <w:r w:rsidRPr="00E43204">
        <w:t xml:space="preserve">Values for the outer shell are given in parentheses. </w:t>
      </w:r>
    </w:p>
    <w:tbl>
      <w:tblPr>
        <w:tblStyle w:val="ListTable6Colorful"/>
        <w:tblW w:w="8060" w:type="dxa"/>
        <w:tblLook w:val="04A0" w:firstRow="1" w:lastRow="0" w:firstColumn="1" w:lastColumn="0" w:noHBand="0" w:noVBand="1"/>
      </w:tblPr>
      <w:tblGrid>
        <w:gridCol w:w="2145"/>
        <w:gridCol w:w="1945"/>
        <w:gridCol w:w="2045"/>
        <w:gridCol w:w="1925"/>
      </w:tblGrid>
      <w:tr w:rsidR="000A365B" w:rsidRPr="00E43204" w:rsidTr="00AC4FCC">
        <w:trPr>
          <w:cnfStyle w:val="100000000000" w:firstRow="1" w:lastRow="0" w:firstColumn="0" w:lastColumn="0" w:oddVBand="0" w:evenVBand="0" w:oddHBand="0"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2145" w:type="dxa"/>
            <w:shd w:val="clear" w:color="auto" w:fill="auto"/>
            <w:hideMark/>
          </w:tcPr>
          <w:p w:rsidR="000A365B" w:rsidRPr="00E43204" w:rsidRDefault="000A365B" w:rsidP="001F0D11">
            <w:pPr>
              <w:pStyle w:val="IUCrtabletext"/>
              <w:jc w:val="both"/>
              <w:rPr>
                <w:sz w:val="18"/>
                <w:szCs w:val="18"/>
              </w:rPr>
            </w:pPr>
            <w:r w:rsidRPr="00E43204">
              <w:rPr>
                <w:sz w:val="18"/>
                <w:szCs w:val="18"/>
              </w:rPr>
              <w:t> </w:t>
            </w:r>
          </w:p>
        </w:tc>
        <w:tc>
          <w:tcPr>
            <w:tcW w:w="1945" w:type="dxa"/>
            <w:shd w:val="clear" w:color="auto" w:fill="auto"/>
            <w:hideMark/>
          </w:tcPr>
          <w:p w:rsidR="000A365B" w:rsidRPr="00E43204" w:rsidRDefault="000A365B" w:rsidP="001F0D11">
            <w:pPr>
              <w:pStyle w:val="IUCrtabletext"/>
              <w:cnfStyle w:val="100000000000" w:firstRow="1" w:lastRow="0" w:firstColumn="0" w:lastColumn="0" w:oddVBand="0" w:evenVBand="0" w:oddHBand="0" w:evenHBand="0" w:firstRowFirstColumn="0" w:firstRowLastColumn="0" w:lastRowFirstColumn="0" w:lastRowLastColumn="0"/>
              <w:rPr>
                <w:sz w:val="18"/>
                <w:szCs w:val="18"/>
              </w:rPr>
            </w:pPr>
            <w:r w:rsidRPr="00E43204">
              <w:rPr>
                <w:sz w:val="18"/>
                <w:szCs w:val="18"/>
              </w:rPr>
              <w:t>Substrate free</w:t>
            </w:r>
          </w:p>
        </w:tc>
        <w:tc>
          <w:tcPr>
            <w:tcW w:w="2045" w:type="dxa"/>
            <w:shd w:val="clear" w:color="auto" w:fill="auto"/>
            <w:hideMark/>
          </w:tcPr>
          <w:p w:rsidR="000A365B" w:rsidRPr="00E43204" w:rsidRDefault="000A365B" w:rsidP="001F0D11">
            <w:pPr>
              <w:pStyle w:val="IUCrtabletext"/>
              <w:cnfStyle w:val="100000000000" w:firstRow="1" w:lastRow="0" w:firstColumn="0" w:lastColumn="0" w:oddVBand="0" w:evenVBand="0" w:oddHBand="0" w:evenHBand="0" w:firstRowFirstColumn="0" w:firstRowLastColumn="0" w:lastRowFirstColumn="0" w:lastRowLastColumn="0"/>
              <w:rPr>
                <w:sz w:val="18"/>
                <w:szCs w:val="18"/>
              </w:rPr>
            </w:pPr>
            <w:r w:rsidRPr="00E43204">
              <w:rPr>
                <w:sz w:val="18"/>
                <w:szCs w:val="18"/>
              </w:rPr>
              <w:t>3-fluorocatechol bound</w:t>
            </w:r>
          </w:p>
        </w:tc>
        <w:tc>
          <w:tcPr>
            <w:tcW w:w="1925" w:type="dxa"/>
            <w:shd w:val="clear" w:color="auto" w:fill="auto"/>
            <w:hideMark/>
          </w:tcPr>
          <w:p w:rsidR="000A365B" w:rsidRPr="00E43204" w:rsidRDefault="000A365B" w:rsidP="001F0D11">
            <w:pPr>
              <w:pStyle w:val="IUCrtabletext"/>
              <w:cnfStyle w:val="100000000000" w:firstRow="1" w:lastRow="0" w:firstColumn="0" w:lastColumn="0" w:oddVBand="0" w:evenVBand="0" w:oddHBand="0" w:evenHBand="0" w:firstRowFirstColumn="0" w:firstRowLastColumn="0" w:lastRowFirstColumn="0" w:lastRowLastColumn="0"/>
              <w:rPr>
                <w:sz w:val="18"/>
                <w:szCs w:val="18"/>
              </w:rPr>
            </w:pPr>
            <w:r w:rsidRPr="00E43204">
              <w:rPr>
                <w:sz w:val="18"/>
                <w:szCs w:val="18"/>
              </w:rPr>
              <w:t>4-methylcatechol bound</w:t>
            </w:r>
          </w:p>
        </w:tc>
      </w:tr>
      <w:tr w:rsidR="000A365B" w:rsidRPr="00E43204" w:rsidTr="00AC4FCC">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145" w:type="dxa"/>
            <w:shd w:val="clear" w:color="auto" w:fill="auto"/>
            <w:hideMark/>
          </w:tcPr>
          <w:p w:rsidR="000A365B" w:rsidRPr="00E43204" w:rsidRDefault="000A365B" w:rsidP="001F0D11">
            <w:pPr>
              <w:pStyle w:val="IUCrtabletext"/>
              <w:jc w:val="both"/>
              <w:rPr>
                <w:sz w:val="18"/>
                <w:szCs w:val="18"/>
              </w:rPr>
            </w:pPr>
            <w:r w:rsidRPr="00E43204">
              <w:rPr>
                <w:sz w:val="18"/>
                <w:szCs w:val="18"/>
              </w:rPr>
              <w:t>Diffraction source</w:t>
            </w:r>
          </w:p>
        </w:tc>
        <w:tc>
          <w:tcPr>
            <w:tcW w:w="194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ALS beamline 5.0.1 Berkeley</w:t>
            </w:r>
          </w:p>
        </w:tc>
        <w:tc>
          <w:tcPr>
            <w:tcW w:w="204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ALS beamline 5.0.1 Berkeley</w:t>
            </w:r>
          </w:p>
        </w:tc>
        <w:tc>
          <w:tcPr>
            <w:tcW w:w="192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ALS beamline 5.0.1 Berkeley</w:t>
            </w:r>
          </w:p>
        </w:tc>
      </w:tr>
      <w:tr w:rsidR="000A365B" w:rsidRPr="00E43204" w:rsidTr="00AC4FCC">
        <w:trPr>
          <w:trHeight w:val="270"/>
        </w:trPr>
        <w:tc>
          <w:tcPr>
            <w:cnfStyle w:val="001000000000" w:firstRow="0" w:lastRow="0" w:firstColumn="1" w:lastColumn="0" w:oddVBand="0" w:evenVBand="0" w:oddHBand="0" w:evenHBand="0" w:firstRowFirstColumn="0" w:firstRowLastColumn="0" w:lastRowFirstColumn="0" w:lastRowLastColumn="0"/>
            <w:tcW w:w="2145" w:type="dxa"/>
            <w:shd w:val="clear" w:color="auto" w:fill="auto"/>
            <w:hideMark/>
          </w:tcPr>
          <w:p w:rsidR="000A365B" w:rsidRPr="00E43204" w:rsidRDefault="000A365B" w:rsidP="001F0D11">
            <w:pPr>
              <w:pStyle w:val="IUCrtabletext"/>
              <w:rPr>
                <w:sz w:val="18"/>
                <w:szCs w:val="18"/>
              </w:rPr>
            </w:pPr>
            <w:r w:rsidRPr="00E43204">
              <w:rPr>
                <w:sz w:val="18"/>
                <w:szCs w:val="18"/>
              </w:rPr>
              <w:lastRenderedPageBreak/>
              <w:t>Wavelength (Å)</w:t>
            </w:r>
          </w:p>
        </w:tc>
        <w:tc>
          <w:tcPr>
            <w:tcW w:w="194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1.005</w:t>
            </w:r>
          </w:p>
        </w:tc>
        <w:tc>
          <w:tcPr>
            <w:tcW w:w="204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1.005</w:t>
            </w:r>
          </w:p>
        </w:tc>
        <w:tc>
          <w:tcPr>
            <w:tcW w:w="192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1.005</w:t>
            </w:r>
          </w:p>
        </w:tc>
      </w:tr>
      <w:tr w:rsidR="000A365B" w:rsidRPr="00E43204" w:rsidTr="00AC4F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45" w:type="dxa"/>
            <w:shd w:val="clear" w:color="auto" w:fill="auto"/>
            <w:hideMark/>
          </w:tcPr>
          <w:p w:rsidR="000A365B" w:rsidRPr="00E43204" w:rsidRDefault="000A365B" w:rsidP="001F0D11">
            <w:pPr>
              <w:pStyle w:val="IUCrtabletext"/>
              <w:rPr>
                <w:sz w:val="18"/>
                <w:szCs w:val="18"/>
              </w:rPr>
            </w:pPr>
            <w:r w:rsidRPr="00E43204">
              <w:rPr>
                <w:sz w:val="18"/>
                <w:szCs w:val="18"/>
              </w:rPr>
              <w:t xml:space="preserve">Temperature (K) </w:t>
            </w:r>
          </w:p>
        </w:tc>
        <w:tc>
          <w:tcPr>
            <w:tcW w:w="194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100</w:t>
            </w:r>
          </w:p>
        </w:tc>
        <w:tc>
          <w:tcPr>
            <w:tcW w:w="204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100</w:t>
            </w:r>
          </w:p>
        </w:tc>
        <w:tc>
          <w:tcPr>
            <w:tcW w:w="192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100</w:t>
            </w:r>
          </w:p>
        </w:tc>
      </w:tr>
      <w:tr w:rsidR="000A365B" w:rsidRPr="00E43204" w:rsidTr="00AC4FCC">
        <w:trPr>
          <w:trHeight w:val="270"/>
        </w:trPr>
        <w:tc>
          <w:tcPr>
            <w:cnfStyle w:val="001000000000" w:firstRow="0" w:lastRow="0" w:firstColumn="1" w:lastColumn="0" w:oddVBand="0" w:evenVBand="0" w:oddHBand="0" w:evenHBand="0" w:firstRowFirstColumn="0" w:firstRowLastColumn="0" w:lastRowFirstColumn="0" w:lastRowLastColumn="0"/>
            <w:tcW w:w="2145" w:type="dxa"/>
            <w:shd w:val="clear" w:color="auto" w:fill="auto"/>
            <w:hideMark/>
          </w:tcPr>
          <w:p w:rsidR="000A365B" w:rsidRPr="00E43204" w:rsidRDefault="000A365B" w:rsidP="001F0D11">
            <w:pPr>
              <w:pStyle w:val="IUCrtabletext"/>
              <w:rPr>
                <w:sz w:val="18"/>
                <w:szCs w:val="18"/>
              </w:rPr>
            </w:pPr>
            <w:r w:rsidRPr="00E43204">
              <w:rPr>
                <w:sz w:val="18"/>
                <w:szCs w:val="18"/>
              </w:rPr>
              <w:t>Detector</w:t>
            </w:r>
          </w:p>
        </w:tc>
        <w:tc>
          <w:tcPr>
            <w:tcW w:w="194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CCD</w:t>
            </w:r>
          </w:p>
        </w:tc>
        <w:tc>
          <w:tcPr>
            <w:tcW w:w="204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CCD</w:t>
            </w:r>
          </w:p>
        </w:tc>
        <w:tc>
          <w:tcPr>
            <w:tcW w:w="192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CCD</w:t>
            </w:r>
          </w:p>
        </w:tc>
      </w:tr>
      <w:tr w:rsidR="000A365B" w:rsidRPr="00E43204" w:rsidTr="00AC4FCC">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145" w:type="dxa"/>
            <w:shd w:val="clear" w:color="auto" w:fill="auto"/>
            <w:hideMark/>
          </w:tcPr>
          <w:p w:rsidR="000A365B" w:rsidRPr="00E43204" w:rsidRDefault="000A365B" w:rsidP="001F0D11">
            <w:pPr>
              <w:pStyle w:val="IUCrtabletext"/>
              <w:rPr>
                <w:sz w:val="18"/>
                <w:szCs w:val="18"/>
              </w:rPr>
            </w:pPr>
            <w:r w:rsidRPr="00E43204">
              <w:rPr>
                <w:sz w:val="18"/>
                <w:szCs w:val="18"/>
              </w:rPr>
              <w:t>Crystal-detector distance (mm)</w:t>
            </w:r>
          </w:p>
        </w:tc>
        <w:tc>
          <w:tcPr>
            <w:tcW w:w="194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 425.0</w:t>
            </w:r>
          </w:p>
        </w:tc>
        <w:tc>
          <w:tcPr>
            <w:tcW w:w="204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400.0</w:t>
            </w:r>
          </w:p>
        </w:tc>
        <w:tc>
          <w:tcPr>
            <w:tcW w:w="192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400.0</w:t>
            </w:r>
          </w:p>
        </w:tc>
      </w:tr>
      <w:tr w:rsidR="000A365B" w:rsidRPr="00E43204" w:rsidTr="00AC4FCC">
        <w:trPr>
          <w:trHeight w:val="487"/>
        </w:trPr>
        <w:tc>
          <w:tcPr>
            <w:cnfStyle w:val="001000000000" w:firstRow="0" w:lastRow="0" w:firstColumn="1" w:lastColumn="0" w:oddVBand="0" w:evenVBand="0" w:oddHBand="0" w:evenHBand="0" w:firstRowFirstColumn="0" w:firstRowLastColumn="0" w:lastRowFirstColumn="0" w:lastRowLastColumn="0"/>
            <w:tcW w:w="2145" w:type="dxa"/>
            <w:shd w:val="clear" w:color="auto" w:fill="auto"/>
            <w:hideMark/>
          </w:tcPr>
          <w:p w:rsidR="000A365B" w:rsidRPr="00E43204" w:rsidRDefault="000A365B" w:rsidP="001F0D11">
            <w:pPr>
              <w:pStyle w:val="IUCrtabletext"/>
              <w:rPr>
                <w:sz w:val="18"/>
                <w:szCs w:val="18"/>
              </w:rPr>
            </w:pPr>
            <w:r w:rsidRPr="00E43204">
              <w:rPr>
                <w:sz w:val="18"/>
                <w:szCs w:val="18"/>
              </w:rPr>
              <w:t>Rotation range per image (°)</w:t>
            </w:r>
          </w:p>
        </w:tc>
        <w:tc>
          <w:tcPr>
            <w:tcW w:w="194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0.5</w:t>
            </w:r>
          </w:p>
        </w:tc>
        <w:tc>
          <w:tcPr>
            <w:tcW w:w="204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0.5</w:t>
            </w:r>
          </w:p>
        </w:tc>
        <w:tc>
          <w:tcPr>
            <w:tcW w:w="192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0.5</w:t>
            </w:r>
          </w:p>
        </w:tc>
      </w:tr>
      <w:tr w:rsidR="000A365B" w:rsidRPr="00E43204" w:rsidTr="00AC4F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45" w:type="dxa"/>
            <w:shd w:val="clear" w:color="auto" w:fill="auto"/>
            <w:hideMark/>
          </w:tcPr>
          <w:p w:rsidR="000A365B" w:rsidRPr="00E43204" w:rsidRDefault="000A365B" w:rsidP="001F0D11">
            <w:pPr>
              <w:pStyle w:val="IUCrtabletext"/>
              <w:rPr>
                <w:sz w:val="18"/>
                <w:szCs w:val="18"/>
              </w:rPr>
            </w:pPr>
            <w:r w:rsidRPr="00E43204">
              <w:rPr>
                <w:sz w:val="18"/>
                <w:szCs w:val="18"/>
              </w:rPr>
              <w:t>Space group</w:t>
            </w:r>
          </w:p>
        </w:tc>
        <w:tc>
          <w:tcPr>
            <w:tcW w:w="194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P 6</w:t>
            </w:r>
            <w:r w:rsidRPr="00E43204">
              <w:rPr>
                <w:b/>
                <w:bCs/>
                <w:sz w:val="18"/>
                <w:szCs w:val="18"/>
                <w:vertAlign w:val="subscript"/>
              </w:rPr>
              <w:t>2</w:t>
            </w:r>
            <w:r w:rsidRPr="00E43204">
              <w:rPr>
                <w:b/>
                <w:bCs/>
                <w:sz w:val="18"/>
                <w:szCs w:val="18"/>
              </w:rPr>
              <w:t xml:space="preserve"> 2 2</w:t>
            </w:r>
          </w:p>
        </w:tc>
        <w:tc>
          <w:tcPr>
            <w:tcW w:w="204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P 6</w:t>
            </w:r>
            <w:r w:rsidRPr="00E43204">
              <w:rPr>
                <w:b/>
                <w:bCs/>
                <w:sz w:val="18"/>
                <w:szCs w:val="18"/>
                <w:vertAlign w:val="subscript"/>
              </w:rPr>
              <w:t>2</w:t>
            </w:r>
            <w:r w:rsidRPr="00E43204">
              <w:rPr>
                <w:b/>
                <w:bCs/>
                <w:sz w:val="18"/>
                <w:szCs w:val="18"/>
              </w:rPr>
              <w:t xml:space="preserve"> 2 2</w:t>
            </w:r>
          </w:p>
        </w:tc>
        <w:tc>
          <w:tcPr>
            <w:tcW w:w="192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P 6</w:t>
            </w:r>
            <w:r w:rsidRPr="00E43204">
              <w:rPr>
                <w:b/>
                <w:bCs/>
                <w:sz w:val="18"/>
                <w:szCs w:val="18"/>
                <w:vertAlign w:val="subscript"/>
              </w:rPr>
              <w:t>2</w:t>
            </w:r>
            <w:r w:rsidRPr="00E43204">
              <w:rPr>
                <w:b/>
                <w:bCs/>
                <w:sz w:val="18"/>
                <w:szCs w:val="18"/>
              </w:rPr>
              <w:t xml:space="preserve"> 2 2</w:t>
            </w:r>
          </w:p>
        </w:tc>
      </w:tr>
      <w:tr w:rsidR="000A365B" w:rsidRPr="00E43204" w:rsidTr="00AC4FCC">
        <w:trPr>
          <w:trHeight w:val="540"/>
        </w:trPr>
        <w:tc>
          <w:tcPr>
            <w:cnfStyle w:val="001000000000" w:firstRow="0" w:lastRow="0" w:firstColumn="1" w:lastColumn="0" w:oddVBand="0" w:evenVBand="0" w:oddHBand="0" w:evenHBand="0" w:firstRowFirstColumn="0" w:firstRowLastColumn="0" w:lastRowFirstColumn="0" w:lastRowLastColumn="0"/>
            <w:tcW w:w="2145" w:type="dxa"/>
            <w:shd w:val="clear" w:color="auto" w:fill="auto"/>
            <w:hideMark/>
          </w:tcPr>
          <w:p w:rsidR="000A365B" w:rsidRPr="00E43204" w:rsidRDefault="000A365B" w:rsidP="001F0D11">
            <w:pPr>
              <w:pStyle w:val="IUCrtabletext"/>
              <w:rPr>
                <w:sz w:val="18"/>
                <w:szCs w:val="18"/>
              </w:rPr>
            </w:pPr>
            <w:r w:rsidRPr="00E43204">
              <w:rPr>
                <w:sz w:val="18"/>
                <w:szCs w:val="18"/>
              </w:rPr>
              <w:t xml:space="preserve">a, b, c (Å) </w:t>
            </w:r>
          </w:p>
        </w:tc>
        <w:tc>
          <w:tcPr>
            <w:tcW w:w="194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lang w:val="fr-FR"/>
              </w:rPr>
              <w:t xml:space="preserve">102.45 102.45 113.34 </w:t>
            </w:r>
          </w:p>
        </w:tc>
        <w:tc>
          <w:tcPr>
            <w:tcW w:w="204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lang w:val="fr-FR"/>
              </w:rPr>
              <w:t>102.28 102.28 113.85</w:t>
            </w:r>
          </w:p>
        </w:tc>
        <w:tc>
          <w:tcPr>
            <w:tcW w:w="192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lang w:val="fr-FR"/>
              </w:rPr>
              <w:t>101.89 101.89 114.36</w:t>
            </w:r>
          </w:p>
        </w:tc>
      </w:tr>
      <w:tr w:rsidR="000A365B" w:rsidRPr="00E43204" w:rsidTr="00AC4F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45" w:type="dxa"/>
            <w:shd w:val="clear" w:color="auto" w:fill="auto"/>
            <w:hideMark/>
          </w:tcPr>
          <w:p w:rsidR="000A365B" w:rsidRPr="00E43204" w:rsidRDefault="000A365B" w:rsidP="001F0D11">
            <w:pPr>
              <w:pStyle w:val="IUCrtabletext"/>
              <w:rPr>
                <w:sz w:val="18"/>
                <w:szCs w:val="18"/>
              </w:rPr>
            </w:pPr>
            <w:r w:rsidRPr="00E43204">
              <w:rPr>
                <w:sz w:val="18"/>
                <w:szCs w:val="18"/>
              </w:rPr>
              <w:t xml:space="preserve">α, β, γ (°) </w:t>
            </w:r>
          </w:p>
        </w:tc>
        <w:tc>
          <w:tcPr>
            <w:tcW w:w="194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lang w:val="fr-FR"/>
              </w:rPr>
              <w:t>90 90 120</w:t>
            </w:r>
          </w:p>
        </w:tc>
        <w:tc>
          <w:tcPr>
            <w:tcW w:w="204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lang w:val="fr-FR"/>
              </w:rPr>
              <w:t>90 90 120</w:t>
            </w:r>
          </w:p>
        </w:tc>
        <w:tc>
          <w:tcPr>
            <w:tcW w:w="192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lang w:val="fr-FR"/>
              </w:rPr>
              <w:t>90 90 120</w:t>
            </w:r>
          </w:p>
        </w:tc>
      </w:tr>
      <w:tr w:rsidR="000A365B" w:rsidRPr="00E43204" w:rsidTr="00AC4FCC">
        <w:trPr>
          <w:trHeight w:val="540"/>
        </w:trPr>
        <w:tc>
          <w:tcPr>
            <w:cnfStyle w:val="001000000000" w:firstRow="0" w:lastRow="0" w:firstColumn="1" w:lastColumn="0" w:oddVBand="0" w:evenVBand="0" w:oddHBand="0" w:evenHBand="0" w:firstRowFirstColumn="0" w:firstRowLastColumn="0" w:lastRowFirstColumn="0" w:lastRowLastColumn="0"/>
            <w:tcW w:w="2145" w:type="dxa"/>
            <w:shd w:val="clear" w:color="auto" w:fill="auto"/>
            <w:hideMark/>
          </w:tcPr>
          <w:p w:rsidR="000A365B" w:rsidRPr="00E43204" w:rsidRDefault="000A365B" w:rsidP="001F0D11">
            <w:pPr>
              <w:pStyle w:val="IUCrtabletext"/>
              <w:rPr>
                <w:sz w:val="18"/>
                <w:szCs w:val="18"/>
              </w:rPr>
            </w:pPr>
            <w:r w:rsidRPr="00E43204">
              <w:rPr>
                <w:sz w:val="18"/>
                <w:szCs w:val="18"/>
              </w:rPr>
              <w:t>Resolution range (Å)</w:t>
            </w:r>
          </w:p>
        </w:tc>
        <w:tc>
          <w:tcPr>
            <w:tcW w:w="194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46.7-2.4(2.48- 2.4)</w:t>
            </w:r>
          </w:p>
        </w:tc>
        <w:tc>
          <w:tcPr>
            <w:tcW w:w="204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47.9-2.2 (2.27-2.2)</w:t>
            </w:r>
          </w:p>
        </w:tc>
        <w:tc>
          <w:tcPr>
            <w:tcW w:w="192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46.5-2.4(2.48-2.4)</w:t>
            </w:r>
          </w:p>
        </w:tc>
      </w:tr>
      <w:tr w:rsidR="000A365B" w:rsidRPr="00E43204" w:rsidTr="00AC4FC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145" w:type="dxa"/>
            <w:shd w:val="clear" w:color="auto" w:fill="auto"/>
            <w:hideMark/>
          </w:tcPr>
          <w:p w:rsidR="000A365B" w:rsidRPr="00E43204" w:rsidRDefault="000A365B" w:rsidP="001F0D11">
            <w:pPr>
              <w:pStyle w:val="IUCrtabletext"/>
              <w:rPr>
                <w:sz w:val="18"/>
                <w:szCs w:val="18"/>
              </w:rPr>
            </w:pPr>
            <w:r w:rsidRPr="00E43204">
              <w:rPr>
                <w:sz w:val="18"/>
                <w:szCs w:val="18"/>
              </w:rPr>
              <w:t>Total No. of reflections</w:t>
            </w:r>
          </w:p>
        </w:tc>
        <w:tc>
          <w:tcPr>
            <w:tcW w:w="194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 267657 (25464)</w:t>
            </w:r>
          </w:p>
        </w:tc>
        <w:tc>
          <w:tcPr>
            <w:tcW w:w="204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334861 (32625)</w:t>
            </w:r>
          </w:p>
        </w:tc>
        <w:tc>
          <w:tcPr>
            <w:tcW w:w="192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256653 (25511)</w:t>
            </w:r>
          </w:p>
        </w:tc>
      </w:tr>
      <w:tr w:rsidR="000A365B" w:rsidRPr="00E43204" w:rsidTr="00AC4FCC">
        <w:trPr>
          <w:trHeight w:val="270"/>
        </w:trPr>
        <w:tc>
          <w:tcPr>
            <w:cnfStyle w:val="001000000000" w:firstRow="0" w:lastRow="0" w:firstColumn="1" w:lastColumn="0" w:oddVBand="0" w:evenVBand="0" w:oddHBand="0" w:evenHBand="0" w:firstRowFirstColumn="0" w:firstRowLastColumn="0" w:lastRowFirstColumn="0" w:lastRowLastColumn="0"/>
            <w:tcW w:w="2145" w:type="dxa"/>
            <w:shd w:val="clear" w:color="auto" w:fill="auto"/>
            <w:hideMark/>
          </w:tcPr>
          <w:p w:rsidR="000A365B" w:rsidRPr="00E43204" w:rsidRDefault="000A365B" w:rsidP="001F0D11">
            <w:pPr>
              <w:pStyle w:val="IUCrtabletext"/>
              <w:rPr>
                <w:sz w:val="18"/>
                <w:szCs w:val="18"/>
              </w:rPr>
            </w:pPr>
            <w:r w:rsidRPr="00E43204">
              <w:rPr>
                <w:sz w:val="18"/>
                <w:szCs w:val="18"/>
              </w:rPr>
              <w:t>No. of unique reflections</w:t>
            </w:r>
          </w:p>
        </w:tc>
        <w:tc>
          <w:tcPr>
            <w:tcW w:w="194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14296 (1387)</w:t>
            </w:r>
          </w:p>
        </w:tc>
        <w:tc>
          <w:tcPr>
            <w:tcW w:w="204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18445 (1798)</w:t>
            </w:r>
          </w:p>
        </w:tc>
        <w:tc>
          <w:tcPr>
            <w:tcW w:w="192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14277 (1402)</w:t>
            </w:r>
          </w:p>
        </w:tc>
      </w:tr>
      <w:tr w:rsidR="000A365B" w:rsidRPr="00E43204" w:rsidTr="00AC4FC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145" w:type="dxa"/>
            <w:shd w:val="clear" w:color="auto" w:fill="auto"/>
            <w:hideMark/>
          </w:tcPr>
          <w:p w:rsidR="000A365B" w:rsidRPr="00E43204" w:rsidRDefault="000A365B" w:rsidP="001F0D11">
            <w:pPr>
              <w:pStyle w:val="IUCrtabletext"/>
              <w:rPr>
                <w:sz w:val="18"/>
                <w:szCs w:val="18"/>
              </w:rPr>
            </w:pPr>
            <w:r w:rsidRPr="00E43204">
              <w:rPr>
                <w:sz w:val="18"/>
                <w:szCs w:val="18"/>
              </w:rPr>
              <w:t>Completeness (%)</w:t>
            </w:r>
          </w:p>
        </w:tc>
        <w:tc>
          <w:tcPr>
            <w:tcW w:w="194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99.88 (100.00)</w:t>
            </w:r>
          </w:p>
        </w:tc>
        <w:tc>
          <w:tcPr>
            <w:tcW w:w="204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98.89 (89.27)</w:t>
            </w:r>
          </w:p>
        </w:tc>
        <w:tc>
          <w:tcPr>
            <w:tcW w:w="192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99.81 (100.00)</w:t>
            </w:r>
          </w:p>
        </w:tc>
      </w:tr>
      <w:tr w:rsidR="000A365B" w:rsidRPr="00E43204" w:rsidTr="00AC4FCC">
        <w:trPr>
          <w:trHeight w:val="270"/>
        </w:trPr>
        <w:tc>
          <w:tcPr>
            <w:cnfStyle w:val="001000000000" w:firstRow="0" w:lastRow="0" w:firstColumn="1" w:lastColumn="0" w:oddVBand="0" w:evenVBand="0" w:oddHBand="0" w:evenHBand="0" w:firstRowFirstColumn="0" w:firstRowLastColumn="0" w:lastRowFirstColumn="0" w:lastRowLastColumn="0"/>
            <w:tcW w:w="2145" w:type="dxa"/>
            <w:shd w:val="clear" w:color="auto" w:fill="auto"/>
            <w:hideMark/>
          </w:tcPr>
          <w:p w:rsidR="000A365B" w:rsidRPr="00E43204" w:rsidRDefault="000A365B" w:rsidP="001F0D11">
            <w:pPr>
              <w:pStyle w:val="IUCrtabletext"/>
              <w:rPr>
                <w:sz w:val="18"/>
                <w:szCs w:val="18"/>
              </w:rPr>
            </w:pPr>
            <w:r w:rsidRPr="00E43204">
              <w:rPr>
                <w:sz w:val="18"/>
                <w:szCs w:val="18"/>
              </w:rPr>
              <w:t>Redundancy</w:t>
            </w:r>
          </w:p>
        </w:tc>
        <w:tc>
          <w:tcPr>
            <w:tcW w:w="194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18.7 (18.3)</w:t>
            </w:r>
          </w:p>
        </w:tc>
        <w:tc>
          <w:tcPr>
            <w:tcW w:w="204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18.2 (18.1)</w:t>
            </w:r>
          </w:p>
        </w:tc>
        <w:tc>
          <w:tcPr>
            <w:tcW w:w="192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18.0 (18.2)</w:t>
            </w:r>
          </w:p>
        </w:tc>
      </w:tr>
      <w:tr w:rsidR="000A365B" w:rsidRPr="00E43204" w:rsidTr="00AC4FCC">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145" w:type="dxa"/>
            <w:shd w:val="clear" w:color="auto" w:fill="auto"/>
            <w:hideMark/>
          </w:tcPr>
          <w:p w:rsidR="000A365B" w:rsidRPr="00E43204" w:rsidRDefault="000A365B" w:rsidP="001F0D11">
            <w:pPr>
              <w:pStyle w:val="IUCrtabletext"/>
              <w:rPr>
                <w:sz w:val="18"/>
                <w:szCs w:val="18"/>
              </w:rPr>
            </w:pPr>
            <w:r w:rsidRPr="00E43204">
              <w:rPr>
                <w:rFonts w:ascii="Cambria Math" w:hAnsi="Cambria Math" w:cs="Cambria Math"/>
                <w:sz w:val="18"/>
                <w:szCs w:val="18"/>
              </w:rPr>
              <w:t>〈</w:t>
            </w:r>
            <w:r w:rsidRPr="00E43204">
              <w:rPr>
                <w:sz w:val="18"/>
                <w:szCs w:val="18"/>
              </w:rPr>
              <w:t xml:space="preserve"> I/σ(I)</w:t>
            </w:r>
            <w:r w:rsidRPr="00E43204">
              <w:rPr>
                <w:rFonts w:ascii="Cambria Math" w:hAnsi="Cambria Math" w:cs="Cambria Math"/>
                <w:sz w:val="18"/>
                <w:szCs w:val="18"/>
              </w:rPr>
              <w:t>〉</w:t>
            </w:r>
            <w:r w:rsidRPr="00E43204">
              <w:rPr>
                <w:sz w:val="18"/>
                <w:szCs w:val="18"/>
              </w:rPr>
              <w:t xml:space="preserve"> </w:t>
            </w:r>
          </w:p>
        </w:tc>
        <w:tc>
          <w:tcPr>
            <w:tcW w:w="194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26.4 (3.7)</w:t>
            </w:r>
          </w:p>
        </w:tc>
        <w:tc>
          <w:tcPr>
            <w:tcW w:w="204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31.3 (5.6)</w:t>
            </w:r>
          </w:p>
        </w:tc>
        <w:tc>
          <w:tcPr>
            <w:tcW w:w="192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22.5 (4.7)</w:t>
            </w:r>
          </w:p>
        </w:tc>
      </w:tr>
      <w:tr w:rsidR="000A365B" w:rsidRPr="00E43204" w:rsidTr="00AC4FCC">
        <w:trPr>
          <w:trHeight w:val="245"/>
        </w:trPr>
        <w:tc>
          <w:tcPr>
            <w:cnfStyle w:val="001000000000" w:firstRow="0" w:lastRow="0" w:firstColumn="1" w:lastColumn="0" w:oddVBand="0" w:evenVBand="0" w:oddHBand="0" w:evenHBand="0" w:firstRowFirstColumn="0" w:firstRowLastColumn="0" w:lastRowFirstColumn="0" w:lastRowLastColumn="0"/>
            <w:tcW w:w="2145" w:type="dxa"/>
            <w:shd w:val="clear" w:color="auto" w:fill="auto"/>
            <w:hideMark/>
          </w:tcPr>
          <w:p w:rsidR="000A365B" w:rsidRPr="00E43204" w:rsidRDefault="000A365B" w:rsidP="001F0D11">
            <w:pPr>
              <w:pStyle w:val="IUCrtabletext"/>
              <w:rPr>
                <w:sz w:val="18"/>
                <w:szCs w:val="18"/>
              </w:rPr>
            </w:pPr>
            <w:proofErr w:type="spellStart"/>
            <w:r w:rsidRPr="00E43204">
              <w:rPr>
                <w:sz w:val="18"/>
                <w:szCs w:val="18"/>
              </w:rPr>
              <w:t>R</w:t>
            </w:r>
            <w:r w:rsidRPr="00E43204">
              <w:rPr>
                <w:sz w:val="18"/>
                <w:szCs w:val="18"/>
                <w:vertAlign w:val="subscript"/>
              </w:rPr>
              <w:t>p.i.m</w:t>
            </w:r>
            <w:proofErr w:type="spellEnd"/>
            <w:r w:rsidRPr="00E43204">
              <w:rPr>
                <w:sz w:val="18"/>
                <w:szCs w:val="18"/>
                <w:vertAlign w:val="subscript"/>
              </w:rPr>
              <w:t>.</w:t>
            </w:r>
            <w:r w:rsidRPr="00E43204">
              <w:rPr>
                <w:sz w:val="18"/>
                <w:szCs w:val="18"/>
              </w:rPr>
              <w:t xml:space="preserve"> </w:t>
            </w:r>
          </w:p>
        </w:tc>
        <w:tc>
          <w:tcPr>
            <w:tcW w:w="194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0.09 (0.77)</w:t>
            </w:r>
          </w:p>
        </w:tc>
        <w:tc>
          <w:tcPr>
            <w:tcW w:w="204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0.07 (0.77)</w:t>
            </w:r>
          </w:p>
        </w:tc>
        <w:tc>
          <w:tcPr>
            <w:tcW w:w="1925" w:type="dxa"/>
            <w:shd w:val="clear" w:color="auto" w:fill="auto"/>
            <w:hideMark/>
          </w:tcPr>
          <w:p w:rsidR="000A365B" w:rsidRPr="00E43204" w:rsidRDefault="000A365B" w:rsidP="001F0D11">
            <w:pPr>
              <w:pStyle w:val="IUCrtabletext"/>
              <w:cnfStyle w:val="000000000000" w:firstRow="0" w:lastRow="0" w:firstColumn="0" w:lastColumn="0" w:oddVBand="0" w:evenVBand="0" w:oddHBand="0" w:evenHBand="0" w:firstRowFirstColumn="0" w:firstRowLastColumn="0" w:lastRowFirstColumn="0" w:lastRowLastColumn="0"/>
              <w:rPr>
                <w:sz w:val="18"/>
                <w:szCs w:val="18"/>
              </w:rPr>
            </w:pPr>
            <w:r w:rsidRPr="00E43204">
              <w:rPr>
                <w:b/>
                <w:bCs/>
                <w:sz w:val="18"/>
                <w:szCs w:val="18"/>
              </w:rPr>
              <w:t>0.09 (0.68)</w:t>
            </w:r>
          </w:p>
        </w:tc>
      </w:tr>
      <w:tr w:rsidR="000A365B" w:rsidRPr="00E43204" w:rsidTr="00AC4FCC">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2145" w:type="dxa"/>
            <w:shd w:val="clear" w:color="auto" w:fill="auto"/>
            <w:hideMark/>
          </w:tcPr>
          <w:p w:rsidR="000A365B" w:rsidRPr="00E43204" w:rsidRDefault="000A365B" w:rsidP="001F0D11">
            <w:pPr>
              <w:pStyle w:val="IUCrtabletext"/>
              <w:rPr>
                <w:sz w:val="18"/>
                <w:szCs w:val="18"/>
              </w:rPr>
            </w:pPr>
            <w:r w:rsidRPr="00E43204">
              <w:rPr>
                <w:sz w:val="18"/>
                <w:szCs w:val="18"/>
              </w:rPr>
              <w:t>Overall B factor from Wilson plot (Å</w:t>
            </w:r>
            <w:r w:rsidRPr="00E43204">
              <w:rPr>
                <w:sz w:val="18"/>
                <w:szCs w:val="18"/>
                <w:vertAlign w:val="superscript"/>
              </w:rPr>
              <w:t>2</w:t>
            </w:r>
            <w:r w:rsidRPr="00E43204">
              <w:rPr>
                <w:sz w:val="18"/>
                <w:szCs w:val="18"/>
              </w:rPr>
              <w:t xml:space="preserve">) </w:t>
            </w:r>
          </w:p>
        </w:tc>
        <w:tc>
          <w:tcPr>
            <w:tcW w:w="194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49.4</w:t>
            </w:r>
          </w:p>
        </w:tc>
        <w:tc>
          <w:tcPr>
            <w:tcW w:w="204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40.3</w:t>
            </w:r>
          </w:p>
        </w:tc>
        <w:tc>
          <w:tcPr>
            <w:tcW w:w="1925" w:type="dxa"/>
            <w:shd w:val="clear" w:color="auto" w:fill="auto"/>
            <w:hideMark/>
          </w:tcPr>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45.8</w:t>
            </w:r>
          </w:p>
          <w:p w:rsidR="000A365B" w:rsidRPr="00E43204" w:rsidRDefault="000A365B" w:rsidP="001F0D11">
            <w:pPr>
              <w:pStyle w:val="IUCrtabletext"/>
              <w:cnfStyle w:val="000000100000" w:firstRow="0" w:lastRow="0" w:firstColumn="0" w:lastColumn="0" w:oddVBand="0" w:evenVBand="0" w:oddHBand="1" w:evenHBand="0" w:firstRowFirstColumn="0" w:firstRowLastColumn="0" w:lastRowFirstColumn="0" w:lastRowLastColumn="0"/>
              <w:rPr>
                <w:sz w:val="18"/>
                <w:szCs w:val="18"/>
              </w:rPr>
            </w:pPr>
            <w:r w:rsidRPr="00E43204">
              <w:rPr>
                <w:b/>
                <w:bCs/>
                <w:sz w:val="18"/>
                <w:szCs w:val="18"/>
              </w:rPr>
              <w:t> </w:t>
            </w:r>
          </w:p>
        </w:tc>
      </w:tr>
    </w:tbl>
    <w:p w:rsidR="000A365B" w:rsidRPr="00E43204" w:rsidRDefault="000A365B" w:rsidP="000A365B">
      <w:pPr>
        <w:pStyle w:val="IUCrtabletext"/>
        <w:jc w:val="both"/>
      </w:pPr>
      <w:r w:rsidRPr="00E43204">
        <w:tab/>
      </w:r>
      <w:r w:rsidRPr="00E43204">
        <w:tab/>
      </w:r>
      <w:r w:rsidRPr="00E43204">
        <w:tab/>
      </w:r>
      <w:r w:rsidRPr="00E43204">
        <w:tab/>
      </w:r>
      <w:r w:rsidRPr="00E43204">
        <w:tab/>
      </w:r>
    </w:p>
    <w:p w:rsidR="000A365B" w:rsidRPr="00E43204" w:rsidRDefault="000A365B" w:rsidP="000A365B">
      <w:pPr>
        <w:pStyle w:val="IUCrheading2"/>
        <w:numPr>
          <w:ilvl w:val="0"/>
          <w:numId w:val="0"/>
        </w:numPr>
        <w:jc w:val="both"/>
        <w:textAlignment w:val="auto"/>
        <w:rPr>
          <w:rFonts w:ascii="Times New Roman" w:hAnsi="Times New Roman"/>
          <w:sz w:val="22"/>
        </w:rPr>
      </w:pPr>
      <w:r w:rsidRPr="00E43204">
        <w:rPr>
          <w:rFonts w:ascii="Times New Roman" w:hAnsi="Times New Roman"/>
          <w:sz w:val="22"/>
        </w:rPr>
        <w:t>Structure solution and refinement</w:t>
      </w:r>
    </w:p>
    <w:p w:rsidR="000A365B" w:rsidRPr="00E43204" w:rsidRDefault="000A365B" w:rsidP="000A365B">
      <w:pPr>
        <w:pStyle w:val="IUCrbodytext"/>
        <w:jc w:val="both"/>
      </w:pPr>
      <w:r w:rsidRPr="00E43204">
        <w:t xml:space="preserve">A monomer of </w:t>
      </w:r>
      <w:r w:rsidRPr="00E43204">
        <w:rPr>
          <w:iCs/>
        </w:rPr>
        <w:t>Lap B</w:t>
      </w:r>
      <w:r w:rsidRPr="00E43204">
        <w:t xml:space="preserve"> from </w:t>
      </w:r>
      <w:r w:rsidRPr="00E43204">
        <w:rPr>
          <w:i/>
        </w:rPr>
        <w:t>Pseudomonas</w:t>
      </w:r>
      <w:r w:rsidRPr="00E43204">
        <w:t xml:space="preserve">  sp KL28 (PDB entry-3hpv; </w:t>
      </w:r>
      <w:r w:rsidRPr="00E43204">
        <w:fldChar w:fldCharType="begin"/>
      </w:r>
      <w:r w:rsidR="00903162" w:rsidRPr="00E43204">
        <w:instrText xml:space="preserve"> ADDIN EN.CITE &lt;EndNote&gt;&lt;Cite&gt;&lt;Author&gt;Cho&lt;/Author&gt;&lt;Year&gt;2009&lt;/Year&gt;&lt;RecNum&gt;53&lt;/RecNum&gt;&lt;DisplayText&gt;(Cho, Jung, Lee, &amp;amp; Rhee, 2009)&lt;/DisplayText&gt;&lt;record&gt;&lt;rec-number&gt;53&lt;/rec-number&gt;&lt;foreign-keys&gt;&lt;key app="EN" db-id="2waps59xu5wrzcewwdvxa55jx9r9fxts2dx5" timestamp="1540285014"&gt;53&lt;/key&gt;&lt;/foreign-keys&gt;&lt;ref-type name="Journal Article"&gt;17&lt;/ref-type&gt;&lt;contributors&gt;&lt;authors&gt;&lt;author&gt;Jang-Hee Cho&lt;/author&gt;&lt;author&gt;Du-Kyo Jung&lt;/author&gt;&lt;author&gt;Kyoung Lee&lt;/author&gt;&lt;author&gt;Sangkee Rhee&lt;/author&gt;&lt;/authors&gt;&lt;/contributors&gt;&lt;titles&gt;&lt;title&gt;Crystal Structure and Functional Analysis of the Extradiol Dioxygenase LapB from a Long-chain Alkylphenol Degradation Pathway in Pseudomonas&lt;/title&gt;&lt;secondary-title&gt;J Biol Chem.&lt;/secondary-title&gt;&lt;/titles&gt;&lt;periodical&gt;&lt;full-title&gt;J Biol Chem.&lt;/full-title&gt;&lt;/periodical&gt;&lt;pages&gt;34321-34330&lt;/pages&gt;&lt;volume&gt;284&lt;/volume&gt;&lt;dates&gt;&lt;year&gt;2009&lt;/year&gt;&lt;/dates&gt;&lt;urls&gt;&lt;/urls&gt;&lt;/record&gt;&lt;/Cite&gt;&lt;/EndNote&gt;</w:instrText>
      </w:r>
      <w:r w:rsidRPr="00E43204">
        <w:fldChar w:fldCharType="separate"/>
      </w:r>
      <w:r w:rsidR="00903162" w:rsidRPr="00E43204">
        <w:rPr>
          <w:noProof/>
        </w:rPr>
        <w:t>(</w:t>
      </w:r>
      <w:hyperlink w:anchor="_ENREF_4" w:tooltip="Cho, 2009 #53" w:history="1">
        <w:r w:rsidR="00E43204" w:rsidRPr="00E43204">
          <w:rPr>
            <w:noProof/>
          </w:rPr>
          <w:t>Cho, Jung, Lee, &amp; Rhee, 2009</w:t>
        </w:r>
      </w:hyperlink>
      <w:r w:rsidR="00903162" w:rsidRPr="00E43204">
        <w:rPr>
          <w:noProof/>
        </w:rPr>
        <w:t>)</w:t>
      </w:r>
      <w:r w:rsidRPr="00E43204">
        <w:fldChar w:fldCharType="end"/>
      </w:r>
      <w:r w:rsidRPr="00E43204">
        <w:t xml:space="preserve"> was used as a search model for molecular replacement with </w:t>
      </w:r>
      <w:r w:rsidRPr="00E43204">
        <w:rPr>
          <w:i/>
          <w:iCs/>
        </w:rPr>
        <w:t>PHASER</w:t>
      </w:r>
      <w:r w:rsidRPr="00E43204">
        <w:rPr>
          <w:vertAlign w:val="superscript"/>
        </w:rPr>
        <w:sym w:font="Symbol" w:char="F0D3"/>
      </w:r>
      <w:r w:rsidRPr="00E43204">
        <w:t xml:space="preserve"> </w:t>
      </w:r>
      <w:r w:rsidRPr="00E43204">
        <w:fldChar w:fldCharType="begin"/>
      </w:r>
      <w:r w:rsidR="00903162" w:rsidRPr="00E43204">
        <w:instrText xml:space="preserve"> ADDIN EN.CITE &lt;EndNote&gt;&lt;Cite&gt;&lt;Author&gt;McCoy&lt;/Author&gt;&lt;Year&gt;2007&lt;/Year&gt;&lt;RecNum&gt;154&lt;/RecNum&gt;&lt;DisplayText&gt;(McCoy et al., 2007)&lt;/DisplayText&gt;&lt;record&gt;&lt;rec-number&gt;154&lt;/rec-number&gt;&lt;foreign-keys&gt;&lt;key app="EN" db-id="2waps59xu5wrzcewwdvxa55jx9r9fxts2dx5" timestamp="1568357696"&gt;154&lt;/key&gt;&lt;/foreign-keys&gt;&lt;ref-type name="Journal Article"&gt;17&lt;/ref-type&gt;&lt;contributors&gt;&lt;authors&gt;&lt;author&gt;Airlie J. McCoy&lt;/author&gt;&lt;author&gt;Ralf W &lt;/author&gt;&lt;author&gt;Grosse-Kunstleve&lt;/author&gt;&lt;author&gt;Paul D. Adams&lt;/author&gt;&lt;author&gt;Martyn D. Winn&lt;/author&gt;&lt;author&gt;Laurent C. Storonia&lt;/author&gt;&lt;author&gt;Randy J. Read&lt;/author&gt;&lt;/authors&gt;&lt;/contributors&gt;&lt;titles&gt;&lt;title&gt;Phaser crystallographic software&lt;/title&gt;&lt;secondary-title&gt;J. Appl. Cryst.&lt;/secondary-title&gt;&lt;/titles&gt;&lt;periodical&gt;&lt;full-title&gt;J. Appl. Cryst.&lt;/full-title&gt;&lt;/periodical&gt;&lt;pages&gt;658–674&lt;/pages&gt;&lt;volume&gt;40&lt;/volume&gt;&lt;dates&gt;&lt;year&gt;2007&lt;/year&gt;&lt;/dates&gt;&lt;urls&gt;&lt;/urls&gt;&lt;/record&gt;&lt;/Cite&gt;&lt;/EndNote&gt;</w:instrText>
      </w:r>
      <w:r w:rsidRPr="00E43204">
        <w:fldChar w:fldCharType="separate"/>
      </w:r>
      <w:r w:rsidR="00903162" w:rsidRPr="00E43204">
        <w:rPr>
          <w:noProof/>
        </w:rPr>
        <w:t>(</w:t>
      </w:r>
      <w:hyperlink w:anchor="_ENREF_10" w:tooltip="McCoy, 2007 #154" w:history="1">
        <w:r w:rsidR="00E43204" w:rsidRPr="00E43204">
          <w:rPr>
            <w:noProof/>
          </w:rPr>
          <w:t>McCoy et al., 2007</w:t>
        </w:r>
      </w:hyperlink>
      <w:r w:rsidR="00903162" w:rsidRPr="00E43204">
        <w:rPr>
          <w:noProof/>
        </w:rPr>
        <w:t>)</w:t>
      </w:r>
      <w:r w:rsidRPr="00E43204">
        <w:fldChar w:fldCharType="end"/>
      </w:r>
      <w:r w:rsidRPr="00E43204">
        <w:t xml:space="preserve"> in the </w:t>
      </w:r>
      <w:r w:rsidRPr="00E43204">
        <w:rPr>
          <w:i/>
        </w:rPr>
        <w:t>PHENIX</w:t>
      </w:r>
      <w:r w:rsidRPr="00E43204">
        <w:t xml:space="preserve"> suite for ligand-free C23O64.  </w:t>
      </w:r>
      <w:r w:rsidRPr="00E43204">
        <w:rPr>
          <w:i/>
          <w:iCs/>
        </w:rPr>
        <w:t>LapB</w:t>
      </w:r>
      <w:r w:rsidRPr="00E43204">
        <w:t xml:space="preserve"> had a sequence identity of 42% with the </w:t>
      </w:r>
      <w:r w:rsidRPr="00E43204">
        <w:rPr>
          <w:i/>
        </w:rPr>
        <w:t>C23O64</w:t>
      </w:r>
      <w:r w:rsidRPr="00E43204">
        <w:t xml:space="preserve">. The </w:t>
      </w:r>
      <w:proofErr w:type="spellStart"/>
      <w:r w:rsidRPr="00E43204">
        <w:t>Phenix.autobuild</w:t>
      </w:r>
      <w:proofErr w:type="spellEnd"/>
      <w:r w:rsidRPr="00E43204">
        <w:t xml:space="preserve"> </w:t>
      </w:r>
      <w:r w:rsidRPr="00E43204">
        <w:fldChar w:fldCharType="begin"/>
      </w:r>
      <w:r w:rsidR="00903162" w:rsidRPr="00E43204">
        <w:instrText xml:space="preserve"> ADDIN EN.CITE &lt;EndNote&gt;&lt;Cite&gt;&lt;Author&gt;Terwilliger&lt;/Author&gt;&lt;Year&gt;2008&lt;/Year&gt;&lt;RecNum&gt;155&lt;/RecNum&gt;&lt;DisplayText&gt;(Terwilliger et al., 2008)&lt;/DisplayText&gt;&lt;record&gt;&lt;rec-number&gt;155&lt;/rec-number&gt;&lt;foreign-keys&gt;&lt;key app="EN" db-id="2waps59xu5wrzcewwdvxa55jx9r9fxts2dx5" timestamp="1568358332"&gt;155&lt;/key&gt;&lt;/foreign-keys&gt;&lt;ref-type name="Journal Article"&gt;17&lt;/ref-type&gt;&lt;contributors&gt;&lt;authors&gt;&lt;author&gt;Thomas C. Terwilliger&lt;/author&gt;&lt;author&gt;Ralf W.&lt;/author&gt;&lt;author&gt;Grosse-Kunstleve&lt;/author&gt;&lt;author&gt;Pavel V Afonine&lt;/author&gt;&lt;author&gt;Nigel W. Moriarty&lt;/author&gt;&lt;author&gt;Peter H. Zwart&lt;/author&gt;&lt;author&gt;Li-Wei Hung&lt;/author&gt;&lt;author&gt;Randy J. Read&lt;/author&gt;&lt;author&gt;Paul D. Adams&lt;/author&gt;&lt;/authors&gt;&lt;/contributors&gt;&lt;titles&gt;&lt;title&gt;Iterative model building, structure refinement and density modification with the PHENIX AutoBuild wizard&lt;/title&gt;&lt;secondary-title&gt;Acta Cryst. D&lt;/secondary-title&gt;&lt;/titles&gt;&lt;periodical&gt;&lt;full-title&gt;Acta Cryst. D&lt;/full-title&gt;&lt;/periodical&gt;&lt;pages&gt;61–69&lt;/pages&gt;&lt;volume&gt;64&lt;/volume&gt;&lt;dates&gt;&lt;year&gt;2008&lt;/year&gt;&lt;/dates&gt;&lt;urls&gt;&lt;/urls&gt;&lt;/record&gt;&lt;/Cite&gt;&lt;/EndNote&gt;</w:instrText>
      </w:r>
      <w:r w:rsidRPr="00E43204">
        <w:fldChar w:fldCharType="separate"/>
      </w:r>
      <w:r w:rsidR="00903162" w:rsidRPr="00E43204">
        <w:rPr>
          <w:noProof/>
        </w:rPr>
        <w:t>(</w:t>
      </w:r>
      <w:hyperlink w:anchor="_ENREF_11" w:tooltip="Terwilliger, 2008 #155" w:history="1">
        <w:r w:rsidR="00E43204" w:rsidRPr="00E43204">
          <w:rPr>
            <w:noProof/>
          </w:rPr>
          <w:t>Terwilliger et al., 2008</w:t>
        </w:r>
      </w:hyperlink>
      <w:r w:rsidR="00903162" w:rsidRPr="00E43204">
        <w:rPr>
          <w:noProof/>
        </w:rPr>
        <w:t>)</w:t>
      </w:r>
      <w:r w:rsidRPr="00E43204">
        <w:fldChar w:fldCharType="end"/>
      </w:r>
      <w:r w:rsidRPr="00E43204">
        <w:t xml:space="preserve"> was used for the initial model building.  </w:t>
      </w:r>
      <w:proofErr w:type="spellStart"/>
      <w:r w:rsidRPr="00E43204">
        <w:t>Phenix.refine</w:t>
      </w:r>
      <w:proofErr w:type="spellEnd"/>
      <w:r w:rsidRPr="00E43204">
        <w:t xml:space="preserve"> </w:t>
      </w:r>
      <w:r w:rsidRPr="00E43204">
        <w:fldChar w:fldCharType="begin"/>
      </w:r>
      <w:r w:rsidR="00903162" w:rsidRPr="00E43204">
        <w:instrText xml:space="preserve"> ADDIN EN.CITE &lt;EndNote&gt;&lt;Cite&gt;&lt;Author&gt;Afonine&lt;/Author&gt;&lt;Year&gt;2012&lt;/Year&gt;&lt;RecNum&gt;100&lt;/RecNum&gt;&lt;DisplayText&gt;(Afonine et al., 2012)&lt;/DisplayText&gt;&lt;record&gt;&lt;rec-number&gt;100&lt;/rec-number&gt;&lt;foreign-keys&gt;&lt;key app="EN" db-id="2waps59xu5wrzcewwdvxa55jx9r9fxts2dx5" timestamp="1542652068"&gt;100&lt;/key&gt;&lt;/foreign-keys&gt;&lt;ref-type name="Journal Article"&gt;17&lt;/ref-type&gt;&lt;contributors&gt;&lt;authors&gt;&lt;author&gt;Pavel V. Afonine&lt;/author&gt;&lt;author&gt;Ralf W&lt;/author&gt;&lt;author&gt;Grosse-Kunstleve&lt;/author&gt;&lt;author&gt;Nathaniel Echols&lt;/author&gt;&lt;author&gt;Jeffrey J. Headd&lt;/author&gt;&lt;author&gt;Nigel W. Moriarty&lt;/author&gt;&lt;author&gt;Marat Mustyakimov&lt;/author&gt;&lt;author&gt;Thomas C.Terwilliger&lt;/author&gt;&lt;author&gt;Alexandre Urzhumtsev&lt;/author&gt;&lt;author&gt;Peter H. Zwart&lt;/author&gt;&lt;author&gt;Paul D. Adams&lt;/author&gt;&lt;/authors&gt;&lt;/contributors&gt;&lt;titles&gt;&lt;title&gt;Towards automated crystallographic structure refinement with phenix.refine&lt;/title&gt;&lt;secondary-title&gt;Acta Cryst. D&lt;/secondary-title&gt;&lt;/titles&gt;&lt;periodical&gt;&lt;full-title&gt;Acta Cryst. D&lt;/full-title&gt;&lt;/periodical&gt;&lt;pages&gt;352-367&lt;/pages&gt;&lt;volume&gt;D68&lt;/volume&gt;&lt;dates&gt;&lt;year&gt;2012&lt;/year&gt;&lt;/dates&gt;&lt;urls&gt;&lt;/urls&gt;&lt;/record&gt;&lt;/Cite&gt;&lt;/EndNote&gt;</w:instrText>
      </w:r>
      <w:r w:rsidRPr="00E43204">
        <w:fldChar w:fldCharType="separate"/>
      </w:r>
      <w:r w:rsidR="00903162" w:rsidRPr="00E43204">
        <w:rPr>
          <w:noProof/>
        </w:rPr>
        <w:t>(</w:t>
      </w:r>
      <w:hyperlink w:anchor="_ENREF_2" w:tooltip="Afonine, 2012 #100" w:history="1">
        <w:r w:rsidR="00E43204" w:rsidRPr="00E43204">
          <w:rPr>
            <w:noProof/>
          </w:rPr>
          <w:t>Afonine et al., 2012</w:t>
        </w:r>
      </w:hyperlink>
      <w:r w:rsidR="00903162" w:rsidRPr="00E43204">
        <w:rPr>
          <w:noProof/>
        </w:rPr>
        <w:t>)</w:t>
      </w:r>
      <w:r w:rsidRPr="00E43204">
        <w:fldChar w:fldCharType="end"/>
      </w:r>
      <w:r w:rsidRPr="00E43204">
        <w:t xml:space="preserve"> was used for structure refinement.  Coot </w:t>
      </w:r>
      <w:r w:rsidRPr="00E43204">
        <w:fldChar w:fldCharType="begin"/>
      </w:r>
      <w:r w:rsidR="00903162" w:rsidRPr="00E43204">
        <w:instrText xml:space="preserve"> ADDIN EN.CITE &lt;EndNote&gt;&lt;Cite&gt;&lt;Author&gt;Emsley&lt;/Author&gt;&lt;Year&gt;2010&lt;/Year&gt;&lt;RecNum&gt;156&lt;/RecNum&gt;&lt;DisplayText&gt;(Emsley, Lohkamp, Scottc, &amp;amp; Cowtan, 2010)&lt;/DisplayText&gt;&lt;record&gt;&lt;rec-number&gt;156&lt;/rec-number&gt;&lt;foreign-keys&gt;&lt;key app="EN" db-id="2waps59xu5wrzcewwdvxa55jx9r9fxts2dx5" timestamp="1568358834"&gt;156&lt;/key&gt;&lt;/foreign-keys&gt;&lt;ref-type name="Journal Article"&gt;17&lt;/ref-type&gt;&lt;contributors&gt;&lt;authors&gt;&lt;author&gt;P. Emsley&lt;/author&gt;&lt;author&gt;B. Lohkamp&lt;/author&gt;&lt;author&gt;W. G. Scottc&lt;/author&gt;&lt;author&gt;K. Cowtan&lt;/author&gt;&lt;/authors&gt;&lt;/contributors&gt;&lt;titles&gt;&lt;title&gt;Features and development of Coot&lt;/title&gt;&lt;secondary-title&gt;Acta Cryst. D&lt;/secondary-title&gt;&lt;/titles&gt;&lt;periodical&gt;&lt;full-title&gt;Acta Cryst. D&lt;/full-title&gt;&lt;/periodical&gt;&lt;pages&gt;486–501&lt;/pages&gt;&lt;volume&gt;66&lt;/volume&gt;&lt;dates&gt;&lt;year&gt;2010&lt;/year&gt;&lt;/dates&gt;&lt;urls&gt;&lt;/urls&gt;&lt;/record&gt;&lt;/Cite&gt;&lt;/EndNote&gt;</w:instrText>
      </w:r>
      <w:r w:rsidRPr="00E43204">
        <w:fldChar w:fldCharType="separate"/>
      </w:r>
      <w:r w:rsidR="00903162" w:rsidRPr="00E43204">
        <w:rPr>
          <w:noProof/>
        </w:rPr>
        <w:t>(</w:t>
      </w:r>
      <w:hyperlink w:anchor="_ENREF_5" w:tooltip="Emsley, 2010 #156" w:history="1">
        <w:r w:rsidR="00E43204" w:rsidRPr="00E43204">
          <w:rPr>
            <w:noProof/>
          </w:rPr>
          <w:t>Emsley, Lohkamp, Scottc, &amp; Cowtan, 2010</w:t>
        </w:r>
      </w:hyperlink>
      <w:r w:rsidR="00903162" w:rsidRPr="00E43204">
        <w:rPr>
          <w:noProof/>
        </w:rPr>
        <w:t>)</w:t>
      </w:r>
      <w:r w:rsidRPr="00E43204">
        <w:fldChar w:fldCharType="end"/>
      </w:r>
      <w:r w:rsidRPr="00E43204">
        <w:t xml:space="preserve"> Was used for iterative model building  in the maps and with  alternate cycles of refinement and per residue analysis.  Water and ligand molecules were added via Coot and then manually fit into the electron density.  The refinement statistics are summarized in Table 4.</w:t>
      </w:r>
    </w:p>
    <w:p w:rsidR="000A365B" w:rsidRPr="00E43204" w:rsidRDefault="000A365B" w:rsidP="000A365B">
      <w:pPr>
        <w:pStyle w:val="IUCrheading2"/>
        <w:numPr>
          <w:ilvl w:val="0"/>
          <w:numId w:val="0"/>
        </w:numPr>
        <w:jc w:val="both"/>
        <w:textAlignment w:val="auto"/>
        <w:rPr>
          <w:rFonts w:ascii="Times New Roman" w:hAnsi="Times New Roman"/>
          <w:sz w:val="22"/>
        </w:rPr>
      </w:pPr>
      <w:r w:rsidRPr="00E43204">
        <w:rPr>
          <w:rFonts w:ascii="Times New Roman" w:hAnsi="Times New Roman"/>
          <w:sz w:val="22"/>
        </w:rPr>
        <w:t xml:space="preserve">Sequence comparison based on structural alignment </w:t>
      </w:r>
    </w:p>
    <w:p w:rsidR="000A365B" w:rsidRPr="00E43204" w:rsidRDefault="000A365B" w:rsidP="00CA78B9">
      <w:pPr>
        <w:pStyle w:val="IUCrbodytext"/>
        <w:jc w:val="both"/>
      </w:pPr>
      <w:r w:rsidRPr="00E43204">
        <w:lastRenderedPageBreak/>
        <w:t xml:space="preserve">T-Coffee Expresso </w:t>
      </w:r>
      <w:r w:rsidRPr="00E43204">
        <w:fldChar w:fldCharType="begin"/>
      </w:r>
      <w:r w:rsidR="00903162" w:rsidRPr="00E43204">
        <w:instrText xml:space="preserve"> ADDIN EN.CITE &lt;EndNote&gt;&lt;Cite&gt;&lt;Author&gt;Armougom&lt;/Author&gt;&lt;Year&gt;2006&lt;/Year&gt;&lt;RecNum&gt;157&lt;/RecNum&gt;&lt;DisplayText&gt;(Armougom et al., 2006)&lt;/DisplayText&gt;&lt;record&gt;&lt;rec-number&gt;157&lt;/rec-number&gt;&lt;foreign-keys&gt;&lt;key app="EN" db-id="2waps59xu5wrzcewwdvxa55jx9r9fxts2dx5" timestamp="1568359240"&gt;157&lt;/key&gt;&lt;/foreign-keys&gt;&lt;ref-type name="Journal Article"&gt;17&lt;/ref-type&gt;&lt;contributors&gt;&lt;authors&gt;&lt;author&gt;Fabrice Armougom&lt;/author&gt;&lt;author&gt;Sebastien Moretti&lt;/author&gt;&lt;author&gt;Olivier Poirot&lt;/author&gt;&lt;author&gt;Stephane Audic&lt;/author&gt;&lt;author&gt;Pierre Dumas&lt;/author&gt;&lt;author&gt;Basile Schaeli&lt;/author&gt;&lt;author&gt;Vladimir Keduas&lt;/author&gt;&lt;author&gt;Cedric Notredame&lt;/author&gt;&lt;/authors&gt;&lt;/contributors&gt;&lt;titles&gt;&lt;title&gt;Expresso: automatic incorporation of structural information in multiple sequence alignments using 3D-Coffee&lt;/title&gt;&lt;secondary-title&gt;Nucleic Acids Research&lt;/secondary-title&gt;&lt;/titles&gt;&lt;periodical&gt;&lt;full-title&gt;Nucleic Acids Research&lt;/full-title&gt;&lt;/periodical&gt;&lt;pages&gt;W604–W608&lt;/pages&gt;&lt;volume&gt;34&lt;/volume&gt;&lt;dates&gt;&lt;year&gt;2006&lt;/year&gt;&lt;/dates&gt;&lt;urls&gt;&lt;/urls&gt;&lt;/record&gt;&lt;/Cite&gt;&lt;/EndNote&gt;</w:instrText>
      </w:r>
      <w:r w:rsidRPr="00E43204">
        <w:fldChar w:fldCharType="separate"/>
      </w:r>
      <w:r w:rsidR="00903162" w:rsidRPr="00E43204">
        <w:rPr>
          <w:noProof/>
        </w:rPr>
        <w:t>(</w:t>
      </w:r>
      <w:hyperlink w:anchor="_ENREF_3" w:tooltip="Armougom, 2006 #157" w:history="1">
        <w:r w:rsidR="00E43204" w:rsidRPr="00E43204">
          <w:rPr>
            <w:noProof/>
          </w:rPr>
          <w:t>Armougom et al., 2006</w:t>
        </w:r>
      </w:hyperlink>
      <w:r w:rsidR="00903162" w:rsidRPr="00E43204">
        <w:rPr>
          <w:noProof/>
        </w:rPr>
        <w:t>)</w:t>
      </w:r>
      <w:r w:rsidRPr="00E43204">
        <w:fldChar w:fldCharType="end"/>
      </w:r>
      <w:r w:rsidRPr="00E43204">
        <w:t xml:space="preserve"> server performed the structure-based sequence alignment of several type 1 extradiol dioxygenases, and a figure for the same was generated using </w:t>
      </w:r>
      <w:proofErr w:type="spellStart"/>
      <w:r w:rsidRPr="00E43204">
        <w:t>ESPript</w:t>
      </w:r>
      <w:proofErr w:type="spellEnd"/>
      <w:r w:rsidRPr="00E43204">
        <w:t xml:space="preserve"> 3.  The </w:t>
      </w:r>
      <w:r w:rsidRPr="00E43204">
        <w:rPr>
          <w:i/>
        </w:rPr>
        <w:t>C23O64</w:t>
      </w:r>
      <w:r w:rsidRPr="00E43204">
        <w:t xml:space="preserve"> gene sequence identities with </w:t>
      </w:r>
      <w:proofErr w:type="spellStart"/>
      <w:r w:rsidRPr="00E43204">
        <w:t>metapyrocatechase</w:t>
      </w:r>
      <w:proofErr w:type="spellEnd"/>
      <w:r w:rsidRPr="00E43204">
        <w:t xml:space="preserve"> from </w:t>
      </w:r>
      <w:r w:rsidRPr="00E43204">
        <w:rPr>
          <w:i/>
        </w:rPr>
        <w:t>P</w:t>
      </w:r>
      <w:r w:rsidRPr="00E43204">
        <w:t xml:space="preserve">. </w:t>
      </w:r>
      <w:r w:rsidRPr="00E43204">
        <w:rPr>
          <w:i/>
        </w:rPr>
        <w:t>putida</w:t>
      </w:r>
      <w:r w:rsidRPr="00E43204">
        <w:t xml:space="preserve">, LapB from </w:t>
      </w:r>
      <w:r w:rsidRPr="00E43204">
        <w:rPr>
          <w:i/>
        </w:rPr>
        <w:t>Pseudomonas</w:t>
      </w:r>
      <w:r w:rsidRPr="00E43204">
        <w:t xml:space="preserve"> sp. KL28, HPCD from </w:t>
      </w:r>
      <w:r w:rsidRPr="00E43204">
        <w:rPr>
          <w:i/>
        </w:rPr>
        <w:t>B</w:t>
      </w:r>
      <w:r w:rsidRPr="00E43204">
        <w:t xml:space="preserve">. </w:t>
      </w:r>
      <w:r w:rsidRPr="00E43204">
        <w:rPr>
          <w:i/>
        </w:rPr>
        <w:t>fuscum</w:t>
      </w:r>
      <w:r w:rsidRPr="00E43204">
        <w:t xml:space="preserve">, HPCD from A. </w:t>
      </w:r>
      <w:proofErr w:type="spellStart"/>
      <w:r w:rsidRPr="00E43204">
        <w:rPr>
          <w:i/>
        </w:rPr>
        <w:t>globiformis</w:t>
      </w:r>
      <w:proofErr w:type="spellEnd"/>
      <w:r w:rsidRPr="00E43204">
        <w:rPr>
          <w:i/>
        </w:rPr>
        <w:t>,</w:t>
      </w:r>
      <w:r w:rsidRPr="00E43204">
        <w:t xml:space="preserve"> and 2,3-DHBN from </w:t>
      </w:r>
      <w:proofErr w:type="spellStart"/>
      <w:r w:rsidRPr="00E43204">
        <w:rPr>
          <w:i/>
        </w:rPr>
        <w:t>Rhodococcus</w:t>
      </w:r>
      <w:proofErr w:type="spellEnd"/>
      <w:r w:rsidRPr="00E43204">
        <w:t xml:space="preserve"> sp. were observed. </w:t>
      </w:r>
    </w:p>
    <w:p w:rsidR="00AC4FCC" w:rsidRPr="00AC4FCC" w:rsidRDefault="0045164F" w:rsidP="00AC4FCC">
      <w:pPr>
        <w:spacing w:line="360" w:lineRule="auto"/>
        <w:jc w:val="both"/>
        <w:rPr>
          <w:rFonts w:ascii="Times New Roman" w:hAnsi="Times New Roman" w:cs="Times New Roman"/>
        </w:rPr>
      </w:pPr>
      <w:r w:rsidRPr="00E43204">
        <w:rPr>
          <w:rFonts w:ascii="Times New Roman" w:hAnsi="Times New Roman" w:cs="Times New Roman"/>
        </w:rPr>
        <w:t>The three crystals of C23O64 w</w:t>
      </w:r>
      <w:r w:rsidR="00C907BE" w:rsidRPr="00E43204">
        <w:rPr>
          <w:rFonts w:ascii="Times New Roman" w:hAnsi="Times New Roman" w:cs="Times New Roman"/>
        </w:rPr>
        <w:t>ere submitted to PDB and their</w:t>
      </w:r>
      <w:r w:rsidRPr="00E43204">
        <w:rPr>
          <w:rFonts w:ascii="Times New Roman" w:hAnsi="Times New Roman" w:cs="Times New Roman"/>
        </w:rPr>
        <w:t xml:space="preserve"> id for th</w:t>
      </w:r>
      <w:r w:rsidR="00C907BE" w:rsidRPr="00E43204">
        <w:rPr>
          <w:rFonts w:ascii="Times New Roman" w:hAnsi="Times New Roman" w:cs="Times New Roman"/>
        </w:rPr>
        <w:t>e substrate free crystal, 4-methylcatechol bound, and 3-fluorocatechol bound crystals were 5zsz, 5znh, 5zsx respectively.</w:t>
      </w:r>
    </w:p>
    <w:p w:rsidR="00C907BE" w:rsidRPr="00E43204" w:rsidRDefault="00C907BE" w:rsidP="0045164F">
      <w:pPr>
        <w:jc w:val="both"/>
        <w:rPr>
          <w:rFonts w:ascii="Times New Roman" w:hAnsi="Times New Roman" w:cs="Times New Roman"/>
          <w:b/>
          <w:sz w:val="24"/>
        </w:rPr>
      </w:pPr>
      <w:r w:rsidRPr="00E43204">
        <w:rPr>
          <w:rFonts w:ascii="Times New Roman" w:hAnsi="Times New Roman" w:cs="Times New Roman"/>
          <w:b/>
          <w:sz w:val="24"/>
        </w:rPr>
        <w:t>Active site comparison</w:t>
      </w:r>
    </w:p>
    <w:p w:rsidR="00175EED" w:rsidRPr="00E43204" w:rsidRDefault="00C907BE" w:rsidP="00B24737">
      <w:pPr>
        <w:spacing w:line="360" w:lineRule="auto"/>
        <w:jc w:val="both"/>
        <w:rPr>
          <w:rFonts w:ascii="Times New Roman" w:hAnsi="Times New Roman" w:cs="Times New Roman"/>
        </w:rPr>
      </w:pPr>
      <w:r w:rsidRPr="00AC4FCC">
        <w:rPr>
          <w:rFonts w:ascii="Times New Roman" w:hAnsi="Times New Roman" w:cs="Times New Roman"/>
          <w:sz w:val="24"/>
        </w:rPr>
        <w:t xml:space="preserve">The active site of the three crystal structures were super-imposed using </w:t>
      </w:r>
      <w:proofErr w:type="spellStart"/>
      <w:r w:rsidRPr="00AC4FCC">
        <w:rPr>
          <w:rFonts w:ascii="Times New Roman" w:hAnsi="Times New Roman" w:cs="Times New Roman"/>
          <w:sz w:val="24"/>
        </w:rPr>
        <w:t>pymol</w:t>
      </w:r>
      <w:proofErr w:type="spellEnd"/>
      <w:r w:rsidRPr="00AC4FCC">
        <w:rPr>
          <w:rFonts w:ascii="Times New Roman" w:hAnsi="Times New Roman" w:cs="Times New Roman"/>
          <w:sz w:val="24"/>
        </w:rPr>
        <w:t xml:space="preserve"> software. </w:t>
      </w:r>
      <w:r w:rsidR="00DB0014" w:rsidRPr="00AC4FCC">
        <w:rPr>
          <w:rFonts w:ascii="Times New Roman" w:hAnsi="Times New Roman" w:cs="Times New Roman"/>
          <w:sz w:val="24"/>
        </w:rPr>
        <w:t>The comparison shown significant movement of the residues from substrate free to substrate bound structure.</w:t>
      </w:r>
    </w:p>
    <w:p w:rsidR="00175EED" w:rsidRPr="00E43204" w:rsidRDefault="00175EED" w:rsidP="00175EED">
      <w:pPr>
        <w:rPr>
          <w:rFonts w:ascii="Times New Roman" w:hAnsi="Times New Roman" w:cs="Times New Roman"/>
          <w:b/>
        </w:rPr>
      </w:pPr>
      <w:r w:rsidRPr="00E43204">
        <w:rPr>
          <w:rFonts w:ascii="Times New Roman" w:hAnsi="Times New Roman" w:cs="Times New Roman"/>
          <w:b/>
        </w:rPr>
        <w:t xml:space="preserve">Tetrameric assembly of C23O64 protein </w:t>
      </w:r>
    </w:p>
    <w:p w:rsidR="00175EED" w:rsidRPr="00E43204" w:rsidRDefault="00AC4FCC" w:rsidP="005315DC">
      <w:pPr>
        <w:jc w:val="center"/>
        <w:rPr>
          <w:rFonts w:ascii="Times New Roman" w:hAnsi="Times New Roman" w:cs="Times New Roman"/>
          <w:b/>
        </w:rPr>
      </w:pPr>
      <w:r>
        <w:rPr>
          <w:rFonts w:ascii="Times New Roman" w:hAnsi="Times New Roman" w:cs="Times New Roman"/>
          <w:b/>
          <w:noProof/>
        </w:rPr>
        <w:drawing>
          <wp:inline distT="0" distB="0" distL="0" distR="0">
            <wp:extent cx="3609975" cy="357449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_figS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3739" cy="3578219"/>
                    </a:xfrm>
                    <a:prstGeom prst="rect">
                      <a:avLst/>
                    </a:prstGeom>
                  </pic:spPr>
                </pic:pic>
              </a:graphicData>
            </a:graphic>
          </wp:inline>
        </w:drawing>
      </w:r>
    </w:p>
    <w:p w:rsidR="00DB0014" w:rsidRPr="00E43204" w:rsidRDefault="001542D8" w:rsidP="0055657D">
      <w:pPr>
        <w:jc w:val="both"/>
        <w:rPr>
          <w:rFonts w:ascii="Times New Roman" w:hAnsi="Times New Roman" w:cs="Times New Roman"/>
        </w:rPr>
      </w:pPr>
      <w:r w:rsidRPr="00E43204">
        <w:rPr>
          <w:rFonts w:ascii="Times New Roman" w:hAnsi="Times New Roman" w:cs="Times New Roman"/>
          <w:b/>
        </w:rPr>
        <w:t>Fig S</w:t>
      </w:r>
      <w:r w:rsidR="00B24737">
        <w:rPr>
          <w:rFonts w:ascii="Times New Roman" w:hAnsi="Times New Roman" w:cs="Times New Roman"/>
          <w:b/>
        </w:rPr>
        <w:t>2</w:t>
      </w:r>
      <w:r w:rsidR="00DB0014" w:rsidRPr="00E43204">
        <w:rPr>
          <w:rFonts w:ascii="Times New Roman" w:hAnsi="Times New Roman" w:cs="Times New Roman"/>
          <w:b/>
        </w:rPr>
        <w:t>-</w:t>
      </w:r>
      <w:r w:rsidR="00DB0014" w:rsidRPr="00E43204">
        <w:rPr>
          <w:rFonts w:ascii="Times New Roman" w:hAnsi="Times New Roman" w:cs="Times New Roman"/>
        </w:rPr>
        <w:t xml:space="preserve"> Showing tetrameric assembly of 3-fluorocatechol bound C23O64 protein the orientation of the substrate shows their orientation</w:t>
      </w:r>
      <w:r w:rsidR="00190B74" w:rsidRPr="00E43204">
        <w:rPr>
          <w:rFonts w:ascii="Times New Roman" w:hAnsi="Times New Roman" w:cs="Times New Roman"/>
        </w:rPr>
        <w:t xml:space="preserve"> with respect to each other</w:t>
      </w:r>
      <w:r w:rsidRPr="00E43204">
        <w:rPr>
          <w:rFonts w:ascii="Times New Roman" w:hAnsi="Times New Roman" w:cs="Times New Roman"/>
        </w:rPr>
        <w:t xml:space="preserve">. This figure was made using </w:t>
      </w:r>
      <w:proofErr w:type="spellStart"/>
      <w:r w:rsidRPr="00E43204">
        <w:rPr>
          <w:rFonts w:ascii="Times New Roman" w:hAnsi="Times New Roman" w:cs="Times New Roman"/>
        </w:rPr>
        <w:t>pymol</w:t>
      </w:r>
      <w:proofErr w:type="spellEnd"/>
      <w:r w:rsidRPr="00E43204">
        <w:rPr>
          <w:rFonts w:ascii="Times New Roman" w:hAnsi="Times New Roman" w:cs="Times New Roman"/>
        </w:rPr>
        <w:t>.</w:t>
      </w:r>
    </w:p>
    <w:p w:rsidR="00B24737" w:rsidRPr="00AC4FCC" w:rsidRDefault="00B24737" w:rsidP="00B24737">
      <w:pPr>
        <w:spacing w:line="360" w:lineRule="auto"/>
        <w:jc w:val="both"/>
        <w:rPr>
          <w:rFonts w:ascii="Times New Roman" w:hAnsi="Times New Roman" w:cs="Times New Roman"/>
          <w:sz w:val="24"/>
        </w:rPr>
      </w:pPr>
    </w:p>
    <w:p w:rsidR="00B24737" w:rsidRPr="00E43204" w:rsidRDefault="00B24737" w:rsidP="00B24737">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BC2AE39" wp14:editId="36A285F1">
            <wp:extent cx="3143250" cy="3529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_figS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5387" cy="3531839"/>
                    </a:xfrm>
                    <a:prstGeom prst="rect">
                      <a:avLst/>
                    </a:prstGeom>
                  </pic:spPr>
                </pic:pic>
              </a:graphicData>
            </a:graphic>
          </wp:inline>
        </w:drawing>
      </w:r>
    </w:p>
    <w:p w:rsidR="00B24737" w:rsidRPr="00E43204" w:rsidRDefault="00B24737" w:rsidP="00B24737">
      <w:pPr>
        <w:rPr>
          <w:rFonts w:ascii="Times New Roman" w:hAnsi="Times New Roman" w:cs="Times New Roman"/>
        </w:rPr>
      </w:pPr>
      <w:r w:rsidRPr="00E43204">
        <w:rPr>
          <w:rFonts w:ascii="Times New Roman" w:hAnsi="Times New Roman" w:cs="Times New Roman"/>
          <w:b/>
        </w:rPr>
        <w:t>Fig S</w:t>
      </w:r>
      <w:r>
        <w:rPr>
          <w:rFonts w:ascii="Times New Roman" w:hAnsi="Times New Roman" w:cs="Times New Roman"/>
          <w:b/>
        </w:rPr>
        <w:t>3</w:t>
      </w:r>
      <w:r w:rsidRPr="00E43204">
        <w:rPr>
          <w:rFonts w:ascii="Times New Roman" w:hAnsi="Times New Roman" w:cs="Times New Roman"/>
        </w:rPr>
        <w:t xml:space="preserve">- Showing active site pocket of purple: substrate free, green: 4-methylcatechol bound and cyan: 3-fluorocatechol bound crystal structure of C23O64. The figure was made using </w:t>
      </w:r>
      <w:proofErr w:type="spellStart"/>
      <w:r w:rsidRPr="00E43204">
        <w:rPr>
          <w:rFonts w:ascii="Times New Roman" w:hAnsi="Times New Roman" w:cs="Times New Roman"/>
        </w:rPr>
        <w:t>pymol</w:t>
      </w:r>
      <w:proofErr w:type="spellEnd"/>
      <w:r w:rsidRPr="00E43204">
        <w:rPr>
          <w:rFonts w:ascii="Times New Roman" w:hAnsi="Times New Roman" w:cs="Times New Roman"/>
        </w:rPr>
        <w:t>.</w:t>
      </w:r>
    </w:p>
    <w:p w:rsidR="00903162" w:rsidRPr="00E43204" w:rsidRDefault="00903162" w:rsidP="00B24737">
      <w:pPr>
        <w:rPr>
          <w:rFonts w:ascii="Times New Roman" w:hAnsi="Times New Roman" w:cs="Times New Roman"/>
          <w:b/>
        </w:rPr>
      </w:pPr>
      <w:bookmarkStart w:id="0" w:name="_GoBack"/>
      <w:bookmarkEnd w:id="0"/>
    </w:p>
    <w:p w:rsidR="00903162" w:rsidRPr="00E43204" w:rsidRDefault="00903162" w:rsidP="005315DC">
      <w:pPr>
        <w:jc w:val="center"/>
        <w:rPr>
          <w:rFonts w:ascii="Times New Roman" w:hAnsi="Times New Roman" w:cs="Times New Roman"/>
          <w:b/>
        </w:rPr>
      </w:pPr>
    </w:p>
    <w:p w:rsidR="00E43204" w:rsidRPr="00E43204" w:rsidRDefault="00903162" w:rsidP="00E43204">
      <w:pPr>
        <w:pStyle w:val="EndNoteBibliography"/>
        <w:spacing w:after="0"/>
        <w:ind w:left="720" w:hanging="720"/>
        <w:jc w:val="both"/>
        <w:rPr>
          <w:rFonts w:ascii="Times New Roman" w:hAnsi="Times New Roman" w:cs="Times New Roman"/>
        </w:rPr>
      </w:pPr>
      <w:r w:rsidRPr="00E43204">
        <w:rPr>
          <w:rFonts w:ascii="Times New Roman" w:hAnsi="Times New Roman" w:cs="Times New Roman"/>
          <w:b/>
        </w:rPr>
        <w:fldChar w:fldCharType="begin"/>
      </w:r>
      <w:r w:rsidRPr="00E43204">
        <w:rPr>
          <w:rFonts w:ascii="Times New Roman" w:hAnsi="Times New Roman" w:cs="Times New Roman"/>
          <w:b/>
        </w:rPr>
        <w:instrText xml:space="preserve"> ADDIN EN.REFLIST </w:instrText>
      </w:r>
      <w:r w:rsidRPr="00E43204">
        <w:rPr>
          <w:rFonts w:ascii="Times New Roman" w:hAnsi="Times New Roman" w:cs="Times New Roman"/>
          <w:b/>
        </w:rPr>
        <w:fldChar w:fldCharType="separate"/>
      </w:r>
      <w:bookmarkStart w:id="1" w:name="_ENREF_1"/>
      <w:r w:rsidR="00E43204" w:rsidRPr="00E43204">
        <w:rPr>
          <w:rFonts w:ascii="Times New Roman" w:hAnsi="Times New Roman" w:cs="Times New Roman"/>
        </w:rPr>
        <w:t xml:space="preserve">Adams, P. D., Afonine, P. V., Bunko´czi, G. b., Chen, V. B., Davis, I. W., Echols, N., . . . Zwarta, P. H. (2010). PHENIX: a comprehensive Python-based system for macromolecular structure solution. </w:t>
      </w:r>
      <w:r w:rsidR="00E43204" w:rsidRPr="00E43204">
        <w:rPr>
          <w:rFonts w:ascii="Times New Roman" w:hAnsi="Times New Roman" w:cs="Times New Roman"/>
          <w:i/>
        </w:rPr>
        <w:t xml:space="preserve">Acta Cryst. D, D66 </w:t>
      </w:r>
      <w:r w:rsidR="00E43204" w:rsidRPr="00E43204">
        <w:rPr>
          <w:rFonts w:ascii="Times New Roman" w:hAnsi="Times New Roman" w:cs="Times New Roman"/>
        </w:rPr>
        <w:t xml:space="preserve">213–221. </w:t>
      </w:r>
      <w:bookmarkEnd w:id="1"/>
    </w:p>
    <w:p w:rsidR="00E43204" w:rsidRPr="00E43204" w:rsidRDefault="00E43204" w:rsidP="00E43204">
      <w:pPr>
        <w:pStyle w:val="EndNoteBibliography"/>
        <w:spacing w:after="0"/>
        <w:ind w:left="720" w:hanging="720"/>
        <w:jc w:val="both"/>
        <w:rPr>
          <w:rFonts w:ascii="Times New Roman" w:hAnsi="Times New Roman" w:cs="Times New Roman"/>
        </w:rPr>
      </w:pPr>
      <w:bookmarkStart w:id="2" w:name="_ENREF_2"/>
      <w:r w:rsidRPr="00E43204">
        <w:rPr>
          <w:rFonts w:ascii="Times New Roman" w:hAnsi="Times New Roman" w:cs="Times New Roman"/>
        </w:rPr>
        <w:t xml:space="preserve">Afonine, P. V., W, R., Grosse-Kunstleve, Echols, N., Headd, J. J., Moriarty, N. W., . . . Adams, P. D. (2012). Towards automated crystallographic structure refinement with phenix.refine. </w:t>
      </w:r>
      <w:r w:rsidRPr="00E43204">
        <w:rPr>
          <w:rFonts w:ascii="Times New Roman" w:hAnsi="Times New Roman" w:cs="Times New Roman"/>
          <w:i/>
        </w:rPr>
        <w:t>Acta Cryst. D, D68</w:t>
      </w:r>
      <w:r w:rsidRPr="00E43204">
        <w:rPr>
          <w:rFonts w:ascii="Times New Roman" w:hAnsi="Times New Roman" w:cs="Times New Roman"/>
        </w:rPr>
        <w:t xml:space="preserve">, 352-367. </w:t>
      </w:r>
      <w:bookmarkEnd w:id="2"/>
    </w:p>
    <w:p w:rsidR="00E43204" w:rsidRPr="00E43204" w:rsidRDefault="00E43204" w:rsidP="00E43204">
      <w:pPr>
        <w:pStyle w:val="EndNoteBibliography"/>
        <w:spacing w:after="0"/>
        <w:ind w:left="720" w:hanging="720"/>
        <w:jc w:val="both"/>
        <w:rPr>
          <w:rFonts w:ascii="Times New Roman" w:hAnsi="Times New Roman" w:cs="Times New Roman"/>
        </w:rPr>
      </w:pPr>
      <w:bookmarkStart w:id="3" w:name="_ENREF_3"/>
      <w:r w:rsidRPr="00E43204">
        <w:rPr>
          <w:rFonts w:ascii="Times New Roman" w:hAnsi="Times New Roman" w:cs="Times New Roman"/>
        </w:rPr>
        <w:t xml:space="preserve">Armougom, F., Moretti, S., Poirot, O., Audic, S., Dumas, P., Schaeli, B., . . . Notredame, C. (2006). Expresso: automatic incorporation of structural information in multiple sequence alignments using 3D-Coffee. </w:t>
      </w:r>
      <w:r w:rsidRPr="00E43204">
        <w:rPr>
          <w:rFonts w:ascii="Times New Roman" w:hAnsi="Times New Roman" w:cs="Times New Roman"/>
          <w:i/>
        </w:rPr>
        <w:t>Nucleic Acids Research, 34</w:t>
      </w:r>
      <w:r w:rsidRPr="00E43204">
        <w:rPr>
          <w:rFonts w:ascii="Times New Roman" w:hAnsi="Times New Roman" w:cs="Times New Roman"/>
        </w:rPr>
        <w:t xml:space="preserve">, W604–W608. </w:t>
      </w:r>
      <w:bookmarkEnd w:id="3"/>
    </w:p>
    <w:p w:rsidR="00E43204" w:rsidRPr="00E43204" w:rsidRDefault="00E43204" w:rsidP="00E43204">
      <w:pPr>
        <w:pStyle w:val="EndNoteBibliography"/>
        <w:spacing w:after="0"/>
        <w:ind w:left="720" w:hanging="720"/>
        <w:jc w:val="both"/>
        <w:rPr>
          <w:rFonts w:ascii="Times New Roman" w:hAnsi="Times New Roman" w:cs="Times New Roman"/>
        </w:rPr>
      </w:pPr>
      <w:bookmarkStart w:id="4" w:name="_ENREF_4"/>
      <w:r w:rsidRPr="00E43204">
        <w:rPr>
          <w:rFonts w:ascii="Times New Roman" w:hAnsi="Times New Roman" w:cs="Times New Roman"/>
        </w:rPr>
        <w:t xml:space="preserve">Cho, J.-H., Jung, D.-K., Lee, K., &amp; Rhee, S. (2009). Crystal Structure and Functional Analysis of the Extradiol Dioxygenase LapB from a Long-chain Alkylphenol Degradation Pathway in Pseudomonas. </w:t>
      </w:r>
      <w:r w:rsidRPr="00E43204">
        <w:rPr>
          <w:rFonts w:ascii="Times New Roman" w:hAnsi="Times New Roman" w:cs="Times New Roman"/>
          <w:i/>
        </w:rPr>
        <w:t>J Biol Chem., 284</w:t>
      </w:r>
      <w:r w:rsidRPr="00E43204">
        <w:rPr>
          <w:rFonts w:ascii="Times New Roman" w:hAnsi="Times New Roman" w:cs="Times New Roman"/>
        </w:rPr>
        <w:t xml:space="preserve">, 34321-34330. </w:t>
      </w:r>
      <w:bookmarkEnd w:id="4"/>
    </w:p>
    <w:p w:rsidR="00E43204" w:rsidRPr="00E43204" w:rsidRDefault="00E43204" w:rsidP="00E43204">
      <w:pPr>
        <w:pStyle w:val="EndNoteBibliography"/>
        <w:spacing w:after="0"/>
        <w:ind w:left="720" w:hanging="720"/>
        <w:jc w:val="both"/>
        <w:rPr>
          <w:rFonts w:ascii="Times New Roman" w:hAnsi="Times New Roman" w:cs="Times New Roman"/>
        </w:rPr>
      </w:pPr>
      <w:bookmarkStart w:id="5" w:name="_ENREF_5"/>
      <w:r w:rsidRPr="00E43204">
        <w:rPr>
          <w:rFonts w:ascii="Times New Roman" w:hAnsi="Times New Roman" w:cs="Times New Roman"/>
        </w:rPr>
        <w:t xml:space="preserve">Emsley, P., Lohkamp, B., Scottc, W. G., &amp; Cowtan, K. (2010). Features and development of Coot. </w:t>
      </w:r>
      <w:r w:rsidRPr="00E43204">
        <w:rPr>
          <w:rFonts w:ascii="Times New Roman" w:hAnsi="Times New Roman" w:cs="Times New Roman"/>
          <w:i/>
        </w:rPr>
        <w:t>Acta Cryst. D, 66</w:t>
      </w:r>
      <w:r w:rsidRPr="00E43204">
        <w:rPr>
          <w:rFonts w:ascii="Times New Roman" w:hAnsi="Times New Roman" w:cs="Times New Roman"/>
        </w:rPr>
        <w:t xml:space="preserve">, 486–501. </w:t>
      </w:r>
      <w:bookmarkEnd w:id="5"/>
    </w:p>
    <w:p w:rsidR="00E43204" w:rsidRPr="00E43204" w:rsidRDefault="00E43204" w:rsidP="00E43204">
      <w:pPr>
        <w:pStyle w:val="EndNoteBibliography"/>
        <w:spacing w:after="0"/>
        <w:ind w:left="720" w:hanging="720"/>
        <w:jc w:val="both"/>
        <w:rPr>
          <w:rFonts w:ascii="Times New Roman" w:hAnsi="Times New Roman" w:cs="Times New Roman"/>
        </w:rPr>
      </w:pPr>
      <w:bookmarkStart w:id="6" w:name="_ENREF_6"/>
      <w:r w:rsidRPr="00E43204">
        <w:rPr>
          <w:rFonts w:ascii="Times New Roman" w:hAnsi="Times New Roman" w:cs="Times New Roman"/>
        </w:rPr>
        <w:t xml:space="preserve">Evans, P. R., &amp; Murshudov, G. N. (2013). How good are my data and what is the resolution? </w:t>
      </w:r>
      <w:r w:rsidRPr="00E43204">
        <w:rPr>
          <w:rFonts w:ascii="Times New Roman" w:hAnsi="Times New Roman" w:cs="Times New Roman"/>
          <w:i/>
        </w:rPr>
        <w:t>Acta Cryst. D, 69</w:t>
      </w:r>
      <w:r w:rsidRPr="00E43204">
        <w:rPr>
          <w:rFonts w:ascii="Times New Roman" w:hAnsi="Times New Roman" w:cs="Times New Roman"/>
        </w:rPr>
        <w:t xml:space="preserve">, 1204–1214. </w:t>
      </w:r>
      <w:bookmarkEnd w:id="6"/>
    </w:p>
    <w:p w:rsidR="00E43204" w:rsidRPr="00E43204" w:rsidRDefault="00E43204" w:rsidP="00E43204">
      <w:pPr>
        <w:pStyle w:val="EndNoteBibliography"/>
        <w:spacing w:after="0"/>
        <w:ind w:left="720" w:hanging="720"/>
        <w:jc w:val="both"/>
        <w:rPr>
          <w:rFonts w:ascii="Times New Roman" w:hAnsi="Times New Roman" w:cs="Times New Roman"/>
        </w:rPr>
      </w:pPr>
      <w:bookmarkStart w:id="7" w:name="_ENREF_7"/>
      <w:r w:rsidRPr="00E43204">
        <w:rPr>
          <w:rFonts w:ascii="Times New Roman" w:hAnsi="Times New Roman" w:cs="Times New Roman"/>
        </w:rPr>
        <w:t xml:space="preserve">Kabsch, W. (2010). Integration, scaling, space-group assignment and post-refinement. </w:t>
      </w:r>
      <w:r w:rsidRPr="00E43204">
        <w:rPr>
          <w:rFonts w:ascii="Times New Roman" w:hAnsi="Times New Roman" w:cs="Times New Roman"/>
          <w:i/>
        </w:rPr>
        <w:t>Acta Cryst. D, 66</w:t>
      </w:r>
      <w:r w:rsidRPr="00E43204">
        <w:rPr>
          <w:rFonts w:ascii="Times New Roman" w:hAnsi="Times New Roman" w:cs="Times New Roman"/>
        </w:rPr>
        <w:t xml:space="preserve">, 133–144. </w:t>
      </w:r>
      <w:bookmarkEnd w:id="7"/>
    </w:p>
    <w:p w:rsidR="00E43204" w:rsidRPr="00E43204" w:rsidRDefault="00E43204" w:rsidP="00E43204">
      <w:pPr>
        <w:pStyle w:val="EndNoteBibliography"/>
        <w:spacing w:after="0"/>
        <w:ind w:left="720" w:hanging="720"/>
        <w:jc w:val="both"/>
        <w:rPr>
          <w:rFonts w:ascii="Times New Roman" w:hAnsi="Times New Roman" w:cs="Times New Roman"/>
        </w:rPr>
      </w:pPr>
      <w:bookmarkStart w:id="8" w:name="_ENREF_8"/>
      <w:r w:rsidRPr="00E43204">
        <w:rPr>
          <w:rFonts w:ascii="Times New Roman" w:hAnsi="Times New Roman" w:cs="Times New Roman"/>
        </w:rPr>
        <w:t xml:space="preserve">Kantardjieff, K. A., &amp; Rupp, B. (2003). Matthews coefficient probabilities: Improved estimates for unit cell contents of proteins, DNA, and protein–nucleic acid complex crystals. </w:t>
      </w:r>
      <w:r w:rsidRPr="00E43204">
        <w:rPr>
          <w:rFonts w:ascii="Times New Roman" w:hAnsi="Times New Roman" w:cs="Times New Roman"/>
          <w:i/>
        </w:rPr>
        <w:t>Protein Science, 12</w:t>
      </w:r>
      <w:r w:rsidRPr="00E43204">
        <w:rPr>
          <w:rFonts w:ascii="Times New Roman" w:hAnsi="Times New Roman" w:cs="Times New Roman"/>
        </w:rPr>
        <w:t xml:space="preserve">, 1865–1871. </w:t>
      </w:r>
      <w:bookmarkEnd w:id="8"/>
    </w:p>
    <w:p w:rsidR="00E43204" w:rsidRPr="00E43204" w:rsidRDefault="00E43204" w:rsidP="00E43204">
      <w:pPr>
        <w:pStyle w:val="EndNoteBibliography"/>
        <w:spacing w:after="0"/>
        <w:ind w:left="720" w:hanging="720"/>
        <w:jc w:val="both"/>
        <w:rPr>
          <w:rFonts w:ascii="Times New Roman" w:hAnsi="Times New Roman" w:cs="Times New Roman"/>
        </w:rPr>
      </w:pPr>
      <w:bookmarkStart w:id="9" w:name="_ENREF_9"/>
      <w:r w:rsidRPr="00E43204">
        <w:rPr>
          <w:rFonts w:ascii="Times New Roman" w:hAnsi="Times New Roman" w:cs="Times New Roman"/>
        </w:rPr>
        <w:t xml:space="preserve">Matthews, B. W. (1968). Solvent Content of Protein Crystals. </w:t>
      </w:r>
      <w:r w:rsidRPr="00E43204">
        <w:rPr>
          <w:rFonts w:ascii="Times New Roman" w:hAnsi="Times New Roman" w:cs="Times New Roman"/>
          <w:i/>
        </w:rPr>
        <w:t>J. Mol. Biol., 33</w:t>
      </w:r>
      <w:r w:rsidRPr="00E43204">
        <w:rPr>
          <w:rFonts w:ascii="Times New Roman" w:hAnsi="Times New Roman" w:cs="Times New Roman"/>
        </w:rPr>
        <w:t xml:space="preserve">, 491-497. </w:t>
      </w:r>
      <w:bookmarkEnd w:id="9"/>
    </w:p>
    <w:p w:rsidR="00E43204" w:rsidRPr="00E43204" w:rsidRDefault="00E43204" w:rsidP="00E43204">
      <w:pPr>
        <w:pStyle w:val="EndNoteBibliography"/>
        <w:spacing w:after="0"/>
        <w:ind w:left="720" w:hanging="720"/>
        <w:jc w:val="both"/>
        <w:rPr>
          <w:rFonts w:ascii="Times New Roman" w:hAnsi="Times New Roman" w:cs="Times New Roman"/>
        </w:rPr>
      </w:pPr>
      <w:bookmarkStart w:id="10" w:name="_ENREF_10"/>
      <w:r w:rsidRPr="00E43204">
        <w:rPr>
          <w:rFonts w:ascii="Times New Roman" w:hAnsi="Times New Roman" w:cs="Times New Roman"/>
        </w:rPr>
        <w:lastRenderedPageBreak/>
        <w:t xml:space="preserve">McCoy, A. J., W, R., Grosse-Kunstleve, Adams, P. D., Winn, M. D., Storonia, L. C., &amp; Read, R. J. (2007). Phaser crystallographic software. </w:t>
      </w:r>
      <w:r w:rsidRPr="00E43204">
        <w:rPr>
          <w:rFonts w:ascii="Times New Roman" w:hAnsi="Times New Roman" w:cs="Times New Roman"/>
          <w:i/>
        </w:rPr>
        <w:t>J. Appl. Cryst., 40</w:t>
      </w:r>
      <w:r w:rsidRPr="00E43204">
        <w:rPr>
          <w:rFonts w:ascii="Times New Roman" w:hAnsi="Times New Roman" w:cs="Times New Roman"/>
        </w:rPr>
        <w:t xml:space="preserve">, 658–674. </w:t>
      </w:r>
      <w:bookmarkEnd w:id="10"/>
    </w:p>
    <w:p w:rsidR="00E43204" w:rsidRPr="00E43204" w:rsidRDefault="00E43204" w:rsidP="00E43204">
      <w:pPr>
        <w:pStyle w:val="EndNoteBibliography"/>
        <w:spacing w:after="0"/>
        <w:ind w:left="720" w:hanging="720"/>
        <w:jc w:val="both"/>
        <w:rPr>
          <w:rFonts w:ascii="Times New Roman" w:hAnsi="Times New Roman" w:cs="Times New Roman"/>
        </w:rPr>
      </w:pPr>
      <w:bookmarkStart w:id="11" w:name="_ENREF_11"/>
      <w:r w:rsidRPr="00E43204">
        <w:rPr>
          <w:rFonts w:ascii="Times New Roman" w:hAnsi="Times New Roman" w:cs="Times New Roman"/>
        </w:rPr>
        <w:t xml:space="preserve">Terwilliger, T. C., W., R., Grosse-Kunstleve, Afonine, P. V., Moriarty, N. W., Zwart, P. H., . . . Adams, P. D. (2008). Iterative model building, structure refinement and density modification with the PHENIX AutoBuild wizard. </w:t>
      </w:r>
      <w:r w:rsidRPr="00E43204">
        <w:rPr>
          <w:rFonts w:ascii="Times New Roman" w:hAnsi="Times New Roman" w:cs="Times New Roman"/>
          <w:i/>
        </w:rPr>
        <w:t>Acta Cryst. D, 64</w:t>
      </w:r>
      <w:r w:rsidRPr="00E43204">
        <w:rPr>
          <w:rFonts w:ascii="Times New Roman" w:hAnsi="Times New Roman" w:cs="Times New Roman"/>
        </w:rPr>
        <w:t xml:space="preserve">, 61–69. </w:t>
      </w:r>
      <w:bookmarkEnd w:id="11"/>
    </w:p>
    <w:p w:rsidR="00E43204" w:rsidRPr="00E43204" w:rsidRDefault="00E43204" w:rsidP="00E43204">
      <w:pPr>
        <w:pStyle w:val="EndNoteBibliography"/>
        <w:ind w:left="720" w:hanging="720"/>
        <w:jc w:val="both"/>
        <w:rPr>
          <w:rFonts w:ascii="Times New Roman" w:hAnsi="Times New Roman" w:cs="Times New Roman"/>
        </w:rPr>
      </w:pPr>
      <w:bookmarkStart w:id="12" w:name="_ENREF_12"/>
      <w:r w:rsidRPr="00E43204">
        <w:rPr>
          <w:rFonts w:ascii="Times New Roman" w:hAnsi="Times New Roman" w:cs="Times New Roman"/>
        </w:rPr>
        <w:t xml:space="preserve">Winn, M. D., C.vBallard, C., Cowtan, K. D., Dodson, E. J., Emsley, P., Evans, P. R., . . . Wilson, K. S. (2011). Overview of the CCP4 suite and current developments. </w:t>
      </w:r>
      <w:r w:rsidRPr="00E43204">
        <w:rPr>
          <w:rFonts w:ascii="Times New Roman" w:hAnsi="Times New Roman" w:cs="Times New Roman"/>
          <w:i/>
        </w:rPr>
        <w:t>Acta Cryst. D, D67</w:t>
      </w:r>
      <w:r w:rsidRPr="00E43204">
        <w:rPr>
          <w:rFonts w:ascii="Times New Roman" w:hAnsi="Times New Roman" w:cs="Times New Roman"/>
        </w:rPr>
        <w:t xml:space="preserve">, 235–242. </w:t>
      </w:r>
      <w:bookmarkEnd w:id="12"/>
    </w:p>
    <w:p w:rsidR="00DB0014" w:rsidRPr="00E43204" w:rsidRDefault="00903162" w:rsidP="00903162">
      <w:pPr>
        <w:jc w:val="both"/>
        <w:rPr>
          <w:rFonts w:ascii="Times New Roman" w:hAnsi="Times New Roman" w:cs="Times New Roman"/>
          <w:b/>
        </w:rPr>
      </w:pPr>
      <w:r w:rsidRPr="00E43204">
        <w:rPr>
          <w:rFonts w:ascii="Times New Roman" w:hAnsi="Times New Roman" w:cs="Times New Roman"/>
          <w:b/>
        </w:rPr>
        <w:fldChar w:fldCharType="end"/>
      </w:r>
    </w:p>
    <w:sectPr w:rsidR="00DB0014" w:rsidRPr="00E43204" w:rsidSect="00B24737">
      <w:footerReference w:type="even" r:id="rId11"/>
      <w:footerReference w:type="default" r:id="rId12"/>
      <w:pgSz w:w="12240" w:h="15840"/>
      <w:pgMar w:top="1440" w:right="1440" w:bottom="1440" w:left="1440" w:header="72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CF1" w:rsidRDefault="00C46CF1" w:rsidP="00B24737">
      <w:pPr>
        <w:spacing w:after="0" w:line="240" w:lineRule="auto"/>
      </w:pPr>
      <w:r>
        <w:separator/>
      </w:r>
    </w:p>
  </w:endnote>
  <w:endnote w:type="continuationSeparator" w:id="0">
    <w:p w:rsidR="00C46CF1" w:rsidRDefault="00C46CF1" w:rsidP="00B24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angal">
    <w:panose1 w:val="02040503050203030202"/>
    <w:charset w:val="01"/>
    <w:family w:val="roman"/>
    <w:pitch w:val="variable"/>
    <w:sig w:usb0="0000A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87233298"/>
      <w:docPartObj>
        <w:docPartGallery w:val="Page Numbers (Bottom of Page)"/>
        <w:docPartUnique/>
      </w:docPartObj>
    </w:sdtPr>
    <w:sdtContent>
      <w:p w:rsidR="00B24737" w:rsidRDefault="00B24737" w:rsidP="00F95C6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24737" w:rsidRDefault="00B247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5707764"/>
      <w:docPartObj>
        <w:docPartGallery w:val="Page Numbers (Bottom of Page)"/>
        <w:docPartUnique/>
      </w:docPartObj>
    </w:sdtPr>
    <w:sdtContent>
      <w:p w:rsidR="00B24737" w:rsidRDefault="00B24737" w:rsidP="00F95C6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rsidR="00B24737" w:rsidRDefault="00B247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CF1" w:rsidRDefault="00C46CF1" w:rsidP="00B24737">
      <w:pPr>
        <w:spacing w:after="0" w:line="240" w:lineRule="auto"/>
      </w:pPr>
      <w:r>
        <w:separator/>
      </w:r>
    </w:p>
  </w:footnote>
  <w:footnote w:type="continuationSeparator" w:id="0">
    <w:p w:rsidR="00C46CF1" w:rsidRDefault="00C46CF1" w:rsidP="00B247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91AE390"/>
    <w:lvl w:ilvl="0">
      <w:start w:val="1"/>
      <w:numFmt w:val="decimal"/>
      <w:pStyle w:val="IUCrheading1"/>
      <w:suff w:val="space"/>
      <w:lvlText w:val="%1."/>
      <w:lvlJc w:val="left"/>
      <w:rPr>
        <w:rFonts w:hint="default"/>
      </w:rPr>
    </w:lvl>
    <w:lvl w:ilvl="1">
      <w:start w:val="1"/>
      <w:numFmt w:val="decimal"/>
      <w:pStyle w:val="IUCrheading2"/>
      <w:suff w:val="space"/>
      <w:lvlText w:val="%1.%2."/>
      <w:lvlJc w:val="left"/>
      <w:rPr>
        <w:rFonts w:hint="default"/>
      </w:rPr>
    </w:lvl>
    <w:lvl w:ilvl="2">
      <w:start w:val="1"/>
      <w:numFmt w:val="decimal"/>
      <w:pStyle w:val="IUCrheading3"/>
      <w:suff w:val="space"/>
      <w:lvlText w:val="%1.%2.%3."/>
      <w:lvlJc w:val="left"/>
      <w:rPr>
        <w:rFonts w:hint="default"/>
      </w:rPr>
    </w:lvl>
    <w:lvl w:ilvl="3">
      <w:start w:val="1"/>
      <w:numFmt w:val="decimal"/>
      <w:lvlText w:val="%1.%2.%3.%4"/>
      <w:lvlJc w:val="left"/>
      <w:pPr>
        <w:tabs>
          <w:tab w:val="num" w:pos="0"/>
        </w:tabs>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1" w15:restartNumberingAfterBreak="0">
    <w:nsid w:val="64B3704D"/>
    <w:multiLevelType w:val="singleLevel"/>
    <w:tmpl w:val="6B58AD02"/>
    <w:lvl w:ilvl="0">
      <w:start w:val="1"/>
      <w:numFmt w:val="decimal"/>
      <w:pStyle w:val="IUCrtablecaption"/>
      <w:lvlText w:val="Table %1"/>
      <w:lvlJc w:val="left"/>
      <w:pPr>
        <w:tabs>
          <w:tab w:val="num" w:pos="1440"/>
        </w:tabs>
        <w:ind w:left="0" w:firstLine="0"/>
      </w:pPr>
      <w:rPr>
        <w:rFonts w:ascii="Arial" w:hAnsi="Arial" w:cs="Times New Roman" w:hint="default"/>
        <w:b/>
        <w:i w:val="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waps59xu5wrzcewwdvxa55jx9r9fxts2dx5&quot;&gt;gesty&lt;record-ids&gt;&lt;item&gt;53&lt;/item&gt;&lt;item&gt;100&lt;/item&gt;&lt;item&gt;154&lt;/item&gt;&lt;item&gt;155&lt;/item&gt;&lt;item&gt;156&lt;/item&gt;&lt;item&gt;157&lt;/item&gt;&lt;item&gt;158&lt;/item&gt;&lt;item&gt;159&lt;/item&gt;&lt;item&gt;160&lt;/item&gt;&lt;item&gt;161&lt;/item&gt;&lt;item&gt;162&lt;/item&gt;&lt;item&gt;163&lt;/item&gt;&lt;/record-ids&gt;&lt;/item&gt;&lt;/Libraries&gt;"/>
    <w:docVar w:name="iucrauthors" w:val="&lt;iucr:authors xmlns:iucr=&quot;http://www.iucr.org/publauthors&quot; &gt;&lt;author&gt;&lt;title&gt;&lt;/title&gt;&lt;prefix&gt;&lt;/prefix&gt;&lt;forename&gt;&lt;/forename&gt;&lt;surname&gt;&lt;/surname&gt;&lt;suffix&gt;&lt;/suffix&gt;&lt;email&gt;&lt;/email&gt;&lt;corrauthor&gt;&lt;/corrauthor&gt;&lt;contactauthor&gt;&lt;/contactauthor&gt;&lt;note&gt;&lt;/note&gt;&lt;iucrid&gt;&lt;/iucrid&gt;&lt;addrid&gt;0&lt;/addrid&gt;&lt;/author&gt;&lt;/authors&gt;"/>
    <w:docVar w:name="iucrdocument" w:val="&lt;?xml version=&quot;1.0&quot; encoding=&quot;utf-8&quot; ?&gt;&lt;iucr:document xmlns:iucr=&quot;http://www.iucr.org/publdocument&quot;&gt;&lt;title&gt;Supplementary informations&lt;/title&gt;&lt;iucr:authors xmlns:iucr=&quot;http://www.iucr.org/publauthors&quot; &gt;&lt;author&gt;&lt;title&gt;&lt;/title&gt;&lt;prefix&gt;&lt;/prefix&gt;&lt;forename&gt;&lt;/forename&gt;&lt;surname&gt;&lt;/surname&gt;&lt;suffix&gt;&lt;/suffix&gt;&lt;email&gt;&lt;/email&gt;&lt;corrauthor&gt;&lt;/corrauthor&gt;&lt;contactauthor&gt;&lt;/contactauthor&gt;&lt;note&gt;&lt;/note&gt;&lt;iucrid&gt;&lt;/iucrid&gt;&lt;addrid&gt;0&lt;/addrid&gt;&lt;/author&gt;&lt;/authors&gt;&lt;keywords&gt;Supplementary informations&lt;/keywords&gt;&lt;synopsis&gt;Supplementary informations&lt;/synopsis&gt;&lt;abstract&gt;Supplementary informations&lt;/abstract&gt;&lt;titleHtml&gt;&lt;![CDATA[ Supplementary informations ]]&gt;&lt;/titleHtml&gt;&lt;synopsisHtml&gt;&lt;![CDATA[ Supplementary informations ]]&gt;&lt;/synopsisHtml&gt;&lt;abstractHtml&gt;&lt;![CDATA[ Supplementary informations ]]&gt;&lt;/abstractHtml&gt;&lt;/iucr:document&gt;"/>
  </w:docVars>
  <w:rsids>
    <w:rsidRoot w:val="0045164F"/>
    <w:rsid w:val="000A365B"/>
    <w:rsid w:val="001542D8"/>
    <w:rsid w:val="00175EED"/>
    <w:rsid w:val="00190B74"/>
    <w:rsid w:val="002A566E"/>
    <w:rsid w:val="00427AA5"/>
    <w:rsid w:val="0045164F"/>
    <w:rsid w:val="005315DC"/>
    <w:rsid w:val="0055657D"/>
    <w:rsid w:val="00667CA5"/>
    <w:rsid w:val="007A47E6"/>
    <w:rsid w:val="00860037"/>
    <w:rsid w:val="00903162"/>
    <w:rsid w:val="00AC4FCC"/>
    <w:rsid w:val="00B24737"/>
    <w:rsid w:val="00BB265F"/>
    <w:rsid w:val="00C46CF1"/>
    <w:rsid w:val="00C907BE"/>
    <w:rsid w:val="00CA78B9"/>
    <w:rsid w:val="00DB0014"/>
    <w:rsid w:val="00E43204"/>
    <w:rsid w:val="00F7292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E1961"/>
  <w15:chartTrackingRefBased/>
  <w15:docId w15:val="{0B347D21-DDC5-4102-AD66-0FCC747F6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UCrbodytext">
    <w:name w:val="IUCr body text"/>
    <w:basedOn w:val="BodyText"/>
    <w:link w:val="IUCrbodytextChar"/>
    <w:qFormat/>
    <w:rsid w:val="000A365B"/>
    <w:pPr>
      <w:spacing w:line="360" w:lineRule="auto"/>
    </w:pPr>
    <w:rPr>
      <w:rFonts w:ascii="Times New Roman" w:eastAsia="Times New Roman" w:hAnsi="Times New Roman" w:cs="Times New Roman"/>
      <w:szCs w:val="24"/>
      <w:lang w:val="en-GB"/>
    </w:rPr>
  </w:style>
  <w:style w:type="paragraph" w:customStyle="1" w:styleId="IUCrheading1">
    <w:name w:val="IUCr heading 1"/>
    <w:next w:val="IUCrbodytext"/>
    <w:qFormat/>
    <w:rsid w:val="000A365B"/>
    <w:pPr>
      <w:numPr>
        <w:numId w:val="1"/>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val="en-GB"/>
    </w:rPr>
  </w:style>
  <w:style w:type="paragraph" w:customStyle="1" w:styleId="IUCrheading2">
    <w:name w:val="IUCr heading 2"/>
    <w:next w:val="IUCrbodytext"/>
    <w:qFormat/>
    <w:rsid w:val="000A365B"/>
    <w:pPr>
      <w:numPr>
        <w:ilvl w:val="1"/>
        <w:numId w:val="1"/>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val="en-GB"/>
    </w:rPr>
  </w:style>
  <w:style w:type="paragraph" w:customStyle="1" w:styleId="IUCrheading3">
    <w:name w:val="IUCr heading 3"/>
    <w:next w:val="IUCrbodytext"/>
    <w:qFormat/>
    <w:rsid w:val="000A365B"/>
    <w:pPr>
      <w:numPr>
        <w:ilvl w:val="2"/>
        <w:numId w:val="1"/>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val="en-GB"/>
    </w:rPr>
  </w:style>
  <w:style w:type="paragraph" w:customStyle="1" w:styleId="IUCrtableheadnote">
    <w:name w:val="IUCr table headnote"/>
    <w:basedOn w:val="IUCrtabletext"/>
    <w:next w:val="IUCrtabletext"/>
    <w:link w:val="IUCrtableheadnoteChar"/>
    <w:qFormat/>
    <w:rsid w:val="000A365B"/>
  </w:style>
  <w:style w:type="character" w:customStyle="1" w:styleId="IUCrtableheadnoteChar">
    <w:name w:val="IUCr table headnote Char"/>
    <w:basedOn w:val="IUCrtabletextChar"/>
    <w:link w:val="IUCrtableheadnote"/>
    <w:rsid w:val="000A365B"/>
    <w:rPr>
      <w:rFonts w:ascii="Times New Roman" w:eastAsia="Times New Roman" w:hAnsi="Times New Roman" w:cs="Times New Roman"/>
      <w:sz w:val="20"/>
      <w:szCs w:val="24"/>
      <w:lang w:val="en-GB"/>
    </w:rPr>
  </w:style>
  <w:style w:type="paragraph" w:customStyle="1" w:styleId="IUCrtablecaption">
    <w:name w:val="IUCr table caption"/>
    <w:next w:val="Normal"/>
    <w:qFormat/>
    <w:rsid w:val="000A365B"/>
    <w:pPr>
      <w:numPr>
        <w:numId w:val="2"/>
      </w:numPr>
      <w:tabs>
        <w:tab w:val="left" w:pos="964"/>
      </w:tabs>
      <w:spacing w:before="240" w:after="120" w:line="360" w:lineRule="auto"/>
    </w:pPr>
    <w:rPr>
      <w:rFonts w:ascii="Times New Roman" w:eastAsia="Times New Roman" w:hAnsi="Times New Roman" w:cs="Times New Roman"/>
      <w:szCs w:val="20"/>
      <w:lang w:val="en-GB"/>
    </w:rPr>
  </w:style>
  <w:style w:type="character" w:customStyle="1" w:styleId="IUCrbodytextChar">
    <w:name w:val="IUCr body text Char"/>
    <w:basedOn w:val="BodyTextChar"/>
    <w:link w:val="IUCrbodytext"/>
    <w:rsid w:val="000A365B"/>
    <w:rPr>
      <w:rFonts w:ascii="Times New Roman" w:eastAsia="Times New Roman" w:hAnsi="Times New Roman" w:cs="Times New Roman"/>
      <w:szCs w:val="24"/>
      <w:lang w:val="en-GB"/>
    </w:rPr>
  </w:style>
  <w:style w:type="paragraph" w:customStyle="1" w:styleId="IUCrtablefootnote">
    <w:name w:val="IUCr table footnote"/>
    <w:basedOn w:val="IUCrtabletext"/>
    <w:next w:val="IUCrbodytext"/>
    <w:link w:val="IUCrtablefootnoteChar"/>
    <w:qFormat/>
    <w:rsid w:val="000A365B"/>
  </w:style>
  <w:style w:type="paragraph" w:customStyle="1" w:styleId="IUCrtabletext">
    <w:name w:val="IUCr table text"/>
    <w:basedOn w:val="IUCrbodytext"/>
    <w:link w:val="IUCrtabletextChar"/>
    <w:qFormat/>
    <w:rsid w:val="000A365B"/>
    <w:rPr>
      <w:sz w:val="20"/>
    </w:rPr>
  </w:style>
  <w:style w:type="character" w:customStyle="1" w:styleId="IUCrtabletextChar">
    <w:name w:val="IUCr table text Char"/>
    <w:basedOn w:val="IUCrbodytextChar"/>
    <w:link w:val="IUCrtabletext"/>
    <w:rsid w:val="000A365B"/>
    <w:rPr>
      <w:rFonts w:ascii="Times New Roman" w:eastAsia="Times New Roman" w:hAnsi="Times New Roman" w:cs="Times New Roman"/>
      <w:sz w:val="20"/>
      <w:szCs w:val="24"/>
      <w:lang w:val="en-GB"/>
    </w:rPr>
  </w:style>
  <w:style w:type="character" w:customStyle="1" w:styleId="IUCrtablefootnoteChar">
    <w:name w:val="IUCr table footnote Char"/>
    <w:basedOn w:val="IUCrtabletextChar"/>
    <w:link w:val="IUCrtablefootnote"/>
    <w:rsid w:val="000A365B"/>
    <w:rPr>
      <w:rFonts w:ascii="Times New Roman" w:eastAsia="Times New Roman" w:hAnsi="Times New Roman" w:cs="Times New Roman"/>
      <w:sz w:val="20"/>
      <w:szCs w:val="24"/>
      <w:lang w:val="en-GB"/>
    </w:rPr>
  </w:style>
  <w:style w:type="paragraph" w:styleId="CommentText">
    <w:name w:val="annotation text"/>
    <w:basedOn w:val="Normal"/>
    <w:link w:val="CommentTextChar"/>
    <w:uiPriority w:val="99"/>
    <w:unhideWhenUsed/>
    <w:rsid w:val="000A365B"/>
    <w:pPr>
      <w:spacing w:after="0" w:line="36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uiPriority w:val="99"/>
    <w:rsid w:val="000A365B"/>
    <w:rPr>
      <w:rFonts w:ascii="Times New Roman" w:eastAsia="Times New Roman" w:hAnsi="Times New Roman" w:cs="Times New Roman"/>
      <w:sz w:val="20"/>
      <w:szCs w:val="20"/>
      <w:lang w:val="en-GB"/>
    </w:rPr>
  </w:style>
  <w:style w:type="paragraph" w:styleId="BodyText">
    <w:name w:val="Body Text"/>
    <w:basedOn w:val="Normal"/>
    <w:link w:val="BodyTextChar"/>
    <w:uiPriority w:val="99"/>
    <w:semiHidden/>
    <w:unhideWhenUsed/>
    <w:rsid w:val="000A365B"/>
    <w:pPr>
      <w:spacing w:after="120"/>
    </w:pPr>
  </w:style>
  <w:style w:type="character" w:customStyle="1" w:styleId="BodyTextChar">
    <w:name w:val="Body Text Char"/>
    <w:basedOn w:val="DefaultParagraphFont"/>
    <w:link w:val="BodyText"/>
    <w:uiPriority w:val="99"/>
    <w:semiHidden/>
    <w:rsid w:val="000A365B"/>
  </w:style>
  <w:style w:type="paragraph" w:customStyle="1" w:styleId="EndNoteBibliographyTitle">
    <w:name w:val="EndNote Bibliography Title"/>
    <w:basedOn w:val="Normal"/>
    <w:link w:val="EndNoteBibliographyTitleChar"/>
    <w:rsid w:val="00903162"/>
    <w:pPr>
      <w:spacing w:after="0"/>
      <w:jc w:val="center"/>
    </w:pPr>
    <w:rPr>
      <w:rFonts w:ascii="Calibri" w:hAnsi="Calibri"/>
      <w:noProof/>
    </w:rPr>
  </w:style>
  <w:style w:type="character" w:customStyle="1" w:styleId="EndNoteBibliographyTitleChar">
    <w:name w:val="EndNote Bibliography Title Char"/>
    <w:basedOn w:val="IUCrtabletextChar"/>
    <w:link w:val="EndNoteBibliographyTitle"/>
    <w:rsid w:val="00903162"/>
    <w:rPr>
      <w:rFonts w:ascii="Calibri" w:eastAsia="Times New Roman" w:hAnsi="Calibri" w:cs="Times New Roman"/>
      <w:noProof/>
      <w:sz w:val="20"/>
      <w:szCs w:val="24"/>
      <w:lang w:val="en-GB"/>
    </w:rPr>
  </w:style>
  <w:style w:type="paragraph" w:customStyle="1" w:styleId="EndNoteBibliography">
    <w:name w:val="EndNote Bibliography"/>
    <w:basedOn w:val="Normal"/>
    <w:link w:val="EndNoteBibliographyChar"/>
    <w:rsid w:val="00903162"/>
    <w:pPr>
      <w:spacing w:line="240" w:lineRule="auto"/>
      <w:jc w:val="center"/>
    </w:pPr>
    <w:rPr>
      <w:rFonts w:ascii="Calibri" w:hAnsi="Calibri"/>
      <w:noProof/>
    </w:rPr>
  </w:style>
  <w:style w:type="character" w:customStyle="1" w:styleId="EndNoteBibliographyChar">
    <w:name w:val="EndNote Bibliography Char"/>
    <w:basedOn w:val="IUCrtabletextChar"/>
    <w:link w:val="EndNoteBibliography"/>
    <w:rsid w:val="00903162"/>
    <w:rPr>
      <w:rFonts w:ascii="Calibri" w:eastAsia="Times New Roman" w:hAnsi="Calibri" w:cs="Times New Roman"/>
      <w:noProof/>
      <w:sz w:val="20"/>
      <w:szCs w:val="24"/>
      <w:lang w:val="en-GB"/>
    </w:rPr>
  </w:style>
  <w:style w:type="character" w:styleId="Hyperlink">
    <w:name w:val="Hyperlink"/>
    <w:basedOn w:val="DefaultParagraphFont"/>
    <w:uiPriority w:val="99"/>
    <w:unhideWhenUsed/>
    <w:rsid w:val="00903162"/>
    <w:rPr>
      <w:color w:val="0563C1" w:themeColor="hyperlink"/>
      <w:u w:val="single"/>
    </w:rPr>
  </w:style>
  <w:style w:type="table" w:styleId="ListTable6Colorful">
    <w:name w:val="List Table 6 Colorful"/>
    <w:basedOn w:val="TableNormal"/>
    <w:uiPriority w:val="51"/>
    <w:rsid w:val="00F7292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er">
    <w:name w:val="footer"/>
    <w:basedOn w:val="Normal"/>
    <w:link w:val="FooterChar"/>
    <w:uiPriority w:val="99"/>
    <w:unhideWhenUsed/>
    <w:rsid w:val="00B247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737"/>
  </w:style>
  <w:style w:type="character" w:styleId="PageNumber">
    <w:name w:val="page number"/>
    <w:basedOn w:val="DefaultParagraphFont"/>
    <w:uiPriority w:val="99"/>
    <w:semiHidden/>
    <w:unhideWhenUsed/>
    <w:rsid w:val="00B24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86990-ACF9-9B4C-8AB9-D4E544C70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7</Pages>
  <Words>3273</Words>
  <Characters>19251</Characters>
  <Application>Microsoft Office Word</Application>
  <DocSecurity>0</DocSecurity>
  <Lines>469</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keerti</dc:creator>
  <cp:keywords/>
  <dc:description/>
  <cp:lastModifiedBy>Gurunath Ramanathan</cp:lastModifiedBy>
  <cp:revision>6</cp:revision>
  <dcterms:created xsi:type="dcterms:W3CDTF">2020-06-12T18:22:00Z</dcterms:created>
  <dcterms:modified xsi:type="dcterms:W3CDTF">2020-06-26T08:38:00Z</dcterms:modified>
</cp:coreProperties>
</file>