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9CE5" w14:textId="7BF442DF" w:rsidR="00485966" w:rsidRPr="00413C7E" w:rsidRDefault="00485966" w:rsidP="00EA58B0">
      <w:pPr>
        <w:jc w:val="center"/>
        <w:rPr>
          <w:rFonts w:ascii="Arial" w:hAnsi="Arial" w:cs="Arial"/>
          <w:i/>
        </w:rPr>
      </w:pPr>
      <w:bookmarkStart w:id="0" w:name="_GoBack"/>
      <w:r w:rsidRPr="00413C7E">
        <w:rPr>
          <w:rFonts w:ascii="Arial" w:hAnsi="Arial" w:cs="Arial"/>
          <w:i/>
        </w:rPr>
        <w:t>Experimental Results</w:t>
      </w:r>
    </w:p>
    <w:p w14:paraId="1641D5BA" w14:textId="77777777" w:rsidR="00EA58B0" w:rsidRPr="00413C7E" w:rsidRDefault="00EA58B0" w:rsidP="00EA58B0">
      <w:pPr>
        <w:jc w:val="center"/>
        <w:rPr>
          <w:rFonts w:ascii="Arial" w:hAnsi="Arial" w:cs="Arial"/>
          <w:b/>
          <w:i/>
        </w:rPr>
      </w:pPr>
    </w:p>
    <w:p w14:paraId="217C0242" w14:textId="2D6F5071" w:rsidR="00B60A69" w:rsidRPr="00413C7E" w:rsidRDefault="00B60A69" w:rsidP="00B60A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413C7E">
        <w:rPr>
          <w:rFonts w:ascii="Arial" w:hAnsi="Arial" w:cs="Arial"/>
          <w:i/>
        </w:rPr>
        <w:t>Social Jetlag is Independently Associated with Chronotype and Poor Memory for Extinguished Fear</w:t>
      </w:r>
    </w:p>
    <w:p w14:paraId="7F3B8EC2" w14:textId="77777777" w:rsidR="00EA58B0" w:rsidRPr="00413C7E" w:rsidRDefault="00EA58B0" w:rsidP="00EA58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6BC9C0DE" w14:textId="5249F4B0" w:rsidR="00830A62" w:rsidRPr="00413C7E" w:rsidRDefault="00830A62" w:rsidP="00EA58B0">
      <w:pPr>
        <w:jc w:val="center"/>
        <w:rPr>
          <w:rFonts w:ascii="Arial" w:hAnsi="Arial" w:cs="Arial"/>
          <w:vertAlign w:val="superscript"/>
        </w:rPr>
      </w:pPr>
      <w:r w:rsidRPr="00413C7E">
        <w:rPr>
          <w:rFonts w:ascii="Arial" w:hAnsi="Arial" w:cs="Arial"/>
        </w:rPr>
        <w:t xml:space="preserve">Ryan Bottary, Tony J. Cunningham, Rebecca M.C. Spencer, </w:t>
      </w:r>
      <w:r w:rsidR="00D0485B" w:rsidRPr="00413C7E">
        <w:rPr>
          <w:rFonts w:ascii="Arial" w:hAnsi="Arial" w:cs="Arial"/>
        </w:rPr>
        <w:t xml:space="preserve">and </w:t>
      </w:r>
      <w:r w:rsidRPr="00413C7E">
        <w:rPr>
          <w:rFonts w:ascii="Arial" w:hAnsi="Arial" w:cs="Arial"/>
        </w:rPr>
        <w:t>Edward F. Pace-Schott</w:t>
      </w:r>
    </w:p>
    <w:p w14:paraId="079CEDFF" w14:textId="77777777" w:rsidR="00EA58B0" w:rsidRPr="00413C7E" w:rsidRDefault="00EA58B0" w:rsidP="00EA5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72DCB31A" w14:textId="77777777" w:rsidR="00485966" w:rsidRPr="00413C7E" w:rsidRDefault="00485966" w:rsidP="00485966">
      <w:pPr>
        <w:jc w:val="center"/>
        <w:rPr>
          <w:rFonts w:ascii="Arial" w:hAnsi="Arial" w:cs="Arial"/>
          <w:b/>
        </w:rPr>
      </w:pPr>
      <w:r w:rsidRPr="00413C7E">
        <w:rPr>
          <w:rFonts w:ascii="Arial" w:hAnsi="Arial" w:cs="Arial"/>
          <w:b/>
        </w:rPr>
        <w:t>Supplementary Materials</w:t>
      </w:r>
    </w:p>
    <w:p w14:paraId="2EC26656" w14:textId="77777777" w:rsidR="00485966" w:rsidRPr="00413C7E" w:rsidRDefault="00485966" w:rsidP="00EA5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76C278A4" w14:textId="44168393" w:rsidR="00EA58B0" w:rsidRPr="00413C7E" w:rsidRDefault="00830A62" w:rsidP="00EA5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413C7E">
        <w:rPr>
          <w:rFonts w:ascii="Arial" w:hAnsi="Arial" w:cs="Arial"/>
          <w:b/>
        </w:rPr>
        <w:t>Supplement</w:t>
      </w:r>
      <w:r w:rsidR="001E0D81" w:rsidRPr="00413C7E">
        <w:rPr>
          <w:rFonts w:ascii="Arial" w:hAnsi="Arial" w:cs="Arial"/>
          <w:b/>
        </w:rPr>
        <w:t>ary</w:t>
      </w:r>
      <w:r w:rsidRPr="00413C7E">
        <w:rPr>
          <w:rFonts w:ascii="Arial" w:hAnsi="Arial" w:cs="Arial"/>
          <w:b/>
        </w:rPr>
        <w:t xml:space="preserve"> Methods</w:t>
      </w:r>
    </w:p>
    <w:p w14:paraId="33A65F45" w14:textId="77777777" w:rsidR="00EA58B0" w:rsidRPr="00413C7E" w:rsidRDefault="00EA58B0" w:rsidP="00EA5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1F5FF3FC" w14:textId="53CA3A23" w:rsidR="00966AC9" w:rsidRPr="00413C7E" w:rsidRDefault="00966AC9" w:rsidP="00EA5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413C7E">
        <w:rPr>
          <w:rFonts w:ascii="Arial" w:hAnsi="Arial" w:cs="Arial"/>
          <w:i/>
        </w:rPr>
        <w:t xml:space="preserve">Participant </w:t>
      </w:r>
      <w:r w:rsidR="00DE6217" w:rsidRPr="00413C7E">
        <w:rPr>
          <w:rFonts w:ascii="Arial" w:hAnsi="Arial" w:cs="Arial"/>
          <w:i/>
        </w:rPr>
        <w:t>C</w:t>
      </w:r>
      <w:r w:rsidRPr="00413C7E">
        <w:rPr>
          <w:rFonts w:ascii="Arial" w:hAnsi="Arial" w:cs="Arial"/>
          <w:i/>
        </w:rPr>
        <w:t>haracteristics</w:t>
      </w:r>
    </w:p>
    <w:p w14:paraId="22EAA636" w14:textId="77777777" w:rsidR="00EA58B0" w:rsidRPr="00413C7E" w:rsidRDefault="00EA58B0" w:rsidP="00EA58B0">
      <w:pPr>
        <w:rPr>
          <w:rFonts w:ascii="Arial" w:hAnsi="Arial" w:cs="Arial"/>
        </w:rPr>
      </w:pPr>
    </w:p>
    <w:p w14:paraId="3F1FBC73" w14:textId="3619B85E" w:rsidR="00966AC9" w:rsidRPr="00413C7E" w:rsidRDefault="00966AC9" w:rsidP="00EA58B0">
      <w:pPr>
        <w:rPr>
          <w:rFonts w:ascii="Arial" w:hAnsi="Arial" w:cs="Arial"/>
        </w:rPr>
      </w:pPr>
      <w:r w:rsidRPr="00413C7E">
        <w:rPr>
          <w:rFonts w:ascii="Arial" w:hAnsi="Arial" w:cs="Arial"/>
        </w:rPr>
        <w:t>Participant</w:t>
      </w:r>
      <w:r w:rsidR="001922CC" w:rsidRPr="00413C7E">
        <w:rPr>
          <w:rFonts w:ascii="Arial" w:hAnsi="Arial" w:cs="Arial"/>
        </w:rPr>
        <w:t xml:space="preserve"> </w:t>
      </w:r>
      <w:r w:rsidRPr="00413C7E">
        <w:rPr>
          <w:rFonts w:ascii="Arial" w:hAnsi="Arial" w:cs="Arial"/>
        </w:rPr>
        <w:t xml:space="preserve">exclusion criteria included current neurological, psychiatric, sleep or medical conditions; persons with a history of seizures or significant head trauma; current use of sleep-altering drugs; average sleep per night greater than 10 hours; inability or unwillingness to keep a </w:t>
      </w:r>
      <w:r w:rsidR="007C3EE9" w:rsidRPr="00413C7E">
        <w:rPr>
          <w:rFonts w:ascii="Arial" w:hAnsi="Arial" w:cs="Arial"/>
        </w:rPr>
        <w:t>recommended</w:t>
      </w:r>
      <w:r w:rsidRPr="00413C7E">
        <w:rPr>
          <w:rFonts w:ascii="Arial" w:hAnsi="Arial" w:cs="Arial"/>
        </w:rPr>
        <w:t xml:space="preserve"> sleep schedule</w:t>
      </w:r>
      <w:r w:rsidR="007C3EE9" w:rsidRPr="00413C7E">
        <w:rPr>
          <w:rFonts w:ascii="Arial" w:hAnsi="Arial" w:cs="Arial"/>
        </w:rPr>
        <w:t xml:space="preserve"> (</w:t>
      </w:r>
      <w:r w:rsidR="007C3EE9" w:rsidRPr="00413C7E">
        <w:rPr>
          <w:rFonts w:ascii="Arial" w:hAnsi="Arial" w:cs="Arial"/>
          <w:i/>
        </w:rPr>
        <w:t>see below</w:t>
      </w:r>
      <w:r w:rsidR="007C3EE9" w:rsidRPr="00413C7E">
        <w:rPr>
          <w:rFonts w:ascii="Arial" w:hAnsi="Arial" w:cs="Arial"/>
        </w:rPr>
        <w:t>)</w:t>
      </w:r>
      <w:r w:rsidRPr="00413C7E">
        <w:rPr>
          <w:rFonts w:ascii="Arial" w:hAnsi="Arial" w:cs="Arial"/>
        </w:rPr>
        <w:t>; cigarette smoking, excessive caffeine and/or alcohol consumption.</w:t>
      </w:r>
      <w:r w:rsidR="001922CC" w:rsidRPr="00413C7E">
        <w:rPr>
          <w:rFonts w:ascii="Arial" w:hAnsi="Arial" w:cs="Arial"/>
        </w:rPr>
        <w:t xml:space="preserve"> </w:t>
      </w:r>
      <w:r w:rsidRPr="00413C7E">
        <w:rPr>
          <w:rFonts w:ascii="Arial" w:hAnsi="Arial" w:cs="Arial"/>
        </w:rPr>
        <w:t xml:space="preserve"> </w:t>
      </w:r>
    </w:p>
    <w:p w14:paraId="2DBE7DE2" w14:textId="77777777" w:rsidR="00966AC9" w:rsidRPr="00413C7E" w:rsidRDefault="00966AC9" w:rsidP="00EA58B0">
      <w:pPr>
        <w:rPr>
          <w:rFonts w:ascii="Arial" w:hAnsi="Arial" w:cs="Arial"/>
        </w:rPr>
      </w:pPr>
    </w:p>
    <w:p w14:paraId="7FF00D75" w14:textId="42D0CD5F" w:rsidR="00966AC9" w:rsidRPr="00413C7E" w:rsidRDefault="00966AC9" w:rsidP="00EA58B0">
      <w:pPr>
        <w:rPr>
          <w:rFonts w:ascii="Arial" w:hAnsi="Arial" w:cs="Arial"/>
          <w:i/>
        </w:rPr>
      </w:pPr>
      <w:r w:rsidRPr="00413C7E">
        <w:rPr>
          <w:rFonts w:ascii="Arial" w:hAnsi="Arial" w:cs="Arial"/>
          <w:i/>
        </w:rPr>
        <w:t xml:space="preserve">Sleep </w:t>
      </w:r>
      <w:r w:rsidR="00DE6217" w:rsidRPr="00413C7E">
        <w:rPr>
          <w:rFonts w:ascii="Arial" w:hAnsi="Arial" w:cs="Arial"/>
          <w:i/>
        </w:rPr>
        <w:t>A</w:t>
      </w:r>
      <w:r w:rsidRPr="00413C7E">
        <w:rPr>
          <w:rFonts w:ascii="Arial" w:hAnsi="Arial" w:cs="Arial"/>
          <w:i/>
        </w:rPr>
        <w:t xml:space="preserve">ssessment </w:t>
      </w:r>
      <w:r w:rsidR="00DE6217" w:rsidRPr="00413C7E">
        <w:rPr>
          <w:rFonts w:ascii="Arial" w:hAnsi="Arial" w:cs="Arial"/>
          <w:i/>
        </w:rPr>
        <w:t>P</w:t>
      </w:r>
      <w:r w:rsidRPr="00413C7E">
        <w:rPr>
          <w:rFonts w:ascii="Arial" w:hAnsi="Arial" w:cs="Arial"/>
          <w:i/>
        </w:rPr>
        <w:t>eriod</w:t>
      </w:r>
    </w:p>
    <w:p w14:paraId="374130D9" w14:textId="77777777" w:rsidR="00966AC9" w:rsidRPr="00413C7E" w:rsidRDefault="00966AC9" w:rsidP="00EA58B0">
      <w:pPr>
        <w:rPr>
          <w:rFonts w:ascii="Arial" w:hAnsi="Arial" w:cs="Arial"/>
        </w:rPr>
      </w:pPr>
    </w:p>
    <w:p w14:paraId="5AFBCBAC" w14:textId="5C228B90" w:rsidR="00966AC9" w:rsidRPr="00413C7E" w:rsidRDefault="00966AC9" w:rsidP="00EA58B0">
      <w:pPr>
        <w:rPr>
          <w:rFonts w:ascii="Arial" w:hAnsi="Arial" w:cs="Arial"/>
        </w:rPr>
      </w:pPr>
      <w:r w:rsidRPr="00413C7E">
        <w:rPr>
          <w:rFonts w:ascii="Arial" w:hAnsi="Arial" w:cs="Arial"/>
        </w:rPr>
        <w:t>Participants complete</w:t>
      </w:r>
      <w:r w:rsidR="00F77483" w:rsidRPr="00413C7E">
        <w:rPr>
          <w:rFonts w:ascii="Arial" w:hAnsi="Arial" w:cs="Arial"/>
        </w:rPr>
        <w:t>d</w:t>
      </w:r>
      <w:r w:rsidRPr="00413C7E">
        <w:rPr>
          <w:rFonts w:ascii="Arial" w:hAnsi="Arial" w:cs="Arial"/>
        </w:rPr>
        <w:t xml:space="preserve"> 7-9 nights of actigraphy monitoring with the Actiwatch-2 (Philips Respironics, Bend, OR) worn on the non-dominant wrist. Participants pressed an event marker button on the device at bed-time and rise-time to delineate rest periods within which sleep/wake epochs were algorithmically scored. Evening-Morning Sleep Questionnaire (Pace-Schott </w:t>
      </w:r>
      <w:r w:rsidRPr="00413C7E">
        <w:rPr>
          <w:rFonts w:ascii="Arial" w:hAnsi="Arial" w:cs="Arial"/>
          <w:i/>
        </w:rPr>
        <w:t>et al.</w:t>
      </w:r>
      <w:r w:rsidR="000401A0" w:rsidRPr="00413C7E">
        <w:rPr>
          <w:rFonts w:ascii="Arial" w:hAnsi="Arial" w:cs="Arial"/>
        </w:rPr>
        <w:t xml:space="preserve">, </w:t>
      </w:r>
      <w:r w:rsidRPr="00413C7E">
        <w:rPr>
          <w:rFonts w:ascii="Arial" w:hAnsi="Arial" w:cs="Arial"/>
        </w:rPr>
        <w:t>2005) bed- and rise-times were substituted when event button presses were missed. During the study period, naps, drugs and alcohol were proscribed, and</w:t>
      </w:r>
      <w:r w:rsidR="00D7791E" w:rsidRPr="00413C7E">
        <w:rPr>
          <w:rFonts w:ascii="Arial" w:hAnsi="Arial" w:cs="Arial"/>
        </w:rPr>
        <w:t xml:space="preserve"> </w:t>
      </w:r>
      <w:r w:rsidRPr="00413C7E">
        <w:rPr>
          <w:rFonts w:ascii="Arial" w:hAnsi="Arial" w:cs="Arial"/>
        </w:rPr>
        <w:t>2</w:t>
      </w:r>
      <w:r w:rsidR="00E72A28" w:rsidRPr="00413C7E">
        <w:rPr>
          <w:rFonts w:ascii="Arial" w:hAnsi="Arial" w:cs="Arial"/>
        </w:rPr>
        <w:t>AM</w:t>
      </w:r>
      <w:r w:rsidRPr="00413C7E">
        <w:rPr>
          <w:rFonts w:ascii="Arial" w:hAnsi="Arial" w:cs="Arial"/>
        </w:rPr>
        <w:t xml:space="preserve"> bedtime curfew and 7-hr minimum sleep opportunity</w:t>
      </w:r>
      <w:r w:rsidR="00D7791E" w:rsidRPr="00413C7E">
        <w:rPr>
          <w:rFonts w:ascii="Arial" w:hAnsi="Arial" w:cs="Arial"/>
        </w:rPr>
        <w:t xml:space="preserve"> </w:t>
      </w:r>
      <w:r w:rsidRPr="00413C7E">
        <w:rPr>
          <w:rFonts w:ascii="Arial" w:hAnsi="Arial" w:cs="Arial"/>
        </w:rPr>
        <w:t>prescribed. All participants completed the Morningness-Eveningness Questionnaire</w:t>
      </w:r>
      <w:r w:rsidR="004D3F20" w:rsidRPr="00413C7E">
        <w:rPr>
          <w:rFonts w:ascii="Arial" w:hAnsi="Arial" w:cs="Arial"/>
        </w:rPr>
        <w:t xml:space="preserve"> (MEQ; Horne and </w:t>
      </w:r>
      <w:proofErr w:type="spellStart"/>
      <w:r w:rsidR="004D3F20" w:rsidRPr="00413C7E">
        <w:rPr>
          <w:rFonts w:ascii="Arial" w:hAnsi="Arial" w:cs="Arial"/>
        </w:rPr>
        <w:t>Ostberg</w:t>
      </w:r>
      <w:proofErr w:type="spellEnd"/>
      <w:r w:rsidR="004D3F20" w:rsidRPr="00413C7E">
        <w:rPr>
          <w:rFonts w:ascii="Arial" w:hAnsi="Arial" w:cs="Arial"/>
        </w:rPr>
        <w:t xml:space="preserve">, 1978) </w:t>
      </w:r>
      <w:r w:rsidRPr="00413C7E">
        <w:rPr>
          <w:rFonts w:ascii="Arial" w:hAnsi="Arial" w:cs="Arial"/>
        </w:rPr>
        <w:t>to determine circadian preference</w:t>
      </w:r>
      <w:r w:rsidR="0059449E" w:rsidRPr="00413C7E">
        <w:rPr>
          <w:rFonts w:ascii="Arial" w:hAnsi="Arial" w:cs="Arial"/>
        </w:rPr>
        <w:t>.</w:t>
      </w:r>
      <w:r w:rsidRPr="00413C7E">
        <w:rPr>
          <w:rFonts w:ascii="Arial" w:hAnsi="Arial" w:cs="Arial"/>
        </w:rPr>
        <w:t xml:space="preserve"> </w:t>
      </w:r>
    </w:p>
    <w:p w14:paraId="5DA50282" w14:textId="1E5E21CD" w:rsidR="00781E77" w:rsidRPr="00413C7E" w:rsidRDefault="00781E77" w:rsidP="00EA58B0">
      <w:pPr>
        <w:rPr>
          <w:rFonts w:ascii="Arial" w:hAnsi="Arial" w:cs="Arial"/>
        </w:rPr>
      </w:pPr>
    </w:p>
    <w:p w14:paraId="1C437085" w14:textId="20F90F74" w:rsidR="00781E77" w:rsidRPr="00413C7E" w:rsidRDefault="004A3C95" w:rsidP="00EA58B0">
      <w:pPr>
        <w:rPr>
          <w:rFonts w:ascii="Arial" w:hAnsi="Arial" w:cs="Arial"/>
          <w:i/>
        </w:rPr>
      </w:pPr>
      <w:r w:rsidRPr="00413C7E">
        <w:rPr>
          <w:rFonts w:ascii="Arial" w:hAnsi="Arial" w:cs="Arial"/>
          <w:i/>
        </w:rPr>
        <w:t>Weekday and Weekend Sleep Timing</w:t>
      </w:r>
    </w:p>
    <w:p w14:paraId="5F3F4FFE" w14:textId="1AECB58B" w:rsidR="00781E77" w:rsidRPr="00413C7E" w:rsidRDefault="00781E77" w:rsidP="00EA58B0">
      <w:pPr>
        <w:rPr>
          <w:rFonts w:ascii="Arial" w:hAnsi="Arial" w:cs="Arial"/>
          <w:b/>
        </w:rPr>
      </w:pPr>
    </w:p>
    <w:p w14:paraId="05FD490D" w14:textId="37470303" w:rsidR="00781E77" w:rsidRPr="00413C7E" w:rsidRDefault="00781E77" w:rsidP="00EA58B0">
      <w:pPr>
        <w:rPr>
          <w:rFonts w:ascii="Arial" w:hAnsi="Arial" w:cs="Arial"/>
        </w:rPr>
      </w:pPr>
      <w:r w:rsidRPr="00413C7E">
        <w:rPr>
          <w:rFonts w:ascii="Arial" w:hAnsi="Arial" w:cs="Arial"/>
        </w:rPr>
        <w:t>S</w:t>
      </w:r>
      <w:r w:rsidR="0093033A" w:rsidRPr="00413C7E">
        <w:rPr>
          <w:rFonts w:ascii="Arial" w:hAnsi="Arial" w:cs="Arial"/>
        </w:rPr>
        <w:t>ocial jetlag (SJ)</w:t>
      </w:r>
      <w:r w:rsidRPr="00413C7E">
        <w:rPr>
          <w:rFonts w:ascii="Arial" w:hAnsi="Arial" w:cs="Arial"/>
        </w:rPr>
        <w:t xml:space="preserve"> was determined by subtracting weekday</w:t>
      </w:r>
      <w:r w:rsidR="00AC53B5" w:rsidRPr="00413C7E">
        <w:rPr>
          <w:rFonts w:ascii="Arial" w:hAnsi="Arial" w:cs="Arial"/>
        </w:rPr>
        <w:t xml:space="preserve"> (Sunday-Thursday)</w:t>
      </w:r>
      <w:r w:rsidRPr="00413C7E">
        <w:rPr>
          <w:rFonts w:ascii="Arial" w:hAnsi="Arial" w:cs="Arial"/>
        </w:rPr>
        <w:t xml:space="preserve"> from weekend</w:t>
      </w:r>
      <w:r w:rsidR="00AC53B5" w:rsidRPr="00413C7E">
        <w:rPr>
          <w:rFonts w:ascii="Arial" w:hAnsi="Arial" w:cs="Arial"/>
        </w:rPr>
        <w:t xml:space="preserve"> (Friday and Sat</w:t>
      </w:r>
      <w:r w:rsidR="004A3C95" w:rsidRPr="00413C7E">
        <w:rPr>
          <w:rFonts w:ascii="Arial" w:hAnsi="Arial" w:cs="Arial"/>
        </w:rPr>
        <w:t>urday</w:t>
      </w:r>
      <w:r w:rsidR="00AC53B5" w:rsidRPr="00413C7E">
        <w:rPr>
          <w:rFonts w:ascii="Arial" w:hAnsi="Arial" w:cs="Arial"/>
        </w:rPr>
        <w:t>)</w:t>
      </w:r>
      <w:r w:rsidRPr="00413C7E">
        <w:rPr>
          <w:rFonts w:ascii="Arial" w:hAnsi="Arial" w:cs="Arial"/>
        </w:rPr>
        <w:t xml:space="preserve"> mean actigraphy-determined sleep midpoint.</w:t>
      </w:r>
      <w:r w:rsidR="00AC333D" w:rsidRPr="00413C7E">
        <w:rPr>
          <w:rFonts w:ascii="Arial" w:hAnsi="Arial" w:cs="Arial"/>
        </w:rPr>
        <w:t xml:space="preserve"> All participants had two weekend and </w:t>
      </w:r>
      <w:r w:rsidR="00271CE5" w:rsidRPr="00413C7E">
        <w:rPr>
          <w:rFonts w:ascii="Arial" w:hAnsi="Arial" w:cs="Arial"/>
        </w:rPr>
        <w:t>5-</w:t>
      </w:r>
      <w:r w:rsidR="00AC333D" w:rsidRPr="00413C7E">
        <w:rPr>
          <w:rFonts w:ascii="Arial" w:hAnsi="Arial" w:cs="Arial"/>
        </w:rPr>
        <w:t>7 weekday nights of actigraphy data.</w:t>
      </w:r>
      <w:r w:rsidRPr="00413C7E">
        <w:rPr>
          <w:rFonts w:ascii="Arial" w:hAnsi="Arial" w:cs="Arial"/>
        </w:rPr>
        <w:t xml:space="preserve"> Sleep midpoint was defined as number of minutes past midnight based on the algorithmically scored sleep period. </w:t>
      </w:r>
      <w:r w:rsidR="004A3C95" w:rsidRPr="00413C7E">
        <w:rPr>
          <w:rFonts w:ascii="Arial" w:hAnsi="Arial" w:cs="Arial"/>
        </w:rPr>
        <w:t>To measure differences in weekday and weekend sleep amount, we subtracted total sleep time (TST) on weekdays from TST on weekends.</w:t>
      </w:r>
      <w:r w:rsidR="00E51A30" w:rsidRPr="00413C7E">
        <w:rPr>
          <w:rFonts w:ascii="Arial" w:hAnsi="Arial" w:cs="Arial"/>
        </w:rPr>
        <w:t xml:space="preserve"> Average sleep midpoint and TST on weekdays and weekends is listed in Table S1.</w:t>
      </w:r>
      <w:r w:rsidR="004A3C95" w:rsidRPr="00413C7E">
        <w:rPr>
          <w:rFonts w:ascii="Arial" w:hAnsi="Arial" w:cs="Arial"/>
        </w:rPr>
        <w:t xml:space="preserve"> </w:t>
      </w:r>
    </w:p>
    <w:p w14:paraId="0A030E74" w14:textId="77777777" w:rsidR="00EA58B0" w:rsidRPr="00413C7E" w:rsidRDefault="00EA58B0" w:rsidP="00EA5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1A78EB30" w14:textId="49A7122B" w:rsidR="00830A62" w:rsidRPr="00413C7E" w:rsidRDefault="00830A62" w:rsidP="00EA5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413C7E">
        <w:rPr>
          <w:rFonts w:ascii="Arial" w:hAnsi="Arial" w:cs="Arial"/>
          <w:i/>
        </w:rPr>
        <w:t xml:space="preserve">Fear Conditioning, Extinction Learning and Extinction Recall </w:t>
      </w:r>
      <w:r w:rsidR="00485966" w:rsidRPr="00413C7E">
        <w:rPr>
          <w:rFonts w:ascii="Arial" w:hAnsi="Arial" w:cs="Arial"/>
          <w:i/>
        </w:rPr>
        <w:t>t</w:t>
      </w:r>
      <w:r w:rsidRPr="00413C7E">
        <w:rPr>
          <w:rFonts w:ascii="Arial" w:hAnsi="Arial" w:cs="Arial"/>
          <w:i/>
        </w:rPr>
        <w:t>ask</w:t>
      </w:r>
    </w:p>
    <w:p w14:paraId="7B7083A1" w14:textId="77777777" w:rsidR="00EA58B0" w:rsidRPr="00413C7E" w:rsidRDefault="00EA58B0" w:rsidP="00EA58B0">
      <w:pPr>
        <w:rPr>
          <w:rFonts w:ascii="Arial" w:hAnsi="Arial" w:cs="Arial"/>
        </w:rPr>
      </w:pPr>
    </w:p>
    <w:p w14:paraId="5EC4174B" w14:textId="0A83B30A" w:rsidR="00081076" w:rsidRPr="00413C7E" w:rsidRDefault="00E40AC0" w:rsidP="00EA58B0">
      <w:pPr>
        <w:rPr>
          <w:rFonts w:ascii="Arial" w:hAnsi="Arial" w:cs="Arial"/>
        </w:rPr>
      </w:pPr>
      <w:r w:rsidRPr="00413C7E">
        <w:rPr>
          <w:rFonts w:ascii="Arial" w:hAnsi="Arial" w:cs="Arial"/>
        </w:rPr>
        <w:t>Full task details are available in</w:t>
      </w:r>
      <w:r w:rsidR="00107E97" w:rsidRPr="00413C7E">
        <w:rPr>
          <w:rFonts w:ascii="Arial" w:hAnsi="Arial" w:cs="Arial"/>
        </w:rPr>
        <w:t xml:space="preserve"> </w:t>
      </w:r>
      <w:r w:rsidR="00050EBE" w:rsidRPr="00413C7E">
        <w:rPr>
          <w:rFonts w:ascii="Arial" w:hAnsi="Arial" w:cs="Arial"/>
        </w:rPr>
        <w:t xml:space="preserve">Pace-Schott </w:t>
      </w:r>
      <w:r w:rsidR="004917E0" w:rsidRPr="00413C7E">
        <w:rPr>
          <w:rFonts w:ascii="Arial" w:hAnsi="Arial" w:cs="Arial"/>
          <w:i/>
        </w:rPr>
        <w:t>et al.</w:t>
      </w:r>
      <w:r w:rsidR="00050EBE" w:rsidRPr="00413C7E">
        <w:rPr>
          <w:rFonts w:ascii="Arial" w:hAnsi="Arial" w:cs="Arial"/>
        </w:rPr>
        <w:t xml:space="preserve"> (2013)</w:t>
      </w:r>
      <w:r w:rsidR="00107E97" w:rsidRPr="00413C7E">
        <w:rPr>
          <w:rFonts w:ascii="Arial" w:hAnsi="Arial" w:cs="Arial"/>
        </w:rPr>
        <w:t xml:space="preserve">. Specifically, participants </w:t>
      </w:r>
      <w:r w:rsidR="006A5B28" w:rsidRPr="00413C7E">
        <w:rPr>
          <w:rFonts w:ascii="Arial" w:hAnsi="Arial" w:cs="Arial"/>
        </w:rPr>
        <w:t>completed a validated</w:t>
      </w:r>
      <w:r w:rsidR="00DF4B2D" w:rsidRPr="00413C7E">
        <w:rPr>
          <w:rFonts w:ascii="Arial" w:hAnsi="Arial" w:cs="Arial"/>
        </w:rPr>
        <w:t>, computer-based</w:t>
      </w:r>
      <w:r w:rsidR="006A5B28" w:rsidRPr="00413C7E">
        <w:rPr>
          <w:rFonts w:ascii="Arial" w:hAnsi="Arial" w:cs="Arial"/>
        </w:rPr>
        <w:t xml:space="preserve"> 2-session fear conditioning (Conditioning), </w:t>
      </w:r>
      <w:r w:rsidR="006A5B28" w:rsidRPr="00413C7E">
        <w:rPr>
          <w:rFonts w:ascii="Arial" w:hAnsi="Arial" w:cs="Arial"/>
        </w:rPr>
        <w:lastRenderedPageBreak/>
        <w:t xml:space="preserve">extinction learning (Extinction) and extinction recall (Recall) protocol </w:t>
      </w:r>
      <w:r w:rsidR="00DF6270" w:rsidRPr="00413C7E">
        <w:rPr>
          <w:rFonts w:ascii="Arial" w:hAnsi="Arial" w:cs="Arial"/>
        </w:rPr>
        <w:t xml:space="preserve">(presented using </w:t>
      </w:r>
      <w:proofErr w:type="spellStart"/>
      <w:r w:rsidR="00DF6270" w:rsidRPr="00413C7E">
        <w:rPr>
          <w:rFonts w:ascii="Arial" w:hAnsi="Arial" w:cs="Arial"/>
        </w:rPr>
        <w:t>SuperLab</w:t>
      </w:r>
      <w:proofErr w:type="spellEnd"/>
      <w:r w:rsidR="00DF6270" w:rsidRPr="00413C7E">
        <w:rPr>
          <w:rFonts w:ascii="Arial" w:hAnsi="Arial" w:cs="Arial"/>
        </w:rPr>
        <w:t xml:space="preserve"> 4.0</w:t>
      </w:r>
      <w:r w:rsidR="006A5B28" w:rsidRPr="00413C7E">
        <w:rPr>
          <w:rFonts w:ascii="Arial" w:hAnsi="Arial" w:cs="Arial"/>
        </w:rPr>
        <w:t xml:space="preserve">, </w:t>
      </w:r>
      <w:r w:rsidR="00DF6270" w:rsidRPr="00413C7E">
        <w:rPr>
          <w:rFonts w:ascii="Arial" w:hAnsi="Arial" w:cs="Arial"/>
        </w:rPr>
        <w:t>Cedrus Corporation, San Pedro, CA)</w:t>
      </w:r>
      <w:r w:rsidR="000011C6" w:rsidRPr="00413C7E">
        <w:rPr>
          <w:rFonts w:ascii="Arial" w:hAnsi="Arial" w:cs="Arial"/>
        </w:rPr>
        <w:t xml:space="preserve"> with continuous skin conductance monitoring</w:t>
      </w:r>
      <w:r w:rsidR="006A5B28" w:rsidRPr="00413C7E">
        <w:rPr>
          <w:rFonts w:ascii="Arial" w:hAnsi="Arial" w:cs="Arial"/>
        </w:rPr>
        <w:t>.</w:t>
      </w:r>
      <w:r w:rsidR="000418F2" w:rsidRPr="00413C7E">
        <w:rPr>
          <w:rFonts w:ascii="Arial" w:hAnsi="Arial" w:cs="Arial"/>
        </w:rPr>
        <w:t xml:space="preserve"> </w:t>
      </w:r>
      <w:r w:rsidR="000011C6" w:rsidRPr="00413C7E">
        <w:rPr>
          <w:rFonts w:ascii="Arial" w:hAnsi="Arial" w:cs="Arial"/>
        </w:rPr>
        <w:t>Conditioning and Extinction</w:t>
      </w:r>
      <w:r w:rsidR="000418F2" w:rsidRPr="00413C7E">
        <w:rPr>
          <w:rFonts w:ascii="Arial" w:hAnsi="Arial" w:cs="Arial"/>
        </w:rPr>
        <w:t xml:space="preserve"> </w:t>
      </w:r>
      <w:r w:rsidR="000011C6" w:rsidRPr="00413C7E">
        <w:rPr>
          <w:rFonts w:ascii="Arial" w:hAnsi="Arial" w:cs="Arial"/>
        </w:rPr>
        <w:t xml:space="preserve">occurred </w:t>
      </w:r>
      <w:r w:rsidR="006A5B28" w:rsidRPr="00413C7E">
        <w:rPr>
          <w:rFonts w:ascii="Arial" w:hAnsi="Arial" w:cs="Arial"/>
        </w:rPr>
        <w:t xml:space="preserve">during session 1 (between </w:t>
      </w:r>
      <w:r w:rsidR="00200398" w:rsidRPr="00413C7E">
        <w:rPr>
          <w:rFonts w:ascii="Arial" w:hAnsi="Arial" w:cs="Arial"/>
        </w:rPr>
        <w:t>7-10AM</w:t>
      </w:r>
      <w:r w:rsidR="006A5B28" w:rsidRPr="00413C7E">
        <w:rPr>
          <w:rFonts w:ascii="Arial" w:hAnsi="Arial" w:cs="Arial"/>
        </w:rPr>
        <w:t xml:space="preserve"> or</w:t>
      </w:r>
      <w:r w:rsidR="00200398" w:rsidRPr="00413C7E">
        <w:rPr>
          <w:rFonts w:ascii="Arial" w:hAnsi="Arial" w:cs="Arial"/>
        </w:rPr>
        <w:t xml:space="preserve"> 7-10PM</w:t>
      </w:r>
      <w:r w:rsidR="006A5B28" w:rsidRPr="00413C7E">
        <w:rPr>
          <w:rFonts w:ascii="Arial" w:hAnsi="Arial" w:cs="Arial"/>
        </w:rPr>
        <w:t>)</w:t>
      </w:r>
      <w:r w:rsidR="000011C6" w:rsidRPr="00413C7E">
        <w:rPr>
          <w:rFonts w:ascii="Arial" w:hAnsi="Arial" w:cs="Arial"/>
        </w:rPr>
        <w:t xml:space="preserve"> and Recall occurred </w:t>
      </w:r>
      <w:r w:rsidR="006A5B28" w:rsidRPr="00413C7E">
        <w:rPr>
          <w:rFonts w:ascii="Arial" w:hAnsi="Arial" w:cs="Arial"/>
        </w:rPr>
        <w:t>during session 2</w:t>
      </w:r>
      <w:r w:rsidR="000011C6" w:rsidRPr="00413C7E">
        <w:rPr>
          <w:rFonts w:ascii="Arial" w:hAnsi="Arial" w:cs="Arial"/>
        </w:rPr>
        <w:t xml:space="preserve">. </w:t>
      </w:r>
      <w:r w:rsidR="006F7DDC" w:rsidRPr="00413C7E">
        <w:rPr>
          <w:rFonts w:ascii="Arial" w:hAnsi="Arial" w:cs="Arial"/>
        </w:rPr>
        <w:t xml:space="preserve">During </w:t>
      </w:r>
      <w:r w:rsidR="006F7DDC" w:rsidRPr="00413C7E">
        <w:rPr>
          <w:rFonts w:ascii="Arial" w:hAnsi="Arial" w:cs="Arial"/>
          <w:bCs/>
        </w:rPr>
        <w:t>Conditioning</w:t>
      </w:r>
      <w:r w:rsidR="006F7DDC" w:rsidRPr="00413C7E">
        <w:rPr>
          <w:rFonts w:ascii="Arial" w:hAnsi="Arial" w:cs="Arial"/>
        </w:rPr>
        <w:t xml:space="preserve">, </w:t>
      </w:r>
      <w:r w:rsidR="0010798A" w:rsidRPr="00413C7E">
        <w:rPr>
          <w:rFonts w:ascii="Arial" w:hAnsi="Arial" w:cs="Arial"/>
        </w:rPr>
        <w:t>two</w:t>
      </w:r>
      <w:r w:rsidR="006F7DDC" w:rsidRPr="00413C7E">
        <w:rPr>
          <w:rFonts w:ascii="Arial" w:hAnsi="Arial" w:cs="Arial"/>
        </w:rPr>
        <w:t xml:space="preserve"> differently colored lamps (CS+</w:t>
      </w:r>
      <w:r w:rsidR="00733A04" w:rsidRPr="00413C7E">
        <w:rPr>
          <w:rFonts w:ascii="Arial" w:hAnsi="Arial" w:cs="Arial"/>
        </w:rPr>
        <w:t>1 and CS+2</w:t>
      </w:r>
      <w:r w:rsidR="006F7DDC" w:rsidRPr="00413C7E">
        <w:rPr>
          <w:rFonts w:ascii="Arial" w:hAnsi="Arial" w:cs="Arial"/>
        </w:rPr>
        <w:t>)</w:t>
      </w:r>
      <w:r w:rsidR="00733A04" w:rsidRPr="00413C7E">
        <w:rPr>
          <w:rFonts w:ascii="Arial" w:hAnsi="Arial" w:cs="Arial"/>
        </w:rPr>
        <w:t xml:space="preserve"> were conditioned with a mild electric finger shock, while a third remained unconditioned</w:t>
      </w:r>
      <w:r w:rsidR="006F7DDC" w:rsidRPr="00413C7E">
        <w:rPr>
          <w:rFonts w:ascii="Arial" w:hAnsi="Arial" w:cs="Arial"/>
        </w:rPr>
        <w:t xml:space="preserve"> (CS-)</w:t>
      </w:r>
      <w:r w:rsidR="00733A04" w:rsidRPr="00413C7E">
        <w:rPr>
          <w:rFonts w:ascii="Arial" w:hAnsi="Arial" w:cs="Arial"/>
        </w:rPr>
        <w:t xml:space="preserve">. </w:t>
      </w:r>
      <w:r w:rsidR="002B7603" w:rsidRPr="00413C7E">
        <w:rPr>
          <w:rFonts w:ascii="Arial" w:hAnsi="Arial" w:cs="Arial"/>
        </w:rPr>
        <w:t>All c</w:t>
      </w:r>
      <w:r w:rsidR="00733A04" w:rsidRPr="00413C7E">
        <w:rPr>
          <w:rFonts w:ascii="Arial" w:hAnsi="Arial" w:cs="Arial"/>
        </w:rPr>
        <w:t>olored lamps</w:t>
      </w:r>
      <w:r w:rsidR="006F7DDC" w:rsidRPr="00413C7E">
        <w:rPr>
          <w:rFonts w:ascii="Arial" w:hAnsi="Arial" w:cs="Arial"/>
        </w:rPr>
        <w:t xml:space="preserve"> were </w:t>
      </w:r>
      <w:r w:rsidR="002B7603" w:rsidRPr="00413C7E">
        <w:rPr>
          <w:rFonts w:ascii="Arial" w:hAnsi="Arial" w:cs="Arial"/>
        </w:rPr>
        <w:t>superimposed onto a photograph of an office which served as the</w:t>
      </w:r>
      <w:r w:rsidR="00E409A0" w:rsidRPr="00413C7E">
        <w:rPr>
          <w:rFonts w:ascii="Arial" w:hAnsi="Arial" w:cs="Arial"/>
        </w:rPr>
        <w:t xml:space="preserve"> conditioning context</w:t>
      </w:r>
      <w:r w:rsidR="006F7DDC" w:rsidRPr="00413C7E">
        <w:rPr>
          <w:rFonts w:ascii="Arial" w:hAnsi="Arial" w:cs="Arial"/>
        </w:rPr>
        <w:t>.</w:t>
      </w:r>
      <w:r w:rsidR="000011C6" w:rsidRPr="00413C7E">
        <w:rPr>
          <w:rFonts w:ascii="Arial" w:hAnsi="Arial" w:cs="Arial"/>
        </w:rPr>
        <w:t xml:space="preserve"> </w:t>
      </w:r>
      <w:r w:rsidR="002B7603" w:rsidRPr="00413C7E">
        <w:rPr>
          <w:rFonts w:ascii="Arial" w:hAnsi="Arial" w:cs="Arial"/>
        </w:rPr>
        <w:t xml:space="preserve">During </w:t>
      </w:r>
      <w:r w:rsidR="000011C6" w:rsidRPr="00413C7E">
        <w:rPr>
          <w:rFonts w:ascii="Arial" w:hAnsi="Arial" w:cs="Arial"/>
        </w:rPr>
        <w:t>Extinction, which immediately followed Conditioning,</w:t>
      </w:r>
      <w:r w:rsidR="006F7DDC" w:rsidRPr="00413C7E">
        <w:rPr>
          <w:rFonts w:ascii="Arial" w:hAnsi="Arial" w:cs="Arial"/>
        </w:rPr>
        <w:t xml:space="preserve"> </w:t>
      </w:r>
      <w:r w:rsidR="000011C6" w:rsidRPr="00413C7E">
        <w:rPr>
          <w:rFonts w:ascii="Arial" w:hAnsi="Arial" w:cs="Arial"/>
        </w:rPr>
        <w:t>o</w:t>
      </w:r>
      <w:r w:rsidR="006F7DDC" w:rsidRPr="00413C7E">
        <w:rPr>
          <w:rFonts w:ascii="Arial" w:hAnsi="Arial" w:cs="Arial"/>
        </w:rPr>
        <w:t>ne CS+ (CS+E)</w:t>
      </w:r>
      <w:r w:rsidR="00E409A0" w:rsidRPr="00413C7E">
        <w:rPr>
          <w:rFonts w:ascii="Arial" w:hAnsi="Arial" w:cs="Arial"/>
        </w:rPr>
        <w:t xml:space="preserve"> </w:t>
      </w:r>
      <w:r w:rsidR="006F7DDC" w:rsidRPr="00413C7E">
        <w:rPr>
          <w:rFonts w:ascii="Arial" w:hAnsi="Arial" w:cs="Arial"/>
        </w:rPr>
        <w:t>was extinguished</w:t>
      </w:r>
      <w:r w:rsidR="000011C6" w:rsidRPr="00413C7E">
        <w:rPr>
          <w:rFonts w:ascii="Arial" w:hAnsi="Arial" w:cs="Arial"/>
        </w:rPr>
        <w:t xml:space="preserve"> by repeatedly presenting it without finger-shock reinforcement</w:t>
      </w:r>
      <w:r w:rsidR="006F7DDC" w:rsidRPr="00413C7E">
        <w:rPr>
          <w:rFonts w:ascii="Arial" w:hAnsi="Arial" w:cs="Arial"/>
        </w:rPr>
        <w:t>.</w:t>
      </w:r>
      <w:r w:rsidR="00205124" w:rsidRPr="00413C7E">
        <w:rPr>
          <w:rFonts w:ascii="Arial" w:hAnsi="Arial" w:cs="Arial"/>
        </w:rPr>
        <w:t xml:space="preserve"> Presentations of the CS- were interspersed pseudo-randomly. Both CS during Extinction were superimposed onto a photograph of a conference room which served as the extinction context. </w:t>
      </w:r>
      <w:r w:rsidR="009A33AF" w:rsidRPr="00413C7E">
        <w:rPr>
          <w:rFonts w:ascii="Arial" w:hAnsi="Arial" w:cs="Arial"/>
        </w:rPr>
        <w:t>The</w:t>
      </w:r>
      <w:r w:rsidR="00A1168B" w:rsidRPr="00413C7E">
        <w:rPr>
          <w:rFonts w:ascii="Arial" w:hAnsi="Arial" w:cs="Arial"/>
        </w:rPr>
        <w:t xml:space="preserve"> second</w:t>
      </w:r>
      <w:r w:rsidR="009A33AF" w:rsidRPr="00413C7E">
        <w:rPr>
          <w:rFonts w:ascii="Arial" w:hAnsi="Arial" w:cs="Arial"/>
        </w:rPr>
        <w:t xml:space="preserve"> </w:t>
      </w:r>
      <w:r w:rsidR="00A1168B" w:rsidRPr="00413C7E">
        <w:rPr>
          <w:rFonts w:ascii="Arial" w:hAnsi="Arial" w:cs="Arial"/>
        </w:rPr>
        <w:t xml:space="preserve">CS+ (CS+U) remained conditioned, but un-extinguished. </w:t>
      </w:r>
      <w:r w:rsidR="00205124" w:rsidRPr="00413C7E">
        <w:rPr>
          <w:rFonts w:ascii="Arial" w:hAnsi="Arial" w:cs="Arial"/>
        </w:rPr>
        <w:t>At Recall, which occurred</w:t>
      </w:r>
      <w:r w:rsidR="006F7DDC" w:rsidRPr="00413C7E">
        <w:rPr>
          <w:rFonts w:ascii="Arial" w:hAnsi="Arial" w:cs="Arial"/>
        </w:rPr>
        <w:t xml:space="preserve"> 3-, 12- or 24-hr</w:t>
      </w:r>
      <w:r w:rsidR="00205124" w:rsidRPr="00413C7E">
        <w:rPr>
          <w:rFonts w:ascii="Arial" w:hAnsi="Arial" w:cs="Arial"/>
        </w:rPr>
        <w:t xml:space="preserve"> after Extinction,</w:t>
      </w:r>
      <w:r w:rsidR="006F7DDC" w:rsidRPr="00413C7E">
        <w:rPr>
          <w:rFonts w:ascii="Arial" w:hAnsi="Arial" w:cs="Arial"/>
        </w:rPr>
        <w:t xml:space="preserve"> all 3 CS</w:t>
      </w:r>
      <w:r w:rsidR="009A33AF" w:rsidRPr="00413C7E">
        <w:rPr>
          <w:rFonts w:ascii="Arial" w:hAnsi="Arial" w:cs="Arial"/>
        </w:rPr>
        <w:t xml:space="preserve"> </w:t>
      </w:r>
      <w:r w:rsidR="006F7DDC" w:rsidRPr="00413C7E">
        <w:rPr>
          <w:rFonts w:ascii="Arial" w:hAnsi="Arial" w:cs="Arial"/>
        </w:rPr>
        <w:t xml:space="preserve">were presented </w:t>
      </w:r>
      <w:r w:rsidR="000011C6" w:rsidRPr="00413C7E">
        <w:rPr>
          <w:rFonts w:ascii="Arial" w:hAnsi="Arial" w:cs="Arial"/>
          <w:bCs/>
        </w:rPr>
        <w:t>without finger-shock reinforcement</w:t>
      </w:r>
      <w:r w:rsidR="00205124" w:rsidRPr="00413C7E">
        <w:rPr>
          <w:rFonts w:ascii="Arial" w:hAnsi="Arial" w:cs="Arial"/>
          <w:bCs/>
        </w:rPr>
        <w:t>.</w:t>
      </w:r>
      <w:r w:rsidR="00D26D99" w:rsidRPr="00413C7E">
        <w:rPr>
          <w:rFonts w:ascii="Arial" w:hAnsi="Arial" w:cs="Arial"/>
        </w:rPr>
        <w:t xml:space="preserve"> </w:t>
      </w:r>
      <w:r w:rsidR="00081076" w:rsidRPr="00413C7E">
        <w:rPr>
          <w:rFonts w:ascii="Arial" w:hAnsi="Arial" w:cs="Arial"/>
        </w:rPr>
        <w:t xml:space="preserve">Study phases </w:t>
      </w:r>
      <w:r w:rsidR="00F02EF8" w:rsidRPr="00413C7E">
        <w:rPr>
          <w:rFonts w:ascii="Arial" w:hAnsi="Arial" w:cs="Arial"/>
        </w:rPr>
        <w:t>were divided into two</w:t>
      </w:r>
      <w:r w:rsidR="00081076" w:rsidRPr="00413C7E">
        <w:rPr>
          <w:rFonts w:ascii="Arial" w:hAnsi="Arial" w:cs="Arial"/>
        </w:rPr>
        <w:t xml:space="preserve"> block</w:t>
      </w:r>
      <w:r w:rsidR="00F02EF8" w:rsidRPr="00413C7E">
        <w:rPr>
          <w:rFonts w:ascii="Arial" w:hAnsi="Arial" w:cs="Arial"/>
        </w:rPr>
        <w:t>s</w:t>
      </w:r>
      <w:r w:rsidR="00081076" w:rsidRPr="00413C7E">
        <w:rPr>
          <w:rFonts w:ascii="Arial" w:hAnsi="Arial" w:cs="Arial"/>
        </w:rPr>
        <w:t xml:space="preserve"> </w:t>
      </w:r>
      <w:r w:rsidR="00F02EF8" w:rsidRPr="00413C7E">
        <w:rPr>
          <w:rFonts w:ascii="Arial" w:hAnsi="Arial" w:cs="Arial"/>
        </w:rPr>
        <w:t>with only</w:t>
      </w:r>
      <w:r w:rsidR="00081076" w:rsidRPr="00413C7E">
        <w:rPr>
          <w:rFonts w:ascii="Arial" w:hAnsi="Arial" w:cs="Arial"/>
        </w:rPr>
        <w:t xml:space="preserve"> one type of CS+</w:t>
      </w:r>
      <w:r w:rsidR="00F02EF8" w:rsidRPr="00413C7E">
        <w:rPr>
          <w:rFonts w:ascii="Arial" w:hAnsi="Arial" w:cs="Arial"/>
        </w:rPr>
        <w:t xml:space="preserve"> shown with interspersed CS- in each block.</w:t>
      </w:r>
      <w:r w:rsidR="00081076" w:rsidRPr="00413C7E">
        <w:rPr>
          <w:rFonts w:ascii="Arial" w:hAnsi="Arial" w:cs="Arial"/>
        </w:rPr>
        <w:t xml:space="preserve"> CS</w:t>
      </w:r>
      <w:r w:rsidR="00F02EF8" w:rsidRPr="00413C7E">
        <w:rPr>
          <w:rFonts w:ascii="Arial" w:hAnsi="Arial" w:cs="Arial"/>
        </w:rPr>
        <w:t xml:space="preserve"> colors (red, blue or yellow)</w:t>
      </w:r>
      <w:r w:rsidR="00081076" w:rsidRPr="00413C7E">
        <w:rPr>
          <w:rFonts w:ascii="Arial" w:hAnsi="Arial" w:cs="Arial"/>
        </w:rPr>
        <w:t xml:space="preserve"> were counterbalanced across participants. For each stimulus presentation, the study context appeared</w:t>
      </w:r>
      <w:r w:rsidR="00F02EF8" w:rsidRPr="00413C7E">
        <w:rPr>
          <w:rFonts w:ascii="Arial" w:hAnsi="Arial" w:cs="Arial"/>
        </w:rPr>
        <w:t xml:space="preserve"> on screen</w:t>
      </w:r>
      <w:r w:rsidR="00081076" w:rsidRPr="00413C7E">
        <w:rPr>
          <w:rFonts w:ascii="Arial" w:hAnsi="Arial" w:cs="Arial"/>
        </w:rPr>
        <w:t xml:space="preserve"> for 3 seconds with an unlit lamp, then the lamp lit up to one of</w:t>
      </w:r>
      <w:r w:rsidR="0020761A" w:rsidRPr="00413C7E">
        <w:rPr>
          <w:rFonts w:ascii="Arial" w:hAnsi="Arial" w:cs="Arial"/>
        </w:rPr>
        <w:t xml:space="preserve"> the</w:t>
      </w:r>
      <w:r w:rsidR="00081076" w:rsidRPr="00413C7E">
        <w:rPr>
          <w:rFonts w:ascii="Arial" w:hAnsi="Arial" w:cs="Arial"/>
        </w:rPr>
        <w:t xml:space="preserve"> three colors (</w:t>
      </w:r>
      <w:r w:rsidR="00F02EF8" w:rsidRPr="00413C7E">
        <w:rPr>
          <w:rFonts w:ascii="Arial" w:hAnsi="Arial" w:cs="Arial"/>
          <w:i/>
        </w:rPr>
        <w:t>see ab</w:t>
      </w:r>
      <w:r w:rsidR="0020761A" w:rsidRPr="00413C7E">
        <w:rPr>
          <w:rFonts w:ascii="Arial" w:hAnsi="Arial" w:cs="Arial"/>
          <w:i/>
        </w:rPr>
        <w:t>ove</w:t>
      </w:r>
      <w:r w:rsidR="0020761A" w:rsidRPr="00413C7E">
        <w:rPr>
          <w:rFonts w:ascii="Arial" w:hAnsi="Arial" w:cs="Arial"/>
        </w:rPr>
        <w:t>)</w:t>
      </w:r>
      <w:r w:rsidR="00081076" w:rsidRPr="00413C7E">
        <w:rPr>
          <w:rFonts w:ascii="Arial" w:hAnsi="Arial" w:cs="Arial"/>
        </w:rPr>
        <w:t xml:space="preserve"> and remained on</w:t>
      </w:r>
      <w:r w:rsidR="000C79F6" w:rsidRPr="00413C7E">
        <w:rPr>
          <w:rFonts w:ascii="Arial" w:hAnsi="Arial" w:cs="Arial"/>
        </w:rPr>
        <w:t>-</w:t>
      </w:r>
      <w:r w:rsidR="00081076" w:rsidRPr="00413C7E">
        <w:rPr>
          <w:rFonts w:ascii="Arial" w:hAnsi="Arial" w:cs="Arial"/>
        </w:rPr>
        <w:t xml:space="preserve">screen for an additional 6 seconds. </w:t>
      </w:r>
      <w:r w:rsidR="003870A7" w:rsidRPr="00413C7E">
        <w:rPr>
          <w:rFonts w:ascii="Arial" w:hAnsi="Arial" w:cs="Arial"/>
        </w:rPr>
        <w:t>I</w:t>
      </w:r>
      <w:r w:rsidR="00081076" w:rsidRPr="00413C7E">
        <w:rPr>
          <w:rFonts w:ascii="Arial" w:hAnsi="Arial" w:cs="Arial"/>
        </w:rPr>
        <w:t xml:space="preserve">nter-stimulus interval was jittered 12-18 s. </w:t>
      </w:r>
    </w:p>
    <w:p w14:paraId="36D58E26" w14:textId="44E54664" w:rsidR="00F904D6" w:rsidRPr="00413C7E" w:rsidRDefault="00F904D6" w:rsidP="00EA58B0">
      <w:pPr>
        <w:rPr>
          <w:rFonts w:ascii="Arial" w:hAnsi="Arial" w:cs="Arial"/>
        </w:rPr>
      </w:pPr>
      <w:r w:rsidRPr="00413C7E">
        <w:rPr>
          <w:rFonts w:ascii="Arial" w:hAnsi="Arial" w:cs="Arial"/>
        </w:rPr>
        <w:tab/>
      </w:r>
    </w:p>
    <w:p w14:paraId="7B36B590" w14:textId="52262072" w:rsidR="002B1504" w:rsidRPr="00413C7E" w:rsidRDefault="002B1504" w:rsidP="00EA58B0">
      <w:pPr>
        <w:rPr>
          <w:rFonts w:ascii="Arial" w:hAnsi="Arial" w:cs="Arial"/>
          <w:i/>
        </w:rPr>
      </w:pPr>
      <w:r w:rsidRPr="00413C7E">
        <w:rPr>
          <w:rFonts w:ascii="Arial" w:hAnsi="Arial" w:cs="Arial"/>
          <w:i/>
        </w:rPr>
        <w:t>Skin</w:t>
      </w:r>
      <w:r w:rsidR="00DE6217" w:rsidRPr="00413C7E">
        <w:rPr>
          <w:rFonts w:ascii="Arial" w:hAnsi="Arial" w:cs="Arial"/>
          <w:i/>
        </w:rPr>
        <w:t xml:space="preserve"> C</w:t>
      </w:r>
      <w:r w:rsidRPr="00413C7E">
        <w:rPr>
          <w:rFonts w:ascii="Arial" w:hAnsi="Arial" w:cs="Arial"/>
          <w:i/>
        </w:rPr>
        <w:t xml:space="preserve">onductance </w:t>
      </w:r>
      <w:r w:rsidR="00DE6217" w:rsidRPr="00413C7E">
        <w:rPr>
          <w:rFonts w:ascii="Arial" w:hAnsi="Arial" w:cs="Arial"/>
          <w:i/>
        </w:rPr>
        <w:t>M</w:t>
      </w:r>
      <w:r w:rsidRPr="00413C7E">
        <w:rPr>
          <w:rFonts w:ascii="Arial" w:hAnsi="Arial" w:cs="Arial"/>
          <w:i/>
        </w:rPr>
        <w:t>onitoring</w:t>
      </w:r>
    </w:p>
    <w:p w14:paraId="7CE04FAB" w14:textId="77777777" w:rsidR="002B1504" w:rsidRPr="00413C7E" w:rsidRDefault="002B1504" w:rsidP="00EA58B0">
      <w:pPr>
        <w:rPr>
          <w:rFonts w:ascii="Arial" w:hAnsi="Arial" w:cs="Arial"/>
        </w:rPr>
      </w:pPr>
    </w:p>
    <w:p w14:paraId="445D44CA" w14:textId="10F6E1C6" w:rsidR="002B1504" w:rsidRPr="00413C7E" w:rsidRDefault="002B1504" w:rsidP="00EA58B0">
      <w:pPr>
        <w:rPr>
          <w:rFonts w:ascii="Arial" w:hAnsi="Arial" w:cs="Arial"/>
        </w:rPr>
      </w:pPr>
      <w:r w:rsidRPr="00413C7E">
        <w:rPr>
          <w:rFonts w:ascii="Arial" w:hAnsi="Arial" w:cs="Arial"/>
        </w:rPr>
        <w:t xml:space="preserve">Skin conductance level (SCL) was measured as described in Pace-Schott </w:t>
      </w:r>
      <w:r w:rsidR="00CC183B" w:rsidRPr="00413C7E">
        <w:rPr>
          <w:rFonts w:ascii="Arial" w:hAnsi="Arial" w:cs="Arial"/>
          <w:i/>
        </w:rPr>
        <w:t>et al.</w:t>
      </w:r>
      <w:r w:rsidRPr="00413C7E">
        <w:rPr>
          <w:rFonts w:ascii="Arial" w:hAnsi="Arial" w:cs="Arial"/>
        </w:rPr>
        <w:t xml:space="preserve"> (2013). In brief, two adhesive electrodermal electrodes were attached to the hypothenar surface of the non-dominant hand</w:t>
      </w:r>
      <w:r w:rsidR="00DB490F" w:rsidRPr="00413C7E">
        <w:rPr>
          <w:rFonts w:ascii="Arial" w:hAnsi="Arial" w:cs="Arial"/>
        </w:rPr>
        <w:t xml:space="preserve"> and </w:t>
      </w:r>
      <w:r w:rsidR="00D867D3" w:rsidRPr="00413C7E">
        <w:rPr>
          <w:rFonts w:ascii="Arial" w:hAnsi="Arial" w:cs="Arial"/>
        </w:rPr>
        <w:t>co</w:t>
      </w:r>
      <w:r w:rsidR="003A3C95" w:rsidRPr="00413C7E">
        <w:rPr>
          <w:rFonts w:ascii="Arial" w:hAnsi="Arial" w:cs="Arial"/>
        </w:rPr>
        <w:t>nn</w:t>
      </w:r>
      <w:r w:rsidR="00D867D3" w:rsidRPr="00413C7E">
        <w:rPr>
          <w:rFonts w:ascii="Arial" w:hAnsi="Arial" w:cs="Arial"/>
        </w:rPr>
        <w:t>ected</w:t>
      </w:r>
      <w:r w:rsidR="00DB490F" w:rsidRPr="00413C7E">
        <w:rPr>
          <w:rFonts w:ascii="Arial" w:hAnsi="Arial" w:cs="Arial"/>
        </w:rPr>
        <w:t xml:space="preserve"> to the </w:t>
      </w:r>
      <w:r w:rsidRPr="00413C7E">
        <w:rPr>
          <w:rFonts w:ascii="Arial" w:hAnsi="Arial" w:cs="Arial"/>
        </w:rPr>
        <w:t>BIOPAC MP150</w:t>
      </w:r>
      <w:r w:rsidR="00DB490F" w:rsidRPr="00413C7E">
        <w:rPr>
          <w:rFonts w:ascii="Arial" w:hAnsi="Arial" w:cs="Arial"/>
        </w:rPr>
        <w:t xml:space="preserve"> device (</w:t>
      </w:r>
      <w:r w:rsidRPr="00413C7E">
        <w:rPr>
          <w:rFonts w:ascii="Arial" w:hAnsi="Arial" w:cs="Arial"/>
        </w:rPr>
        <w:t>BIOPAC Systems, Inc., Goleta, CA)</w:t>
      </w:r>
      <w:r w:rsidR="00DB490F" w:rsidRPr="00413C7E">
        <w:rPr>
          <w:rFonts w:ascii="Arial" w:hAnsi="Arial" w:cs="Arial"/>
        </w:rPr>
        <w:t>.</w:t>
      </w:r>
      <w:r w:rsidRPr="00413C7E">
        <w:rPr>
          <w:rFonts w:ascii="Arial" w:hAnsi="Arial" w:cs="Arial"/>
        </w:rPr>
        <w:t xml:space="preserve"> </w:t>
      </w:r>
      <w:r w:rsidR="00DB490F" w:rsidRPr="00413C7E">
        <w:rPr>
          <w:rFonts w:ascii="Arial" w:hAnsi="Arial" w:cs="Arial"/>
        </w:rPr>
        <w:t>D</w:t>
      </w:r>
      <w:r w:rsidRPr="00413C7E">
        <w:rPr>
          <w:rFonts w:ascii="Arial" w:hAnsi="Arial" w:cs="Arial"/>
        </w:rPr>
        <w:t xml:space="preserve">ata were collected using BIOPAC </w:t>
      </w:r>
      <w:proofErr w:type="spellStart"/>
      <w:r w:rsidRPr="00413C7E">
        <w:rPr>
          <w:rFonts w:ascii="Arial" w:hAnsi="Arial" w:cs="Arial"/>
        </w:rPr>
        <w:t>AcqKnowledge</w:t>
      </w:r>
      <w:proofErr w:type="spellEnd"/>
      <w:r w:rsidRPr="00413C7E">
        <w:rPr>
          <w:rFonts w:ascii="Arial" w:hAnsi="Arial" w:cs="Arial"/>
        </w:rPr>
        <w:t xml:space="preserve"> 3.9.2 and 4.1.1 data acquisition software for Macintosh.  Event marks indicated CS onset, allowing for precise synchronization between stimuli presentation and stimulus-evoked skin conductance response (SCR). SCR was calculated by subtracting the mean SCL during the last 2 s</w:t>
      </w:r>
      <w:r w:rsidR="00792430" w:rsidRPr="00413C7E">
        <w:rPr>
          <w:rFonts w:ascii="Arial" w:hAnsi="Arial" w:cs="Arial"/>
        </w:rPr>
        <w:t>econds</w:t>
      </w:r>
      <w:r w:rsidRPr="00413C7E">
        <w:rPr>
          <w:rFonts w:ascii="Arial" w:hAnsi="Arial" w:cs="Arial"/>
        </w:rPr>
        <w:t xml:space="preserve"> of context-alone presentation from the peak SCL during the 6-sec</w:t>
      </w:r>
      <w:r w:rsidR="009F4B1D" w:rsidRPr="00413C7E">
        <w:rPr>
          <w:rFonts w:ascii="Arial" w:hAnsi="Arial" w:cs="Arial"/>
        </w:rPr>
        <w:t>ond</w:t>
      </w:r>
      <w:r w:rsidRPr="00413C7E">
        <w:rPr>
          <w:rFonts w:ascii="Arial" w:hAnsi="Arial" w:cs="Arial"/>
        </w:rPr>
        <w:t xml:space="preserve"> CS presentation. Non-conditioners were defined as those who showed less than 2 non-square root transformed SCR</w:t>
      </w:r>
      <w:r w:rsidR="00DB490F" w:rsidRPr="00413C7E">
        <w:rPr>
          <w:rFonts w:ascii="Arial" w:hAnsi="Arial" w:cs="Arial"/>
        </w:rPr>
        <w:t>s</w:t>
      </w:r>
      <w:r w:rsidRPr="00413C7E">
        <w:rPr>
          <w:rFonts w:ascii="Arial" w:hAnsi="Arial" w:cs="Arial"/>
        </w:rPr>
        <w:t xml:space="preserve"> greater than 0.05 µS to a CS+ during the conditioning phase.</w:t>
      </w:r>
    </w:p>
    <w:p w14:paraId="611F2EA1" w14:textId="3A4B1083" w:rsidR="00081076" w:rsidRPr="00413C7E" w:rsidRDefault="00081076" w:rsidP="00EA58B0">
      <w:pPr>
        <w:rPr>
          <w:rFonts w:ascii="Arial" w:hAnsi="Arial" w:cs="Arial"/>
        </w:rPr>
      </w:pPr>
    </w:p>
    <w:p w14:paraId="64C0F11A" w14:textId="3BC1D6A0" w:rsidR="00081076" w:rsidRPr="00413C7E" w:rsidRDefault="00081076" w:rsidP="00EA58B0">
      <w:pPr>
        <w:rPr>
          <w:rFonts w:ascii="Arial" w:hAnsi="Arial" w:cs="Arial"/>
          <w:i/>
        </w:rPr>
      </w:pPr>
      <w:r w:rsidRPr="00413C7E">
        <w:rPr>
          <w:rFonts w:ascii="Arial" w:hAnsi="Arial" w:cs="Arial"/>
          <w:i/>
        </w:rPr>
        <w:t xml:space="preserve">Physiological </w:t>
      </w:r>
      <w:r w:rsidR="002E6A06" w:rsidRPr="00413C7E">
        <w:rPr>
          <w:rFonts w:ascii="Arial" w:hAnsi="Arial" w:cs="Arial"/>
          <w:i/>
        </w:rPr>
        <w:t>R</w:t>
      </w:r>
      <w:r w:rsidRPr="00413C7E">
        <w:rPr>
          <w:rFonts w:ascii="Arial" w:hAnsi="Arial" w:cs="Arial"/>
          <w:i/>
        </w:rPr>
        <w:t>eactivity</w:t>
      </w:r>
    </w:p>
    <w:p w14:paraId="6CC5364C" w14:textId="77777777" w:rsidR="00081076" w:rsidRPr="00413C7E" w:rsidRDefault="00081076" w:rsidP="00EA58B0">
      <w:pPr>
        <w:rPr>
          <w:rFonts w:ascii="Arial" w:hAnsi="Arial" w:cs="Arial"/>
        </w:rPr>
      </w:pPr>
    </w:p>
    <w:p w14:paraId="6FC19F33" w14:textId="4D846ED8" w:rsidR="008D2022" w:rsidRPr="00413C7E" w:rsidRDefault="0042097E" w:rsidP="006A271B">
      <w:pPr>
        <w:pStyle w:val="NormalWeb"/>
        <w:spacing w:before="0" w:beforeAutospacing="0" w:after="0" w:afterAutospacing="0"/>
        <w:rPr>
          <w:rFonts w:ascii="Arial" w:hAnsi="Arial" w:cs="Arial"/>
          <w:bCs/>
          <w:shd w:val="clear" w:color="auto" w:fill="FFFFFF"/>
        </w:rPr>
      </w:pPr>
      <w:r w:rsidRPr="00413C7E">
        <w:rPr>
          <w:rFonts w:ascii="Arial" w:hAnsi="Arial" w:cs="Arial"/>
        </w:rPr>
        <w:t>SCRs</w:t>
      </w:r>
      <w:r w:rsidR="00081076" w:rsidRPr="00413C7E">
        <w:rPr>
          <w:rFonts w:ascii="Arial" w:hAnsi="Arial" w:cs="Arial"/>
        </w:rPr>
        <w:t xml:space="preserve"> were square-</w:t>
      </w:r>
      <w:proofErr w:type="spellStart"/>
      <w:r w:rsidR="00081076" w:rsidRPr="00413C7E">
        <w:rPr>
          <w:rFonts w:ascii="Arial" w:hAnsi="Arial" w:cs="Arial"/>
        </w:rPr>
        <w:t>root</w:t>
      </w:r>
      <w:proofErr w:type="spellEnd"/>
      <w:r w:rsidR="00081076" w:rsidRPr="00413C7E">
        <w:rPr>
          <w:rFonts w:ascii="Arial" w:hAnsi="Arial" w:cs="Arial"/>
        </w:rPr>
        <w:t xml:space="preserve"> transformed. </w:t>
      </w:r>
      <w:r w:rsidR="006F7DDC" w:rsidRPr="00413C7E">
        <w:rPr>
          <w:rFonts w:ascii="Arial" w:hAnsi="Arial" w:cs="Arial"/>
        </w:rPr>
        <w:t xml:space="preserve">Differential SCR (SCRd) was SCR to a CS+ minus SCR to its </w:t>
      </w:r>
      <w:r w:rsidR="0055004A" w:rsidRPr="00413C7E">
        <w:rPr>
          <w:rFonts w:ascii="Arial" w:hAnsi="Arial" w:cs="Arial"/>
        </w:rPr>
        <w:t xml:space="preserve">temporally </w:t>
      </w:r>
      <w:r w:rsidR="006F7DDC" w:rsidRPr="00413C7E">
        <w:rPr>
          <w:rFonts w:ascii="Arial" w:hAnsi="Arial" w:cs="Arial"/>
        </w:rPr>
        <w:t>corresponding CS-, which controls for non-specific (i.e. non-learned) responses to both stimuli.</w:t>
      </w:r>
      <w:r w:rsidR="003A03D4" w:rsidRPr="00413C7E">
        <w:rPr>
          <w:rFonts w:ascii="Arial" w:hAnsi="Arial" w:cs="Arial"/>
        </w:rPr>
        <w:t xml:space="preserve"> </w:t>
      </w:r>
      <w:r w:rsidR="008D2022" w:rsidRPr="00413C7E">
        <w:rPr>
          <w:rFonts w:ascii="Arial" w:hAnsi="Arial" w:cs="Arial"/>
        </w:rPr>
        <w:t>We</w:t>
      </w:r>
      <w:r w:rsidR="008D2022" w:rsidRPr="00413C7E">
        <w:rPr>
          <w:rFonts w:ascii="Arial" w:hAnsi="Arial" w:cs="Arial"/>
          <w:bCs/>
          <w:shd w:val="clear" w:color="auto" w:fill="FFFFFF"/>
        </w:rPr>
        <w:t xml:space="preserve"> calculated our index variables below using SCR and SCRd as each has a unique set of advantages. While SCR </w:t>
      </w:r>
      <w:r w:rsidR="006A271B" w:rsidRPr="00413C7E">
        <w:rPr>
          <w:rFonts w:ascii="Arial" w:hAnsi="Arial" w:cs="Arial"/>
          <w:bCs/>
          <w:shd w:val="clear" w:color="auto" w:fill="FFFFFF"/>
        </w:rPr>
        <w:t>captures general reactivity, SCRd reflects only the pure component of</w:t>
      </w:r>
      <w:r w:rsidR="00120565" w:rsidRPr="00413C7E">
        <w:rPr>
          <w:rFonts w:ascii="Arial" w:hAnsi="Arial" w:cs="Arial"/>
          <w:bCs/>
          <w:shd w:val="clear" w:color="auto" w:fill="FFFFFF"/>
        </w:rPr>
        <w:t xml:space="preserve"> memory for</w:t>
      </w:r>
      <w:r w:rsidR="006A271B" w:rsidRPr="00413C7E">
        <w:rPr>
          <w:rFonts w:ascii="Arial" w:hAnsi="Arial" w:cs="Arial"/>
          <w:bCs/>
          <w:shd w:val="clear" w:color="auto" w:fill="FFFFFF"/>
        </w:rPr>
        <w:t xml:space="preserve"> associative </w:t>
      </w:r>
      <w:r w:rsidR="002E5343" w:rsidRPr="00413C7E">
        <w:rPr>
          <w:rFonts w:ascii="Arial" w:hAnsi="Arial" w:cs="Arial"/>
          <w:bCs/>
          <w:shd w:val="clear" w:color="auto" w:fill="FFFFFF"/>
        </w:rPr>
        <w:t xml:space="preserve">threat </w:t>
      </w:r>
      <w:r w:rsidR="006A271B" w:rsidRPr="00413C7E">
        <w:rPr>
          <w:rFonts w:ascii="Arial" w:hAnsi="Arial" w:cs="Arial"/>
          <w:bCs/>
          <w:shd w:val="clear" w:color="auto" w:fill="FFFFFF"/>
        </w:rPr>
        <w:t xml:space="preserve">learning (Lockhart and </w:t>
      </w:r>
      <w:proofErr w:type="spellStart"/>
      <w:r w:rsidR="006A271B" w:rsidRPr="00413C7E">
        <w:rPr>
          <w:rFonts w:ascii="Arial" w:hAnsi="Arial" w:cs="Arial"/>
          <w:bCs/>
          <w:shd w:val="clear" w:color="auto" w:fill="FFFFFF"/>
        </w:rPr>
        <w:t>Grings</w:t>
      </w:r>
      <w:proofErr w:type="spellEnd"/>
      <w:r w:rsidR="006A271B" w:rsidRPr="00413C7E">
        <w:rPr>
          <w:rFonts w:ascii="Arial" w:hAnsi="Arial" w:cs="Arial"/>
          <w:bCs/>
          <w:shd w:val="clear" w:color="auto" w:fill="FFFFFF"/>
        </w:rPr>
        <w:t xml:space="preserve">, 1963; </w:t>
      </w:r>
      <w:proofErr w:type="spellStart"/>
      <w:r w:rsidR="006A271B" w:rsidRPr="00413C7E">
        <w:rPr>
          <w:rFonts w:ascii="Arial" w:hAnsi="Arial" w:cs="Arial"/>
          <w:bCs/>
          <w:shd w:val="clear" w:color="auto" w:fill="FFFFFF"/>
        </w:rPr>
        <w:t>Pineles</w:t>
      </w:r>
      <w:proofErr w:type="spellEnd"/>
      <w:r w:rsidR="006A271B" w:rsidRPr="00413C7E">
        <w:rPr>
          <w:rFonts w:ascii="Arial" w:hAnsi="Arial" w:cs="Arial"/>
          <w:bCs/>
          <w:shd w:val="clear" w:color="auto" w:fill="FFFFFF"/>
        </w:rPr>
        <w:t xml:space="preserve"> et al., 2009).</w:t>
      </w:r>
    </w:p>
    <w:p w14:paraId="5FF33D36" w14:textId="77777777" w:rsidR="006A271B" w:rsidRPr="00413C7E" w:rsidRDefault="006A271B" w:rsidP="00EA58B0">
      <w:pPr>
        <w:rPr>
          <w:rFonts w:ascii="Arial" w:hAnsi="Arial" w:cs="Arial"/>
          <w:bCs/>
        </w:rPr>
      </w:pPr>
    </w:p>
    <w:p w14:paraId="51196552" w14:textId="67BCAC3E" w:rsidR="0042097E" w:rsidRPr="00413C7E" w:rsidRDefault="0042097E" w:rsidP="00EA58B0">
      <w:pPr>
        <w:rPr>
          <w:rFonts w:ascii="Arial" w:hAnsi="Arial" w:cs="Arial"/>
          <w:i/>
        </w:rPr>
      </w:pPr>
      <w:r w:rsidRPr="00413C7E">
        <w:rPr>
          <w:rFonts w:ascii="Arial" w:hAnsi="Arial" w:cs="Arial"/>
          <w:i/>
        </w:rPr>
        <w:t>Exti</w:t>
      </w:r>
      <w:r w:rsidR="00B4011F" w:rsidRPr="00413C7E">
        <w:rPr>
          <w:rFonts w:ascii="Arial" w:hAnsi="Arial" w:cs="Arial"/>
          <w:i/>
        </w:rPr>
        <w:t xml:space="preserve">nction </w:t>
      </w:r>
      <w:r w:rsidR="002E6A06" w:rsidRPr="00413C7E">
        <w:rPr>
          <w:rFonts w:ascii="Arial" w:hAnsi="Arial" w:cs="Arial"/>
          <w:i/>
        </w:rPr>
        <w:t>M</w:t>
      </w:r>
      <w:r w:rsidR="00B4011F" w:rsidRPr="00413C7E">
        <w:rPr>
          <w:rFonts w:ascii="Arial" w:hAnsi="Arial" w:cs="Arial"/>
          <w:i/>
        </w:rPr>
        <w:t xml:space="preserve">emory </w:t>
      </w:r>
      <w:r w:rsidR="002E6A06" w:rsidRPr="00413C7E">
        <w:rPr>
          <w:rFonts w:ascii="Arial" w:hAnsi="Arial" w:cs="Arial"/>
          <w:i/>
        </w:rPr>
        <w:t>M</w:t>
      </w:r>
      <w:r w:rsidR="00B4011F" w:rsidRPr="00413C7E">
        <w:rPr>
          <w:rFonts w:ascii="Arial" w:hAnsi="Arial" w:cs="Arial"/>
          <w:i/>
        </w:rPr>
        <w:t>easures</w:t>
      </w:r>
    </w:p>
    <w:p w14:paraId="7BFD1B27" w14:textId="77777777" w:rsidR="0042097E" w:rsidRPr="00413C7E" w:rsidRDefault="0042097E" w:rsidP="00EA58B0">
      <w:pPr>
        <w:rPr>
          <w:rFonts w:ascii="Arial" w:hAnsi="Arial" w:cs="Arial"/>
          <w:bCs/>
        </w:rPr>
      </w:pPr>
    </w:p>
    <w:p w14:paraId="09304095" w14:textId="607C2BAD" w:rsidR="00081076" w:rsidRPr="00413C7E" w:rsidRDefault="00081076" w:rsidP="00EA58B0">
      <w:pPr>
        <w:rPr>
          <w:rFonts w:ascii="Arial" w:hAnsi="Arial" w:cs="Arial"/>
        </w:rPr>
      </w:pPr>
      <w:r w:rsidRPr="00413C7E">
        <w:rPr>
          <w:rFonts w:ascii="Arial" w:hAnsi="Arial" w:cs="Arial"/>
          <w:bCs/>
        </w:rPr>
        <w:lastRenderedPageBreak/>
        <w:t xml:space="preserve">Memory for </w:t>
      </w:r>
      <w:r w:rsidR="004C3192" w:rsidRPr="00413C7E">
        <w:rPr>
          <w:rFonts w:ascii="Arial" w:hAnsi="Arial" w:cs="Arial"/>
          <w:bCs/>
        </w:rPr>
        <w:t>e</w:t>
      </w:r>
      <w:r w:rsidRPr="00413C7E">
        <w:rPr>
          <w:rFonts w:ascii="Arial" w:hAnsi="Arial" w:cs="Arial"/>
          <w:bCs/>
        </w:rPr>
        <w:t>xtinction was computed using the Extinction Retention Index (</w:t>
      </w:r>
      <w:r w:rsidR="00B4011F" w:rsidRPr="00413C7E">
        <w:rPr>
          <w:rFonts w:ascii="Arial" w:hAnsi="Arial" w:cs="Arial"/>
          <w:bCs/>
        </w:rPr>
        <w:t xml:space="preserve">ERI; </w:t>
      </w:r>
      <w:r w:rsidRPr="00413C7E">
        <w:rPr>
          <w:rFonts w:ascii="Arial" w:hAnsi="Arial" w:cs="Arial"/>
          <w:bCs/>
        </w:rPr>
        <w:t xml:space="preserve">McLaughlin </w:t>
      </w:r>
      <w:r w:rsidRPr="00413C7E">
        <w:rPr>
          <w:rFonts w:ascii="Arial" w:hAnsi="Arial" w:cs="Arial"/>
          <w:bCs/>
          <w:i/>
        </w:rPr>
        <w:t>et al.</w:t>
      </w:r>
      <w:r w:rsidRPr="00413C7E">
        <w:rPr>
          <w:rFonts w:ascii="Arial" w:hAnsi="Arial" w:cs="Arial"/>
          <w:bCs/>
        </w:rPr>
        <w:t xml:space="preserve">, 2015) calculated as the </w:t>
      </w:r>
      <w:r w:rsidRPr="00413C7E">
        <w:rPr>
          <w:rFonts w:ascii="Arial" w:hAnsi="Arial" w:cs="Arial"/>
        </w:rPr>
        <w:t>mean SCR to the first 2 CS+ (trials least likely to be contaminated by new extinction learning) at Recall, normalized to maximum Conditioning phase SCR to the CS+ (</w:t>
      </w:r>
      <w:r w:rsidR="00627D72" w:rsidRPr="00413C7E">
        <w:rPr>
          <w:rFonts w:ascii="Arial" w:hAnsi="Arial" w:cs="Arial"/>
        </w:rPr>
        <w:t xml:space="preserve">i.e. </w:t>
      </w:r>
      <w:r w:rsidRPr="00413C7E">
        <w:rPr>
          <w:rFonts w:ascii="Arial" w:hAnsi="Arial" w:cs="Arial"/>
        </w:rPr>
        <w:t>maximum conditioned fear response learning).</w:t>
      </w:r>
      <w:r w:rsidR="00B4011F" w:rsidRPr="00413C7E">
        <w:rPr>
          <w:rFonts w:ascii="Arial" w:hAnsi="Arial" w:cs="Arial"/>
        </w:rPr>
        <w:t xml:space="preserve"> An additional differential ERI</w:t>
      </w:r>
      <w:r w:rsidR="00D81551" w:rsidRPr="00413C7E">
        <w:rPr>
          <w:rFonts w:ascii="Arial" w:hAnsi="Arial" w:cs="Arial"/>
        </w:rPr>
        <w:t xml:space="preserve"> (dERI)</w:t>
      </w:r>
      <w:r w:rsidR="00B4011F" w:rsidRPr="00413C7E">
        <w:rPr>
          <w:rFonts w:ascii="Arial" w:hAnsi="Arial" w:cs="Arial"/>
        </w:rPr>
        <w:t xml:space="preserve"> was calculated using the </w:t>
      </w:r>
      <w:r w:rsidR="009241EA" w:rsidRPr="00413C7E">
        <w:rPr>
          <w:rFonts w:ascii="Arial" w:hAnsi="Arial" w:cs="Arial"/>
        </w:rPr>
        <w:t xml:space="preserve">above </w:t>
      </w:r>
      <w:r w:rsidR="00B4011F" w:rsidRPr="00413C7E">
        <w:rPr>
          <w:rFonts w:ascii="Arial" w:hAnsi="Arial" w:cs="Arial"/>
        </w:rPr>
        <w:t>equation, but substituting</w:t>
      </w:r>
      <w:r w:rsidR="009241EA" w:rsidRPr="00413C7E">
        <w:rPr>
          <w:rFonts w:ascii="Arial" w:hAnsi="Arial" w:cs="Arial"/>
        </w:rPr>
        <w:t xml:space="preserve"> in</w:t>
      </w:r>
      <w:r w:rsidR="00B4011F" w:rsidRPr="00413C7E">
        <w:rPr>
          <w:rFonts w:ascii="Arial" w:hAnsi="Arial" w:cs="Arial"/>
        </w:rPr>
        <w:t xml:space="preserve"> differential SCR (</w:t>
      </w:r>
      <w:r w:rsidR="00D81551" w:rsidRPr="00413C7E">
        <w:rPr>
          <w:rFonts w:ascii="Arial" w:hAnsi="Arial" w:cs="Arial"/>
        </w:rPr>
        <w:t>SCRd; CS+ minus its temporally corresponding CS-) to the first 2 CS+</w:t>
      </w:r>
      <w:r w:rsidR="009241EA" w:rsidRPr="00413C7E">
        <w:rPr>
          <w:rFonts w:ascii="Arial" w:hAnsi="Arial" w:cs="Arial"/>
        </w:rPr>
        <w:t xml:space="preserve"> for SCR</w:t>
      </w:r>
      <w:r w:rsidR="00D81551" w:rsidRPr="00413C7E">
        <w:rPr>
          <w:rFonts w:ascii="Arial" w:hAnsi="Arial" w:cs="Arial"/>
        </w:rPr>
        <w:t>. SCRd controls for non-specific (i.e. unreinforced) responses to stimuli</w:t>
      </w:r>
      <w:r w:rsidR="00D91265" w:rsidRPr="00413C7E">
        <w:rPr>
          <w:rFonts w:ascii="Arial" w:hAnsi="Arial" w:cs="Arial"/>
        </w:rPr>
        <w:t>.</w:t>
      </w:r>
      <w:r w:rsidRPr="00413C7E">
        <w:rPr>
          <w:rFonts w:ascii="Arial" w:hAnsi="Arial" w:cs="Arial"/>
        </w:rPr>
        <w:t xml:space="preserve"> </w:t>
      </w:r>
    </w:p>
    <w:p w14:paraId="16A472BA" w14:textId="77777777" w:rsidR="00485966" w:rsidRPr="00413C7E" w:rsidRDefault="00485966" w:rsidP="00EA58B0">
      <w:pPr>
        <w:rPr>
          <w:rFonts w:ascii="Arial" w:hAnsi="Arial" w:cs="Arial"/>
        </w:rPr>
      </w:pPr>
    </w:p>
    <w:p w14:paraId="19B9630B" w14:textId="4B91C51A" w:rsidR="007D095A" w:rsidRPr="00413C7E" w:rsidRDefault="007D095A" w:rsidP="00EA58B0">
      <w:pPr>
        <w:rPr>
          <w:rFonts w:ascii="Arial" w:hAnsi="Arial" w:cs="Arial"/>
          <w:b/>
          <w:bCs/>
        </w:rPr>
      </w:pPr>
      <w:r w:rsidRPr="00413C7E">
        <w:rPr>
          <w:rFonts w:ascii="Arial" w:hAnsi="Arial" w:cs="Arial"/>
          <w:b/>
          <w:bCs/>
        </w:rPr>
        <w:t>Supplementary Results</w:t>
      </w:r>
    </w:p>
    <w:p w14:paraId="326190AF" w14:textId="77777777" w:rsidR="007D095A" w:rsidRPr="00413C7E" w:rsidRDefault="007D095A" w:rsidP="00EA58B0">
      <w:pPr>
        <w:rPr>
          <w:rFonts w:ascii="Arial" w:hAnsi="Arial" w:cs="Arial"/>
          <w:b/>
          <w:bCs/>
        </w:rPr>
      </w:pPr>
    </w:p>
    <w:p w14:paraId="632B1BF7" w14:textId="6AD8C98F" w:rsidR="0093033A" w:rsidRPr="00413C7E" w:rsidRDefault="0093033A" w:rsidP="00EA58B0">
      <w:pPr>
        <w:rPr>
          <w:rFonts w:ascii="Arial" w:hAnsi="Arial" w:cs="Arial"/>
          <w:bCs/>
          <w:i/>
        </w:rPr>
      </w:pPr>
      <w:r w:rsidRPr="00413C7E">
        <w:rPr>
          <w:rFonts w:ascii="Arial" w:hAnsi="Arial" w:cs="Arial"/>
          <w:bCs/>
          <w:i/>
        </w:rPr>
        <w:t>Time-of-Day and Delay effects</w:t>
      </w:r>
    </w:p>
    <w:p w14:paraId="1D4819A8" w14:textId="3B469174" w:rsidR="0093033A" w:rsidRPr="00413C7E" w:rsidRDefault="0093033A" w:rsidP="00EA58B0">
      <w:pPr>
        <w:rPr>
          <w:rFonts w:ascii="Arial" w:hAnsi="Arial" w:cs="Arial"/>
          <w:bCs/>
        </w:rPr>
      </w:pPr>
    </w:p>
    <w:p w14:paraId="28FC828A" w14:textId="2C2C5117" w:rsidR="003B2A48" w:rsidRPr="00413C7E" w:rsidRDefault="005F48C0" w:rsidP="003B2A48">
      <w:pPr>
        <w:rPr>
          <w:rFonts w:ascii="Arial" w:hAnsi="Arial" w:cs="Arial"/>
          <w:bCs/>
        </w:rPr>
      </w:pPr>
      <w:r w:rsidRPr="00413C7E">
        <w:rPr>
          <w:rFonts w:ascii="Arial" w:hAnsi="Arial" w:cs="Arial"/>
          <w:bCs/>
        </w:rPr>
        <w:t>To rule out</w:t>
      </w:r>
      <w:r w:rsidR="00091B92" w:rsidRPr="00413C7E">
        <w:rPr>
          <w:rFonts w:ascii="Arial" w:hAnsi="Arial" w:cs="Arial"/>
          <w:bCs/>
        </w:rPr>
        <w:t xml:space="preserve"> a possible confound of time-of-day of extinction learning and/or recall delay, we conducted a</w:t>
      </w:r>
      <w:r w:rsidR="0093033A" w:rsidRPr="00413C7E">
        <w:rPr>
          <w:rFonts w:ascii="Arial" w:hAnsi="Arial" w:cs="Arial"/>
          <w:bCs/>
        </w:rPr>
        <w:t xml:space="preserve"> 2 Time-of-Day of Extinction (morning or evening) x 3 Delay (3-, 12-, or 24-hours) analysis of covariance </w:t>
      </w:r>
      <w:r w:rsidR="00476A72" w:rsidRPr="00413C7E">
        <w:rPr>
          <w:rFonts w:ascii="Arial" w:hAnsi="Arial" w:cs="Arial"/>
          <w:bCs/>
        </w:rPr>
        <w:t>for extinction memory (ERI or dERI)</w:t>
      </w:r>
      <w:r w:rsidR="0093033A" w:rsidRPr="00413C7E">
        <w:rPr>
          <w:rFonts w:ascii="Arial" w:hAnsi="Arial" w:cs="Arial"/>
          <w:bCs/>
        </w:rPr>
        <w:t>, including SJ as a covariate</w:t>
      </w:r>
      <w:r w:rsidR="00ED4D1C" w:rsidRPr="00413C7E">
        <w:rPr>
          <w:rFonts w:ascii="Arial" w:hAnsi="Arial" w:cs="Arial"/>
          <w:bCs/>
        </w:rPr>
        <w:t>.</w:t>
      </w:r>
      <w:r w:rsidR="001B4A4B" w:rsidRPr="00413C7E">
        <w:rPr>
          <w:rFonts w:ascii="Arial" w:hAnsi="Arial" w:cs="Arial"/>
          <w:bCs/>
        </w:rPr>
        <w:t xml:space="preserve"> </w:t>
      </w:r>
      <w:r w:rsidR="00481AB8" w:rsidRPr="00413C7E">
        <w:rPr>
          <w:rFonts w:ascii="Arial" w:hAnsi="Arial" w:cs="Arial"/>
          <w:bCs/>
        </w:rPr>
        <w:t>For ERI, t</w:t>
      </w:r>
      <w:r w:rsidR="00ED4D1C" w:rsidRPr="00413C7E">
        <w:rPr>
          <w:rFonts w:ascii="Arial" w:hAnsi="Arial" w:cs="Arial"/>
          <w:bCs/>
        </w:rPr>
        <w:t>his analysis revealed no</w:t>
      </w:r>
      <w:r w:rsidR="001B4A4B" w:rsidRPr="00413C7E">
        <w:rPr>
          <w:rFonts w:ascii="Arial" w:hAnsi="Arial" w:cs="Arial"/>
          <w:bCs/>
        </w:rPr>
        <w:t xml:space="preserve"> main effect of Time-of-Day of Extinction (F(</w:t>
      </w:r>
      <w:r w:rsidR="003572E1" w:rsidRPr="00413C7E">
        <w:rPr>
          <w:rFonts w:ascii="Arial" w:hAnsi="Arial" w:cs="Arial"/>
          <w:bCs/>
        </w:rPr>
        <w:t>1,</w:t>
      </w:r>
      <w:r w:rsidR="002F3D81" w:rsidRPr="00413C7E">
        <w:rPr>
          <w:rFonts w:ascii="Arial" w:hAnsi="Arial" w:cs="Arial"/>
          <w:bCs/>
        </w:rPr>
        <w:t>6</w:t>
      </w:r>
      <w:r w:rsidR="0089480C" w:rsidRPr="00413C7E">
        <w:rPr>
          <w:rFonts w:ascii="Arial" w:hAnsi="Arial" w:cs="Arial"/>
          <w:bCs/>
        </w:rPr>
        <w:t>5</w:t>
      </w:r>
      <w:r w:rsidR="001B4A4B" w:rsidRPr="00413C7E">
        <w:rPr>
          <w:rFonts w:ascii="Arial" w:hAnsi="Arial" w:cs="Arial"/>
          <w:bCs/>
        </w:rPr>
        <w:t>)=</w:t>
      </w:r>
      <w:r w:rsidR="003572E1" w:rsidRPr="00413C7E">
        <w:rPr>
          <w:rFonts w:ascii="Arial" w:hAnsi="Arial" w:cs="Arial"/>
          <w:bCs/>
        </w:rPr>
        <w:t>.</w:t>
      </w:r>
      <w:r w:rsidR="0089480C" w:rsidRPr="00413C7E">
        <w:rPr>
          <w:rFonts w:ascii="Arial" w:hAnsi="Arial" w:cs="Arial"/>
          <w:bCs/>
        </w:rPr>
        <w:t>56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>p=</w:t>
      </w:r>
      <w:r w:rsidR="003572E1" w:rsidRPr="00413C7E">
        <w:rPr>
          <w:rFonts w:ascii="Arial" w:hAnsi="Arial" w:cs="Arial"/>
          <w:bCs/>
        </w:rPr>
        <w:t>.</w:t>
      </w:r>
      <w:r w:rsidR="0089480C" w:rsidRPr="00413C7E">
        <w:rPr>
          <w:rFonts w:ascii="Arial" w:hAnsi="Arial" w:cs="Arial"/>
          <w:bCs/>
        </w:rPr>
        <w:t>45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 xml:space="preserve">partial </w:t>
      </w:r>
      <w:r w:rsidR="001B4A4B" w:rsidRPr="00413C7E">
        <w:rPr>
          <w:rFonts w:ascii="Arial" w:hAnsi="Arial" w:cs="Arial"/>
          <w:shd w:val="clear" w:color="auto" w:fill="FFFFFF"/>
        </w:rPr>
        <w:t>η</w:t>
      </w:r>
      <w:r w:rsidR="001B4A4B" w:rsidRPr="00413C7E">
        <w:rPr>
          <w:vertAlign w:val="superscript"/>
        </w:rPr>
        <w:t>2</w:t>
      </w:r>
      <w:r w:rsidR="001B4A4B" w:rsidRPr="00413C7E">
        <w:rPr>
          <w:rFonts w:ascii="Arial" w:hAnsi="Arial" w:cs="Arial"/>
          <w:bCs/>
        </w:rPr>
        <w:t>=</w:t>
      </w:r>
      <w:r w:rsidR="0089480C" w:rsidRPr="00413C7E">
        <w:rPr>
          <w:rFonts w:ascii="Arial" w:hAnsi="Arial" w:cs="Arial"/>
          <w:bCs/>
        </w:rPr>
        <w:t>.0</w:t>
      </w:r>
      <w:r w:rsidR="009A6709" w:rsidRPr="00413C7E">
        <w:rPr>
          <w:rFonts w:ascii="Arial" w:hAnsi="Arial" w:cs="Arial"/>
          <w:bCs/>
        </w:rPr>
        <w:t>1</w:t>
      </w:r>
      <w:r w:rsidR="001B4A4B" w:rsidRPr="00413C7E">
        <w:rPr>
          <w:rFonts w:ascii="Arial" w:hAnsi="Arial" w:cs="Arial"/>
          <w:bCs/>
        </w:rPr>
        <w:t>), Delay (F(</w:t>
      </w:r>
      <w:r w:rsidR="003572E1" w:rsidRPr="00413C7E">
        <w:rPr>
          <w:rFonts w:ascii="Arial" w:hAnsi="Arial" w:cs="Arial"/>
          <w:bCs/>
        </w:rPr>
        <w:t>2,</w:t>
      </w:r>
      <w:r w:rsidR="0089480C" w:rsidRPr="00413C7E">
        <w:rPr>
          <w:rFonts w:ascii="Arial" w:hAnsi="Arial" w:cs="Arial"/>
          <w:bCs/>
        </w:rPr>
        <w:t>65</w:t>
      </w:r>
      <w:r w:rsidR="001B4A4B" w:rsidRPr="00413C7E">
        <w:rPr>
          <w:rFonts w:ascii="Arial" w:hAnsi="Arial" w:cs="Arial"/>
          <w:bCs/>
        </w:rPr>
        <w:t>)=</w:t>
      </w:r>
      <w:r w:rsidR="003572E1" w:rsidRPr="00413C7E">
        <w:rPr>
          <w:rFonts w:ascii="Arial" w:hAnsi="Arial" w:cs="Arial"/>
          <w:bCs/>
        </w:rPr>
        <w:t>.</w:t>
      </w:r>
      <w:r w:rsidR="0089480C" w:rsidRPr="00413C7E">
        <w:rPr>
          <w:rFonts w:ascii="Arial" w:hAnsi="Arial" w:cs="Arial"/>
          <w:bCs/>
        </w:rPr>
        <w:t>60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>p=</w:t>
      </w:r>
      <w:r w:rsidR="003572E1" w:rsidRPr="00413C7E">
        <w:rPr>
          <w:rFonts w:ascii="Arial" w:hAnsi="Arial" w:cs="Arial"/>
          <w:bCs/>
        </w:rPr>
        <w:t>.</w:t>
      </w:r>
      <w:r w:rsidR="002F3D81" w:rsidRPr="00413C7E">
        <w:rPr>
          <w:rFonts w:ascii="Arial" w:hAnsi="Arial" w:cs="Arial"/>
          <w:bCs/>
        </w:rPr>
        <w:t>55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 xml:space="preserve">partial </w:t>
      </w:r>
      <w:r w:rsidR="001B4A4B" w:rsidRPr="00413C7E">
        <w:rPr>
          <w:rFonts w:ascii="Arial" w:hAnsi="Arial" w:cs="Arial"/>
          <w:shd w:val="clear" w:color="auto" w:fill="FFFFFF"/>
        </w:rPr>
        <w:t>η</w:t>
      </w:r>
      <w:r w:rsidR="001B4A4B" w:rsidRPr="00413C7E">
        <w:rPr>
          <w:vertAlign w:val="superscript"/>
        </w:rPr>
        <w:t>2</w:t>
      </w:r>
      <w:r w:rsidR="001B4A4B" w:rsidRPr="00413C7E">
        <w:rPr>
          <w:rFonts w:ascii="Arial" w:hAnsi="Arial" w:cs="Arial"/>
          <w:bCs/>
        </w:rPr>
        <w:t>=</w:t>
      </w:r>
      <w:r w:rsidR="003572E1" w:rsidRPr="00413C7E">
        <w:rPr>
          <w:rFonts w:ascii="Arial" w:hAnsi="Arial" w:cs="Arial"/>
          <w:bCs/>
        </w:rPr>
        <w:t>.0</w:t>
      </w:r>
      <w:r w:rsidR="009A6709" w:rsidRPr="00413C7E">
        <w:rPr>
          <w:rFonts w:ascii="Arial" w:hAnsi="Arial" w:cs="Arial"/>
          <w:bCs/>
        </w:rPr>
        <w:t>2</w:t>
      </w:r>
      <w:r w:rsidR="001B4A4B" w:rsidRPr="00413C7E">
        <w:rPr>
          <w:rFonts w:ascii="Arial" w:hAnsi="Arial" w:cs="Arial"/>
          <w:bCs/>
        </w:rPr>
        <w:t>) or a Time-of-Day of Extinction by Delay interaction (F(</w:t>
      </w:r>
      <w:r w:rsidR="003572E1" w:rsidRPr="00413C7E">
        <w:rPr>
          <w:rFonts w:ascii="Arial" w:hAnsi="Arial" w:cs="Arial"/>
          <w:bCs/>
        </w:rPr>
        <w:t>2,</w:t>
      </w:r>
      <w:r w:rsidR="0089480C" w:rsidRPr="00413C7E">
        <w:rPr>
          <w:rFonts w:ascii="Arial" w:hAnsi="Arial" w:cs="Arial"/>
          <w:bCs/>
        </w:rPr>
        <w:t>65</w:t>
      </w:r>
      <w:r w:rsidR="001B4A4B" w:rsidRPr="00413C7E">
        <w:rPr>
          <w:rFonts w:ascii="Arial" w:hAnsi="Arial" w:cs="Arial"/>
          <w:bCs/>
        </w:rPr>
        <w:t>)=</w:t>
      </w:r>
      <w:r w:rsidR="0089480C" w:rsidRPr="00413C7E">
        <w:rPr>
          <w:rFonts w:ascii="Arial" w:hAnsi="Arial" w:cs="Arial"/>
          <w:bCs/>
        </w:rPr>
        <w:t>0.24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>p=</w:t>
      </w:r>
      <w:r w:rsidR="00D43321" w:rsidRPr="00413C7E">
        <w:rPr>
          <w:rFonts w:ascii="Arial" w:hAnsi="Arial" w:cs="Arial"/>
          <w:bCs/>
        </w:rPr>
        <w:t>.</w:t>
      </w:r>
      <w:r w:rsidR="0089480C" w:rsidRPr="00413C7E">
        <w:rPr>
          <w:rFonts w:ascii="Arial" w:hAnsi="Arial" w:cs="Arial"/>
          <w:bCs/>
        </w:rPr>
        <w:t>7</w:t>
      </w:r>
      <w:r w:rsidR="009A6709" w:rsidRPr="00413C7E">
        <w:rPr>
          <w:rFonts w:ascii="Arial" w:hAnsi="Arial" w:cs="Arial"/>
          <w:bCs/>
        </w:rPr>
        <w:t>9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 xml:space="preserve">partial </w:t>
      </w:r>
      <w:r w:rsidR="001B4A4B" w:rsidRPr="00413C7E">
        <w:rPr>
          <w:rFonts w:ascii="Arial" w:hAnsi="Arial" w:cs="Arial"/>
          <w:shd w:val="clear" w:color="auto" w:fill="FFFFFF"/>
        </w:rPr>
        <w:t>η</w:t>
      </w:r>
      <w:r w:rsidR="001B4A4B" w:rsidRPr="00413C7E">
        <w:rPr>
          <w:vertAlign w:val="superscript"/>
        </w:rPr>
        <w:t>2</w:t>
      </w:r>
      <w:r w:rsidR="00D43321" w:rsidRPr="00413C7E">
        <w:rPr>
          <w:rFonts w:ascii="Arial" w:hAnsi="Arial" w:cs="Arial"/>
          <w:bCs/>
        </w:rPr>
        <w:t>=.0</w:t>
      </w:r>
      <w:r w:rsidR="009A6709" w:rsidRPr="00413C7E">
        <w:rPr>
          <w:rFonts w:ascii="Arial" w:hAnsi="Arial" w:cs="Arial"/>
          <w:bCs/>
        </w:rPr>
        <w:t>1</w:t>
      </w:r>
      <w:r w:rsidR="001B4A4B" w:rsidRPr="00413C7E">
        <w:rPr>
          <w:rFonts w:ascii="Arial" w:hAnsi="Arial" w:cs="Arial"/>
          <w:bCs/>
        </w:rPr>
        <w:t xml:space="preserve">) when controlling for SJ. </w:t>
      </w:r>
      <w:r w:rsidR="00D43321" w:rsidRPr="00413C7E">
        <w:rPr>
          <w:rFonts w:ascii="Arial" w:hAnsi="Arial" w:cs="Arial"/>
          <w:bCs/>
        </w:rPr>
        <w:t>Similarly,</w:t>
      </w:r>
      <w:r w:rsidR="001B4A4B" w:rsidRPr="00413C7E">
        <w:rPr>
          <w:rFonts w:ascii="Arial" w:hAnsi="Arial" w:cs="Arial"/>
          <w:bCs/>
        </w:rPr>
        <w:t xml:space="preserve"> for dERI, there was no main effect of Time-of-Day of Extinction (F(</w:t>
      </w:r>
      <w:r w:rsidR="00D43321" w:rsidRPr="00413C7E">
        <w:rPr>
          <w:rFonts w:ascii="Arial" w:hAnsi="Arial" w:cs="Arial"/>
          <w:bCs/>
        </w:rPr>
        <w:t>1,</w:t>
      </w:r>
      <w:r w:rsidR="00C3676E" w:rsidRPr="00413C7E">
        <w:rPr>
          <w:rFonts w:ascii="Arial" w:hAnsi="Arial" w:cs="Arial"/>
          <w:bCs/>
        </w:rPr>
        <w:t>64</w:t>
      </w:r>
      <w:r w:rsidR="001B4A4B" w:rsidRPr="00413C7E">
        <w:rPr>
          <w:rFonts w:ascii="Arial" w:hAnsi="Arial" w:cs="Arial"/>
          <w:bCs/>
        </w:rPr>
        <w:t>)=</w:t>
      </w:r>
      <w:r w:rsidR="00D43321" w:rsidRPr="00413C7E">
        <w:rPr>
          <w:rFonts w:ascii="Arial" w:hAnsi="Arial" w:cs="Arial"/>
          <w:bCs/>
        </w:rPr>
        <w:t>.0</w:t>
      </w:r>
      <w:r w:rsidR="006637DE" w:rsidRPr="00413C7E">
        <w:rPr>
          <w:rFonts w:ascii="Arial" w:hAnsi="Arial" w:cs="Arial"/>
          <w:bCs/>
        </w:rPr>
        <w:t>02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>p=</w:t>
      </w:r>
      <w:r w:rsidR="00D43321" w:rsidRPr="00413C7E">
        <w:rPr>
          <w:rFonts w:ascii="Arial" w:hAnsi="Arial" w:cs="Arial"/>
          <w:bCs/>
        </w:rPr>
        <w:t>.9</w:t>
      </w:r>
      <w:r w:rsidR="009A6709" w:rsidRPr="00413C7E">
        <w:rPr>
          <w:rFonts w:ascii="Arial" w:hAnsi="Arial" w:cs="Arial"/>
          <w:bCs/>
        </w:rPr>
        <w:t>7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 xml:space="preserve">partial </w:t>
      </w:r>
      <w:r w:rsidR="001B4A4B" w:rsidRPr="00413C7E">
        <w:rPr>
          <w:rFonts w:ascii="Arial" w:hAnsi="Arial" w:cs="Arial"/>
          <w:shd w:val="clear" w:color="auto" w:fill="FFFFFF"/>
        </w:rPr>
        <w:t>η</w:t>
      </w:r>
      <w:r w:rsidR="001B4A4B" w:rsidRPr="00413C7E">
        <w:rPr>
          <w:vertAlign w:val="superscript"/>
        </w:rPr>
        <w:t>2</w:t>
      </w:r>
      <w:r w:rsidR="00D43321" w:rsidRPr="00413C7E">
        <w:rPr>
          <w:rFonts w:ascii="Arial" w:hAnsi="Arial" w:cs="Arial"/>
          <w:bCs/>
        </w:rPr>
        <w:t>&lt;.001</w:t>
      </w:r>
      <w:r w:rsidR="001B4A4B" w:rsidRPr="00413C7E">
        <w:rPr>
          <w:rFonts w:ascii="Arial" w:hAnsi="Arial" w:cs="Arial"/>
          <w:bCs/>
        </w:rPr>
        <w:t>), Delay (F(</w:t>
      </w:r>
      <w:r w:rsidR="00D43321" w:rsidRPr="00413C7E">
        <w:rPr>
          <w:rFonts w:ascii="Arial" w:hAnsi="Arial" w:cs="Arial"/>
          <w:bCs/>
        </w:rPr>
        <w:t>2,</w:t>
      </w:r>
      <w:r w:rsidR="00C3676E" w:rsidRPr="00413C7E">
        <w:rPr>
          <w:rFonts w:ascii="Arial" w:hAnsi="Arial" w:cs="Arial"/>
          <w:bCs/>
        </w:rPr>
        <w:t>64</w:t>
      </w:r>
      <w:r w:rsidR="001B4A4B" w:rsidRPr="00413C7E">
        <w:rPr>
          <w:rFonts w:ascii="Arial" w:hAnsi="Arial" w:cs="Arial"/>
          <w:bCs/>
        </w:rPr>
        <w:t>)=</w:t>
      </w:r>
      <w:r w:rsidR="00D43321" w:rsidRPr="00413C7E">
        <w:rPr>
          <w:rFonts w:ascii="Arial" w:hAnsi="Arial" w:cs="Arial"/>
          <w:bCs/>
        </w:rPr>
        <w:t>.</w:t>
      </w:r>
      <w:r w:rsidR="009A6709" w:rsidRPr="00413C7E">
        <w:rPr>
          <w:rFonts w:ascii="Arial" w:hAnsi="Arial" w:cs="Arial"/>
          <w:bCs/>
        </w:rPr>
        <w:t>60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>p=</w:t>
      </w:r>
      <w:r w:rsidR="00D43321" w:rsidRPr="00413C7E">
        <w:rPr>
          <w:rFonts w:ascii="Arial" w:hAnsi="Arial" w:cs="Arial"/>
          <w:bCs/>
        </w:rPr>
        <w:t>.5</w:t>
      </w:r>
      <w:r w:rsidR="001969D1" w:rsidRPr="00413C7E">
        <w:rPr>
          <w:rFonts w:ascii="Arial" w:hAnsi="Arial" w:cs="Arial"/>
          <w:bCs/>
        </w:rPr>
        <w:t>5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 xml:space="preserve">partial </w:t>
      </w:r>
      <w:r w:rsidR="001B4A4B" w:rsidRPr="00413C7E">
        <w:rPr>
          <w:rFonts w:ascii="Arial" w:hAnsi="Arial" w:cs="Arial"/>
          <w:shd w:val="clear" w:color="auto" w:fill="FFFFFF"/>
        </w:rPr>
        <w:t>η</w:t>
      </w:r>
      <w:r w:rsidR="001B4A4B" w:rsidRPr="00413C7E">
        <w:rPr>
          <w:vertAlign w:val="superscript"/>
        </w:rPr>
        <w:t>2</w:t>
      </w:r>
      <w:r w:rsidR="001B4A4B" w:rsidRPr="00413C7E">
        <w:rPr>
          <w:rFonts w:ascii="Arial" w:hAnsi="Arial" w:cs="Arial"/>
          <w:bCs/>
        </w:rPr>
        <w:t>=</w:t>
      </w:r>
      <w:r w:rsidR="00D43321" w:rsidRPr="00413C7E">
        <w:rPr>
          <w:rFonts w:ascii="Arial" w:hAnsi="Arial" w:cs="Arial"/>
          <w:bCs/>
        </w:rPr>
        <w:t>.0</w:t>
      </w:r>
      <w:r w:rsidR="009A6709" w:rsidRPr="00413C7E">
        <w:rPr>
          <w:rFonts w:ascii="Arial" w:hAnsi="Arial" w:cs="Arial"/>
          <w:bCs/>
        </w:rPr>
        <w:t>2</w:t>
      </w:r>
      <w:r w:rsidR="001B4A4B" w:rsidRPr="00413C7E">
        <w:rPr>
          <w:rFonts w:ascii="Arial" w:hAnsi="Arial" w:cs="Arial"/>
          <w:bCs/>
        </w:rPr>
        <w:t>) or a Time-of-Day of Extinction by Delay interaction (F(</w:t>
      </w:r>
      <w:r w:rsidR="00D43321" w:rsidRPr="00413C7E">
        <w:rPr>
          <w:rFonts w:ascii="Arial" w:hAnsi="Arial" w:cs="Arial"/>
          <w:bCs/>
        </w:rPr>
        <w:t>2,</w:t>
      </w:r>
      <w:r w:rsidR="00C3676E" w:rsidRPr="00413C7E">
        <w:rPr>
          <w:rFonts w:ascii="Arial" w:hAnsi="Arial" w:cs="Arial"/>
          <w:bCs/>
        </w:rPr>
        <w:t>64</w:t>
      </w:r>
      <w:r w:rsidR="001B4A4B" w:rsidRPr="00413C7E">
        <w:rPr>
          <w:rFonts w:ascii="Arial" w:hAnsi="Arial" w:cs="Arial"/>
          <w:bCs/>
        </w:rPr>
        <w:t>)=</w:t>
      </w:r>
      <w:r w:rsidR="0054266C" w:rsidRPr="00413C7E">
        <w:rPr>
          <w:rFonts w:ascii="Arial" w:hAnsi="Arial" w:cs="Arial"/>
          <w:bCs/>
        </w:rPr>
        <w:t>1.39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>p=</w:t>
      </w:r>
      <w:r w:rsidR="00D43321" w:rsidRPr="00413C7E">
        <w:rPr>
          <w:rFonts w:ascii="Arial" w:hAnsi="Arial" w:cs="Arial"/>
          <w:bCs/>
        </w:rPr>
        <w:t>.</w:t>
      </w:r>
      <w:r w:rsidR="0054266C" w:rsidRPr="00413C7E">
        <w:rPr>
          <w:rFonts w:ascii="Arial" w:hAnsi="Arial" w:cs="Arial"/>
          <w:bCs/>
        </w:rPr>
        <w:t>26</w:t>
      </w:r>
      <w:r w:rsidR="001B4A4B" w:rsidRPr="00413C7E">
        <w:rPr>
          <w:rFonts w:ascii="Arial" w:hAnsi="Arial" w:cs="Arial"/>
          <w:bCs/>
        </w:rPr>
        <w:t>,</w:t>
      </w:r>
      <w:r w:rsidR="00ED4D1C" w:rsidRPr="00413C7E">
        <w:rPr>
          <w:rFonts w:ascii="Arial" w:hAnsi="Arial" w:cs="Arial"/>
          <w:bCs/>
        </w:rPr>
        <w:t xml:space="preserve"> </w:t>
      </w:r>
      <w:r w:rsidR="001B4A4B" w:rsidRPr="00413C7E">
        <w:rPr>
          <w:rFonts w:ascii="Arial" w:hAnsi="Arial" w:cs="Arial"/>
          <w:bCs/>
        </w:rPr>
        <w:t xml:space="preserve">partial </w:t>
      </w:r>
      <w:r w:rsidR="001B4A4B" w:rsidRPr="00413C7E">
        <w:rPr>
          <w:rFonts w:ascii="Arial" w:hAnsi="Arial" w:cs="Arial"/>
          <w:shd w:val="clear" w:color="auto" w:fill="FFFFFF"/>
        </w:rPr>
        <w:t>η</w:t>
      </w:r>
      <w:r w:rsidR="001B4A4B" w:rsidRPr="00413C7E">
        <w:rPr>
          <w:vertAlign w:val="superscript"/>
        </w:rPr>
        <w:t>2</w:t>
      </w:r>
      <w:r w:rsidR="001B4A4B" w:rsidRPr="00413C7E">
        <w:rPr>
          <w:rFonts w:ascii="Arial" w:hAnsi="Arial" w:cs="Arial"/>
          <w:bCs/>
        </w:rPr>
        <w:t>=</w:t>
      </w:r>
      <w:r w:rsidR="00D43321" w:rsidRPr="00413C7E">
        <w:rPr>
          <w:rFonts w:ascii="Arial" w:hAnsi="Arial" w:cs="Arial"/>
          <w:bCs/>
        </w:rPr>
        <w:t>.0</w:t>
      </w:r>
      <w:r w:rsidR="0054266C" w:rsidRPr="00413C7E">
        <w:rPr>
          <w:rFonts w:ascii="Arial" w:hAnsi="Arial" w:cs="Arial"/>
          <w:bCs/>
        </w:rPr>
        <w:t>4</w:t>
      </w:r>
      <w:r w:rsidR="001B4A4B" w:rsidRPr="00413C7E">
        <w:rPr>
          <w:rFonts w:ascii="Arial" w:hAnsi="Arial" w:cs="Arial"/>
          <w:bCs/>
        </w:rPr>
        <w:t>) when controlling for SJ</w:t>
      </w:r>
      <w:r w:rsidR="00D43321" w:rsidRPr="00413C7E">
        <w:rPr>
          <w:rFonts w:ascii="Arial" w:hAnsi="Arial" w:cs="Arial"/>
          <w:bCs/>
        </w:rPr>
        <w:t>.</w:t>
      </w:r>
      <w:r w:rsidR="003B2A48" w:rsidRPr="00413C7E">
        <w:rPr>
          <w:rFonts w:ascii="Arial" w:hAnsi="Arial" w:cs="Arial"/>
          <w:bCs/>
        </w:rPr>
        <w:t xml:space="preserve"> </w:t>
      </w:r>
    </w:p>
    <w:p w14:paraId="28A3C64B" w14:textId="5F32553A" w:rsidR="0093033A" w:rsidRPr="00413C7E" w:rsidRDefault="0093033A" w:rsidP="00EA58B0">
      <w:pPr>
        <w:rPr>
          <w:rFonts w:ascii="Arial" w:hAnsi="Arial" w:cs="Arial"/>
          <w:bCs/>
        </w:rPr>
      </w:pPr>
    </w:p>
    <w:p w14:paraId="07D318CE" w14:textId="47C1DA95" w:rsidR="003B2A48" w:rsidRPr="00413C7E" w:rsidRDefault="003B2A48" w:rsidP="00EA58B0">
      <w:pPr>
        <w:rPr>
          <w:rFonts w:ascii="Arial" w:hAnsi="Arial" w:cs="Arial"/>
          <w:bCs/>
          <w:i/>
        </w:rPr>
      </w:pPr>
      <w:r w:rsidRPr="00413C7E">
        <w:rPr>
          <w:rFonts w:ascii="Arial" w:hAnsi="Arial" w:cs="Arial"/>
          <w:bCs/>
          <w:i/>
        </w:rPr>
        <w:t>Effects of S</w:t>
      </w:r>
      <w:r w:rsidR="00091B92" w:rsidRPr="00413C7E">
        <w:rPr>
          <w:rFonts w:ascii="Arial" w:hAnsi="Arial" w:cs="Arial"/>
          <w:bCs/>
          <w:i/>
        </w:rPr>
        <w:t>ocial Jetlag</w:t>
      </w:r>
      <w:r w:rsidRPr="00413C7E">
        <w:rPr>
          <w:rFonts w:ascii="Arial" w:hAnsi="Arial" w:cs="Arial"/>
          <w:bCs/>
          <w:i/>
        </w:rPr>
        <w:t xml:space="preserve"> on </w:t>
      </w:r>
      <w:r w:rsidR="00091B92" w:rsidRPr="00413C7E">
        <w:rPr>
          <w:rFonts w:ascii="Arial" w:hAnsi="Arial" w:cs="Arial"/>
          <w:bCs/>
          <w:i/>
        </w:rPr>
        <w:t>G</w:t>
      </w:r>
      <w:r w:rsidR="00BA64BC" w:rsidRPr="00413C7E">
        <w:rPr>
          <w:rFonts w:ascii="Arial" w:hAnsi="Arial" w:cs="Arial"/>
          <w:bCs/>
          <w:i/>
        </w:rPr>
        <w:t>eneral</w:t>
      </w:r>
      <w:r w:rsidRPr="00413C7E">
        <w:rPr>
          <w:rFonts w:ascii="Arial" w:hAnsi="Arial" w:cs="Arial"/>
          <w:bCs/>
          <w:i/>
        </w:rPr>
        <w:t xml:space="preserve"> </w:t>
      </w:r>
      <w:r w:rsidR="00091B92" w:rsidRPr="00413C7E">
        <w:rPr>
          <w:rFonts w:ascii="Arial" w:hAnsi="Arial" w:cs="Arial"/>
          <w:bCs/>
          <w:i/>
        </w:rPr>
        <w:t>R</w:t>
      </w:r>
      <w:r w:rsidRPr="00413C7E">
        <w:rPr>
          <w:rFonts w:ascii="Arial" w:hAnsi="Arial" w:cs="Arial"/>
          <w:bCs/>
          <w:i/>
        </w:rPr>
        <w:t>eactivity</w:t>
      </w:r>
    </w:p>
    <w:p w14:paraId="5E8794E4" w14:textId="77777777" w:rsidR="009D08A8" w:rsidRPr="00413C7E" w:rsidRDefault="009D08A8" w:rsidP="00EA58B0">
      <w:pPr>
        <w:rPr>
          <w:rFonts w:ascii="Arial" w:hAnsi="Arial" w:cs="Arial"/>
          <w:b/>
          <w:bCs/>
        </w:rPr>
      </w:pPr>
    </w:p>
    <w:p w14:paraId="0126663F" w14:textId="7C9D0741" w:rsidR="003B2A48" w:rsidRPr="00413C7E" w:rsidRDefault="00091B92" w:rsidP="00EA58B0">
      <w:pPr>
        <w:rPr>
          <w:rFonts w:ascii="Arial" w:hAnsi="Arial" w:cs="Arial"/>
          <w:b/>
          <w:bCs/>
        </w:rPr>
      </w:pPr>
      <w:r w:rsidRPr="00413C7E">
        <w:rPr>
          <w:rFonts w:ascii="Arial" w:hAnsi="Arial" w:cs="Arial"/>
          <w:bCs/>
        </w:rPr>
        <w:t>To rule out the possibility that</w:t>
      </w:r>
      <w:r w:rsidR="003B2A48" w:rsidRPr="00413C7E">
        <w:rPr>
          <w:rFonts w:ascii="Arial" w:hAnsi="Arial" w:cs="Arial"/>
          <w:bCs/>
        </w:rPr>
        <w:t xml:space="preserve"> SJ </w:t>
      </w:r>
      <w:r w:rsidRPr="00413C7E">
        <w:rPr>
          <w:rFonts w:ascii="Arial" w:hAnsi="Arial" w:cs="Arial"/>
          <w:bCs/>
        </w:rPr>
        <w:t>was generally increasing</w:t>
      </w:r>
      <w:r w:rsidR="003B2A48" w:rsidRPr="00413C7E">
        <w:rPr>
          <w:rFonts w:ascii="Arial" w:hAnsi="Arial" w:cs="Arial"/>
          <w:bCs/>
        </w:rPr>
        <w:t xml:space="preserve"> </w:t>
      </w:r>
      <w:r w:rsidRPr="00413C7E">
        <w:rPr>
          <w:rFonts w:ascii="Arial" w:hAnsi="Arial" w:cs="Arial"/>
          <w:bCs/>
        </w:rPr>
        <w:t>r</w:t>
      </w:r>
      <w:r w:rsidR="003B2A48" w:rsidRPr="00413C7E">
        <w:rPr>
          <w:rFonts w:ascii="Arial" w:hAnsi="Arial" w:cs="Arial"/>
          <w:bCs/>
        </w:rPr>
        <w:t>eactivity</w:t>
      </w:r>
      <w:r w:rsidRPr="00413C7E">
        <w:rPr>
          <w:rFonts w:ascii="Arial" w:hAnsi="Arial" w:cs="Arial"/>
          <w:bCs/>
        </w:rPr>
        <w:t xml:space="preserve"> to task stimuli</w:t>
      </w:r>
      <w:r w:rsidR="00D9671E" w:rsidRPr="00413C7E">
        <w:rPr>
          <w:rFonts w:ascii="Arial" w:hAnsi="Arial" w:cs="Arial"/>
          <w:bCs/>
        </w:rPr>
        <w:t xml:space="preserve"> across study phases, we correlated SJ with mean reactivity to conditioned stimuli during conditioning, extinction learning and extinction recall.</w:t>
      </w:r>
      <w:r w:rsidR="00BA64BC" w:rsidRPr="00413C7E">
        <w:rPr>
          <w:rFonts w:ascii="Arial" w:hAnsi="Arial" w:cs="Arial"/>
          <w:bCs/>
        </w:rPr>
        <w:t xml:space="preserve"> </w:t>
      </w:r>
      <w:r w:rsidR="003B2A48" w:rsidRPr="00413C7E">
        <w:rPr>
          <w:rFonts w:ascii="Arial" w:hAnsi="Arial" w:cs="Arial"/>
        </w:rPr>
        <w:t xml:space="preserve">SJ </w:t>
      </w:r>
      <w:r w:rsidR="00F50B13" w:rsidRPr="00413C7E">
        <w:rPr>
          <w:rFonts w:ascii="Arial" w:hAnsi="Arial" w:cs="Arial"/>
        </w:rPr>
        <w:t xml:space="preserve">was </w:t>
      </w:r>
      <w:r w:rsidR="003B2A48" w:rsidRPr="00413C7E">
        <w:rPr>
          <w:rFonts w:ascii="Arial" w:hAnsi="Arial" w:cs="Arial"/>
        </w:rPr>
        <w:t xml:space="preserve">not </w:t>
      </w:r>
      <w:r w:rsidR="00BA64BC" w:rsidRPr="00413C7E">
        <w:rPr>
          <w:rFonts w:ascii="Arial" w:hAnsi="Arial" w:cs="Arial"/>
        </w:rPr>
        <w:t xml:space="preserve">correlated with </w:t>
      </w:r>
      <w:r w:rsidR="003B2A48" w:rsidRPr="00413C7E">
        <w:rPr>
          <w:rFonts w:ascii="Arial" w:hAnsi="Arial" w:cs="Arial"/>
        </w:rPr>
        <w:t xml:space="preserve">mean </w:t>
      </w:r>
      <w:r w:rsidR="00D9671E" w:rsidRPr="00413C7E">
        <w:rPr>
          <w:rFonts w:ascii="Arial" w:hAnsi="Arial" w:cs="Arial"/>
        </w:rPr>
        <w:t xml:space="preserve">reactivity to CS+s during </w:t>
      </w:r>
      <w:r w:rsidR="003B2A48" w:rsidRPr="00413C7E">
        <w:rPr>
          <w:rFonts w:ascii="Arial" w:hAnsi="Arial" w:cs="Arial"/>
        </w:rPr>
        <w:t>Conditioning, mean Extinction CS+E</w:t>
      </w:r>
      <w:r w:rsidR="00D9671E" w:rsidRPr="00413C7E">
        <w:rPr>
          <w:rFonts w:ascii="Arial" w:hAnsi="Arial" w:cs="Arial"/>
        </w:rPr>
        <w:t xml:space="preserve"> reactivity</w:t>
      </w:r>
      <w:r w:rsidR="003B2A48" w:rsidRPr="00413C7E">
        <w:rPr>
          <w:rFonts w:ascii="Arial" w:hAnsi="Arial" w:cs="Arial"/>
        </w:rPr>
        <w:t xml:space="preserve"> or Recall CS+U</w:t>
      </w:r>
      <w:r w:rsidR="00D9671E" w:rsidRPr="00413C7E">
        <w:rPr>
          <w:rFonts w:ascii="Arial" w:hAnsi="Arial" w:cs="Arial"/>
        </w:rPr>
        <w:t xml:space="preserve"> reactivity</w:t>
      </w:r>
      <w:r w:rsidR="003B2A48" w:rsidRPr="00413C7E">
        <w:rPr>
          <w:rFonts w:ascii="Arial" w:hAnsi="Arial" w:cs="Arial"/>
        </w:rPr>
        <w:t xml:space="preserve"> (first two presentations</w:t>
      </w:r>
      <w:r w:rsidR="00D9671E" w:rsidRPr="00413C7E">
        <w:rPr>
          <w:rFonts w:ascii="Arial" w:hAnsi="Arial" w:cs="Arial"/>
        </w:rPr>
        <w:t>; CS+U represents the stimulus conditioned but not extinguished</w:t>
      </w:r>
      <w:r w:rsidR="003B2A48" w:rsidRPr="00413C7E">
        <w:rPr>
          <w:rFonts w:ascii="Arial" w:hAnsi="Arial" w:cs="Arial"/>
        </w:rPr>
        <w:t xml:space="preserve">) (all </w:t>
      </w:r>
      <w:proofErr w:type="spellStart"/>
      <w:r w:rsidR="003B2A48" w:rsidRPr="00413C7E">
        <w:rPr>
          <w:rFonts w:ascii="Arial" w:hAnsi="Arial" w:cs="Arial"/>
          <w:i/>
        </w:rPr>
        <w:t>p</w:t>
      </w:r>
      <w:r w:rsidR="003B2A48" w:rsidRPr="00413C7E">
        <w:rPr>
          <w:rFonts w:ascii="Arial" w:hAnsi="Arial" w:cs="Arial"/>
        </w:rPr>
        <w:t>s</w:t>
      </w:r>
      <w:proofErr w:type="spellEnd"/>
      <w:r w:rsidR="003B2A48" w:rsidRPr="00413C7E">
        <w:rPr>
          <w:rFonts w:ascii="Arial" w:hAnsi="Arial" w:cs="Arial"/>
        </w:rPr>
        <w:t xml:space="preserve">&gt;.44). </w:t>
      </w:r>
    </w:p>
    <w:p w14:paraId="741EF8F0" w14:textId="4FDC6DA6" w:rsidR="00345BF8" w:rsidRPr="00413C7E" w:rsidRDefault="00345BF8" w:rsidP="00EA58B0">
      <w:pPr>
        <w:rPr>
          <w:rFonts w:ascii="Arial" w:hAnsi="Arial" w:cs="Arial"/>
        </w:rPr>
      </w:pPr>
    </w:p>
    <w:p w14:paraId="566754A4" w14:textId="26415686" w:rsidR="00F711F7" w:rsidRPr="00413C7E" w:rsidRDefault="00F711F7" w:rsidP="00EA58B0">
      <w:pPr>
        <w:rPr>
          <w:rFonts w:ascii="Arial" w:hAnsi="Arial" w:cs="Arial"/>
        </w:rPr>
      </w:pPr>
      <w:r w:rsidRPr="00413C7E">
        <w:rPr>
          <w:rFonts w:ascii="Arial" w:hAnsi="Arial" w:cs="Arial"/>
          <w:b/>
        </w:rPr>
        <w:t>Table S1.</w:t>
      </w:r>
      <w:r w:rsidRPr="00413C7E">
        <w:rPr>
          <w:rFonts w:ascii="Arial" w:hAnsi="Arial" w:cs="Arial"/>
        </w:rPr>
        <w:t xml:space="preserve"> Average weekday and weekend sleep timing.</w:t>
      </w:r>
    </w:p>
    <w:p w14:paraId="33A12AA6" w14:textId="77777777" w:rsidR="00F711F7" w:rsidRPr="00413C7E" w:rsidRDefault="00F711F7" w:rsidP="00EA58B0">
      <w:pPr>
        <w:rPr>
          <w:rFonts w:ascii="Arial" w:hAnsi="Arial" w:cs="Arial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1956"/>
        <w:gridCol w:w="819"/>
        <w:gridCol w:w="1082"/>
        <w:gridCol w:w="1179"/>
        <w:gridCol w:w="1082"/>
        <w:gridCol w:w="1082"/>
        <w:gridCol w:w="1044"/>
        <w:gridCol w:w="1133"/>
      </w:tblGrid>
      <w:tr w:rsidR="00413C7E" w:rsidRPr="00413C7E" w14:paraId="5179CCCA" w14:textId="77777777" w:rsidTr="00F711F7">
        <w:trPr>
          <w:trHeight w:val="353"/>
        </w:trPr>
        <w:tc>
          <w:tcPr>
            <w:tcW w:w="1956" w:type="dxa"/>
          </w:tcPr>
          <w:p w14:paraId="30A85F0B" w14:textId="77777777" w:rsidR="00F711F7" w:rsidRPr="00413C7E" w:rsidRDefault="00F711F7" w:rsidP="00F711F7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46530455" w14:textId="09C2A64C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MWD</w:t>
            </w:r>
          </w:p>
        </w:tc>
        <w:tc>
          <w:tcPr>
            <w:tcW w:w="1082" w:type="dxa"/>
          </w:tcPr>
          <w:p w14:paraId="79DA1AD3" w14:textId="3DC63AFC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SD</w:t>
            </w:r>
          </w:p>
        </w:tc>
        <w:tc>
          <w:tcPr>
            <w:tcW w:w="1179" w:type="dxa"/>
          </w:tcPr>
          <w:p w14:paraId="3F440AB6" w14:textId="68A7BAAC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MWE</w:t>
            </w:r>
          </w:p>
        </w:tc>
        <w:tc>
          <w:tcPr>
            <w:tcW w:w="1082" w:type="dxa"/>
          </w:tcPr>
          <w:p w14:paraId="305BBDE9" w14:textId="1DB58C7C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SD</w:t>
            </w:r>
          </w:p>
        </w:tc>
        <w:tc>
          <w:tcPr>
            <w:tcW w:w="1082" w:type="dxa"/>
          </w:tcPr>
          <w:p w14:paraId="4A916CA9" w14:textId="5451D6D1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t</w:t>
            </w:r>
          </w:p>
        </w:tc>
        <w:tc>
          <w:tcPr>
            <w:tcW w:w="1044" w:type="dxa"/>
          </w:tcPr>
          <w:p w14:paraId="48026124" w14:textId="78F988D5" w:rsidR="00F711F7" w:rsidRPr="00413C7E" w:rsidRDefault="00F711F7" w:rsidP="00F711F7">
            <w:pPr>
              <w:rPr>
                <w:rFonts w:ascii="Arial" w:hAnsi="Arial" w:cs="Arial"/>
              </w:rPr>
            </w:pPr>
            <w:proofErr w:type="spellStart"/>
            <w:r w:rsidRPr="00413C7E">
              <w:rPr>
                <w:rFonts w:ascii="Arial" w:hAnsi="Arial" w:cs="Arial"/>
              </w:rPr>
              <w:t>df</w:t>
            </w:r>
            <w:proofErr w:type="spellEnd"/>
          </w:p>
        </w:tc>
        <w:tc>
          <w:tcPr>
            <w:tcW w:w="1133" w:type="dxa"/>
          </w:tcPr>
          <w:p w14:paraId="1E558270" w14:textId="18034187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p</w:t>
            </w:r>
          </w:p>
        </w:tc>
      </w:tr>
      <w:tr w:rsidR="00413C7E" w:rsidRPr="00413C7E" w14:paraId="661AF4A5" w14:textId="77777777" w:rsidTr="00F711F7">
        <w:trPr>
          <w:trHeight w:val="374"/>
        </w:trPr>
        <w:tc>
          <w:tcPr>
            <w:tcW w:w="1956" w:type="dxa"/>
          </w:tcPr>
          <w:p w14:paraId="48B253DF" w14:textId="1BEEF922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TST (mins)</w:t>
            </w:r>
          </w:p>
        </w:tc>
        <w:tc>
          <w:tcPr>
            <w:tcW w:w="819" w:type="dxa"/>
          </w:tcPr>
          <w:p w14:paraId="7C4880D4" w14:textId="32CDB7FB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390.0</w:t>
            </w:r>
          </w:p>
        </w:tc>
        <w:tc>
          <w:tcPr>
            <w:tcW w:w="1082" w:type="dxa"/>
          </w:tcPr>
          <w:p w14:paraId="048337A9" w14:textId="78433BAC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56.5</w:t>
            </w:r>
          </w:p>
        </w:tc>
        <w:tc>
          <w:tcPr>
            <w:tcW w:w="1179" w:type="dxa"/>
          </w:tcPr>
          <w:p w14:paraId="38FAFE93" w14:textId="15C4FA97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422.9</w:t>
            </w:r>
          </w:p>
        </w:tc>
        <w:tc>
          <w:tcPr>
            <w:tcW w:w="1082" w:type="dxa"/>
          </w:tcPr>
          <w:p w14:paraId="10051F61" w14:textId="0DDDC7C3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75.5</w:t>
            </w:r>
          </w:p>
        </w:tc>
        <w:tc>
          <w:tcPr>
            <w:tcW w:w="1082" w:type="dxa"/>
          </w:tcPr>
          <w:p w14:paraId="2F9174C7" w14:textId="548805D7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-4.76</w:t>
            </w:r>
          </w:p>
        </w:tc>
        <w:tc>
          <w:tcPr>
            <w:tcW w:w="1044" w:type="dxa"/>
          </w:tcPr>
          <w:p w14:paraId="7A39B408" w14:textId="31AA030B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74</w:t>
            </w:r>
          </w:p>
        </w:tc>
        <w:tc>
          <w:tcPr>
            <w:tcW w:w="1133" w:type="dxa"/>
          </w:tcPr>
          <w:p w14:paraId="12BC8A86" w14:textId="0EF74A0B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&lt;0.001</w:t>
            </w:r>
          </w:p>
        </w:tc>
      </w:tr>
      <w:tr w:rsidR="00413C7E" w:rsidRPr="00413C7E" w14:paraId="36363CC4" w14:textId="77777777" w:rsidTr="00F711F7">
        <w:trPr>
          <w:trHeight w:val="727"/>
        </w:trPr>
        <w:tc>
          <w:tcPr>
            <w:tcW w:w="1956" w:type="dxa"/>
          </w:tcPr>
          <w:p w14:paraId="33284019" w14:textId="44494A2B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 xml:space="preserve">Midpoint (mins past midnight) </w:t>
            </w:r>
          </w:p>
        </w:tc>
        <w:tc>
          <w:tcPr>
            <w:tcW w:w="819" w:type="dxa"/>
          </w:tcPr>
          <w:p w14:paraId="2A2FD6F9" w14:textId="06AB229A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288.8</w:t>
            </w:r>
          </w:p>
        </w:tc>
        <w:tc>
          <w:tcPr>
            <w:tcW w:w="1082" w:type="dxa"/>
          </w:tcPr>
          <w:p w14:paraId="0856EAC6" w14:textId="47BAD5B2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57.1</w:t>
            </w:r>
          </w:p>
        </w:tc>
        <w:tc>
          <w:tcPr>
            <w:tcW w:w="1179" w:type="dxa"/>
          </w:tcPr>
          <w:p w14:paraId="09795904" w14:textId="4A8B3059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351.6</w:t>
            </w:r>
          </w:p>
        </w:tc>
        <w:tc>
          <w:tcPr>
            <w:tcW w:w="1082" w:type="dxa"/>
          </w:tcPr>
          <w:p w14:paraId="0F58B2F1" w14:textId="4E75D9BB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67.9</w:t>
            </w:r>
          </w:p>
        </w:tc>
        <w:tc>
          <w:tcPr>
            <w:tcW w:w="1082" w:type="dxa"/>
          </w:tcPr>
          <w:p w14:paraId="58D57BC6" w14:textId="094C519F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-8.52</w:t>
            </w:r>
          </w:p>
        </w:tc>
        <w:tc>
          <w:tcPr>
            <w:tcW w:w="1044" w:type="dxa"/>
          </w:tcPr>
          <w:p w14:paraId="10FA4BED" w14:textId="787C4A0D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74</w:t>
            </w:r>
          </w:p>
        </w:tc>
        <w:tc>
          <w:tcPr>
            <w:tcW w:w="1133" w:type="dxa"/>
          </w:tcPr>
          <w:p w14:paraId="6D3F7346" w14:textId="18DC2689" w:rsidR="00F711F7" w:rsidRPr="00413C7E" w:rsidRDefault="00F711F7" w:rsidP="00F711F7">
            <w:pPr>
              <w:rPr>
                <w:rFonts w:ascii="Arial" w:hAnsi="Arial" w:cs="Arial"/>
              </w:rPr>
            </w:pPr>
            <w:r w:rsidRPr="00413C7E">
              <w:rPr>
                <w:rFonts w:ascii="Arial" w:hAnsi="Arial" w:cs="Arial"/>
              </w:rPr>
              <w:t>&lt;0.001</w:t>
            </w:r>
          </w:p>
        </w:tc>
      </w:tr>
    </w:tbl>
    <w:p w14:paraId="6A4C17E1" w14:textId="53E5917F" w:rsidR="00E51A30" w:rsidRPr="00413C7E" w:rsidRDefault="00F711F7" w:rsidP="00EA58B0">
      <w:pPr>
        <w:rPr>
          <w:rFonts w:ascii="Arial" w:hAnsi="Arial" w:cs="Arial"/>
        </w:rPr>
      </w:pPr>
      <w:r w:rsidRPr="00413C7E">
        <w:rPr>
          <w:rFonts w:ascii="Arial" w:hAnsi="Arial" w:cs="Arial"/>
        </w:rPr>
        <w:t>Note. MWD, mean weekday; MWE, mean weekend;</w:t>
      </w:r>
    </w:p>
    <w:p w14:paraId="32DC1DF4" w14:textId="48EDDF39" w:rsidR="00E51A30" w:rsidRPr="00413C7E" w:rsidRDefault="00E51A30" w:rsidP="00EA58B0">
      <w:pPr>
        <w:rPr>
          <w:rFonts w:ascii="Arial" w:hAnsi="Arial" w:cs="Arial"/>
        </w:rPr>
      </w:pPr>
    </w:p>
    <w:p w14:paraId="68995B08" w14:textId="77777777" w:rsidR="00F711F7" w:rsidRPr="00413C7E" w:rsidRDefault="00F711F7" w:rsidP="00EA58B0">
      <w:pPr>
        <w:rPr>
          <w:rFonts w:ascii="Arial" w:hAnsi="Arial" w:cs="Arial"/>
        </w:rPr>
      </w:pPr>
    </w:p>
    <w:p w14:paraId="47F9C0F1" w14:textId="343BC1C1" w:rsidR="00020C61" w:rsidRPr="00413C7E" w:rsidRDefault="00E51A30" w:rsidP="00020C61">
      <w:pPr>
        <w:rPr>
          <w:rFonts w:ascii="Arial" w:hAnsi="Arial" w:cs="Arial"/>
          <w:b/>
        </w:rPr>
      </w:pPr>
      <w:r w:rsidRPr="00413C7E">
        <w:rPr>
          <w:rFonts w:ascii="Arial" w:hAnsi="Arial" w:cs="Arial"/>
          <w:b/>
        </w:rPr>
        <w:t xml:space="preserve">Supplementary </w:t>
      </w:r>
      <w:r w:rsidR="00CF4D7E" w:rsidRPr="00413C7E">
        <w:rPr>
          <w:rFonts w:ascii="Arial" w:hAnsi="Arial" w:cs="Arial"/>
          <w:b/>
        </w:rPr>
        <w:t>References</w:t>
      </w:r>
    </w:p>
    <w:p w14:paraId="6F822960" w14:textId="77777777" w:rsidR="00020C61" w:rsidRPr="00413C7E" w:rsidRDefault="00020C61" w:rsidP="00020C61">
      <w:pPr>
        <w:rPr>
          <w:rFonts w:ascii="Arial" w:hAnsi="Arial" w:cs="Arial"/>
        </w:rPr>
      </w:pPr>
    </w:p>
    <w:p w14:paraId="68A28209" w14:textId="77777777" w:rsidR="0089636F" w:rsidRPr="00413C7E" w:rsidRDefault="0089636F" w:rsidP="00D9671E">
      <w:pPr>
        <w:ind w:left="720" w:hanging="720"/>
        <w:rPr>
          <w:rFonts w:ascii="Arial" w:hAnsi="Arial" w:cs="Arial"/>
        </w:rPr>
      </w:pPr>
      <w:r w:rsidRPr="00413C7E">
        <w:rPr>
          <w:rFonts w:ascii="Arial" w:hAnsi="Arial" w:cs="Arial"/>
          <w:shd w:val="clear" w:color="auto" w:fill="FFFFFF"/>
        </w:rPr>
        <w:lastRenderedPageBreak/>
        <w:t xml:space="preserve">Horne, J. A., &amp; </w:t>
      </w:r>
      <w:proofErr w:type="spellStart"/>
      <w:r w:rsidRPr="00413C7E">
        <w:rPr>
          <w:rFonts w:ascii="Arial" w:hAnsi="Arial" w:cs="Arial"/>
          <w:shd w:val="clear" w:color="auto" w:fill="FFFFFF"/>
        </w:rPr>
        <w:t>Östberg</w:t>
      </w:r>
      <w:proofErr w:type="spellEnd"/>
      <w:r w:rsidRPr="00413C7E">
        <w:rPr>
          <w:rFonts w:ascii="Arial" w:hAnsi="Arial" w:cs="Arial"/>
          <w:shd w:val="clear" w:color="auto" w:fill="FFFFFF"/>
        </w:rPr>
        <w:t xml:space="preserve">, O. (1976). A self-assessment questionnaire to determine </w:t>
      </w:r>
      <w:proofErr w:type="spellStart"/>
      <w:r w:rsidRPr="00413C7E">
        <w:rPr>
          <w:rFonts w:ascii="Arial" w:hAnsi="Arial" w:cs="Arial"/>
          <w:shd w:val="clear" w:color="auto" w:fill="FFFFFF"/>
        </w:rPr>
        <w:t>morningness-eveningness</w:t>
      </w:r>
      <w:proofErr w:type="spellEnd"/>
      <w:r w:rsidRPr="00413C7E">
        <w:rPr>
          <w:rFonts w:ascii="Arial" w:hAnsi="Arial" w:cs="Arial"/>
          <w:shd w:val="clear" w:color="auto" w:fill="FFFFFF"/>
        </w:rPr>
        <w:t xml:space="preserve"> in human circadian rhythms. </w:t>
      </w:r>
      <w:r w:rsidRPr="00413C7E">
        <w:rPr>
          <w:rFonts w:ascii="Arial" w:hAnsi="Arial" w:cs="Arial"/>
          <w:i/>
          <w:iCs/>
          <w:shd w:val="clear" w:color="auto" w:fill="FFFFFF"/>
        </w:rPr>
        <w:t>International journal of chronobiology</w:t>
      </w:r>
      <w:r w:rsidRPr="00413C7E">
        <w:rPr>
          <w:rFonts w:ascii="Arial" w:hAnsi="Arial" w:cs="Arial"/>
          <w:shd w:val="clear" w:color="auto" w:fill="FFFFFF"/>
        </w:rPr>
        <w:t>.</w:t>
      </w:r>
    </w:p>
    <w:p w14:paraId="0AB48EE3" w14:textId="3FCFF796" w:rsidR="00020C61" w:rsidRPr="00413C7E" w:rsidRDefault="00020C61" w:rsidP="00D9671E">
      <w:pPr>
        <w:ind w:left="720" w:hanging="720"/>
        <w:rPr>
          <w:rFonts w:ascii="Arial" w:hAnsi="Arial" w:cs="Arial"/>
          <w:shd w:val="clear" w:color="auto" w:fill="FFFFFF"/>
        </w:rPr>
      </w:pPr>
    </w:p>
    <w:p w14:paraId="5EB172E3" w14:textId="77777777" w:rsidR="002E5343" w:rsidRPr="00413C7E" w:rsidRDefault="002E5343" w:rsidP="00D9671E">
      <w:pPr>
        <w:ind w:left="720" w:hanging="720"/>
      </w:pPr>
      <w:r w:rsidRPr="00413C7E">
        <w:rPr>
          <w:rFonts w:ascii="Arial" w:hAnsi="Arial" w:cs="Arial"/>
          <w:shd w:val="clear" w:color="auto" w:fill="FFFFFF"/>
        </w:rPr>
        <w:t xml:space="preserve">Lockhart, R. A., &amp; </w:t>
      </w:r>
      <w:proofErr w:type="spellStart"/>
      <w:r w:rsidRPr="00413C7E">
        <w:rPr>
          <w:rFonts w:ascii="Arial" w:hAnsi="Arial" w:cs="Arial"/>
          <w:shd w:val="clear" w:color="auto" w:fill="FFFFFF"/>
        </w:rPr>
        <w:t>Grings</w:t>
      </w:r>
      <w:proofErr w:type="spellEnd"/>
      <w:r w:rsidRPr="00413C7E">
        <w:rPr>
          <w:rFonts w:ascii="Arial" w:hAnsi="Arial" w:cs="Arial"/>
          <w:shd w:val="clear" w:color="auto" w:fill="FFFFFF"/>
        </w:rPr>
        <w:t>, W. W. (1963). Comments on "An Analysis of GSR Conditioning." </w:t>
      </w:r>
      <w:r w:rsidRPr="00413C7E">
        <w:rPr>
          <w:rStyle w:val="Emphasis"/>
          <w:rFonts w:ascii="Arial" w:hAnsi="Arial" w:cs="Arial"/>
          <w:shd w:val="clear" w:color="auto" w:fill="FFFFFF"/>
        </w:rPr>
        <w:t>Psychological Review, 70</w:t>
      </w:r>
      <w:r w:rsidRPr="00413C7E">
        <w:rPr>
          <w:rFonts w:ascii="Arial" w:hAnsi="Arial" w:cs="Arial"/>
          <w:shd w:val="clear" w:color="auto" w:fill="FFFFFF"/>
        </w:rPr>
        <w:t>(6), 562–564.</w:t>
      </w:r>
    </w:p>
    <w:p w14:paraId="13D07973" w14:textId="77777777" w:rsidR="002E5343" w:rsidRPr="00413C7E" w:rsidRDefault="002E5343" w:rsidP="00D9671E">
      <w:pPr>
        <w:ind w:left="720" w:hanging="720"/>
        <w:rPr>
          <w:rFonts w:ascii="Arial" w:hAnsi="Arial" w:cs="Arial"/>
          <w:shd w:val="clear" w:color="auto" w:fill="FFFFFF"/>
        </w:rPr>
      </w:pPr>
    </w:p>
    <w:p w14:paraId="1BF5D1A6" w14:textId="635D3B30" w:rsidR="00CF4D7E" w:rsidRPr="00413C7E" w:rsidRDefault="00CF4D7E" w:rsidP="00D9671E">
      <w:pPr>
        <w:ind w:left="720" w:hanging="720"/>
        <w:rPr>
          <w:rFonts w:ascii="Arial" w:hAnsi="Arial" w:cs="Arial"/>
          <w:b/>
        </w:rPr>
      </w:pPr>
      <w:r w:rsidRPr="00413C7E">
        <w:rPr>
          <w:rFonts w:ascii="Arial" w:hAnsi="Arial" w:cs="Arial"/>
          <w:shd w:val="clear" w:color="auto" w:fill="FFFFFF"/>
        </w:rPr>
        <w:t xml:space="preserve">McLaughlin, N. C. R., Strong, D., Abrantes, A., </w:t>
      </w:r>
      <w:proofErr w:type="spellStart"/>
      <w:r w:rsidRPr="00413C7E">
        <w:rPr>
          <w:rFonts w:ascii="Arial" w:hAnsi="Arial" w:cs="Arial"/>
          <w:shd w:val="clear" w:color="auto" w:fill="FFFFFF"/>
        </w:rPr>
        <w:t>Garnaat</w:t>
      </w:r>
      <w:proofErr w:type="spellEnd"/>
      <w:r w:rsidRPr="00413C7E">
        <w:rPr>
          <w:rFonts w:ascii="Arial" w:hAnsi="Arial" w:cs="Arial"/>
          <w:shd w:val="clear" w:color="auto" w:fill="FFFFFF"/>
        </w:rPr>
        <w:t>, S., Cerny, A., O’Connell, C., ... &amp; Greenberg, B. D. (2015). Extinction retention and fear renewal in a lifetime obsessive–compulsive disorder sample. </w:t>
      </w:r>
      <w:proofErr w:type="spellStart"/>
      <w:r w:rsidRPr="00413C7E">
        <w:rPr>
          <w:rFonts w:ascii="Arial" w:hAnsi="Arial" w:cs="Arial"/>
          <w:i/>
          <w:iCs/>
          <w:shd w:val="clear" w:color="auto" w:fill="FFFFFF"/>
        </w:rPr>
        <w:t>Behavioural</w:t>
      </w:r>
      <w:proofErr w:type="spellEnd"/>
      <w:r w:rsidRPr="00413C7E">
        <w:rPr>
          <w:rFonts w:ascii="Arial" w:hAnsi="Arial" w:cs="Arial"/>
          <w:i/>
          <w:iCs/>
          <w:shd w:val="clear" w:color="auto" w:fill="FFFFFF"/>
        </w:rPr>
        <w:t xml:space="preserve"> brain research</w:t>
      </w:r>
      <w:r w:rsidRPr="00413C7E">
        <w:rPr>
          <w:rFonts w:ascii="Arial" w:hAnsi="Arial" w:cs="Arial"/>
          <w:shd w:val="clear" w:color="auto" w:fill="FFFFFF"/>
        </w:rPr>
        <w:t>, </w:t>
      </w:r>
      <w:r w:rsidRPr="00413C7E">
        <w:rPr>
          <w:rFonts w:ascii="Arial" w:hAnsi="Arial" w:cs="Arial"/>
          <w:i/>
          <w:iCs/>
          <w:shd w:val="clear" w:color="auto" w:fill="FFFFFF"/>
        </w:rPr>
        <w:t>280</w:t>
      </w:r>
      <w:r w:rsidRPr="00413C7E">
        <w:rPr>
          <w:rFonts w:ascii="Arial" w:hAnsi="Arial" w:cs="Arial"/>
          <w:shd w:val="clear" w:color="auto" w:fill="FFFFFF"/>
        </w:rPr>
        <w:t>, 72-77.</w:t>
      </w:r>
    </w:p>
    <w:p w14:paraId="10D0E016" w14:textId="77777777" w:rsidR="00020C61" w:rsidRPr="00413C7E" w:rsidRDefault="00020C61" w:rsidP="00D9671E">
      <w:pPr>
        <w:ind w:left="720" w:hanging="720"/>
        <w:rPr>
          <w:rFonts w:ascii="Arial" w:hAnsi="Arial" w:cs="Arial"/>
        </w:rPr>
      </w:pPr>
    </w:p>
    <w:p w14:paraId="0F6BB98E" w14:textId="2CFA13A8" w:rsidR="00020C61" w:rsidRPr="00413C7E" w:rsidRDefault="00020C61" w:rsidP="00D9671E">
      <w:pPr>
        <w:ind w:left="720" w:hanging="720"/>
        <w:rPr>
          <w:rFonts w:ascii="Arial" w:hAnsi="Arial" w:cs="Arial"/>
          <w:shd w:val="clear" w:color="auto" w:fill="FFFFFF"/>
        </w:rPr>
      </w:pPr>
      <w:r w:rsidRPr="00413C7E">
        <w:rPr>
          <w:rFonts w:ascii="Arial" w:hAnsi="Arial" w:cs="Arial"/>
          <w:shd w:val="clear" w:color="auto" w:fill="FFFFFF"/>
        </w:rPr>
        <w:t xml:space="preserve">Pace-Schott, E. F., Spencer, R. M., Vijayakumar, S., Ahmed, N. A., </w:t>
      </w:r>
      <w:proofErr w:type="spellStart"/>
      <w:r w:rsidRPr="00413C7E">
        <w:rPr>
          <w:rFonts w:ascii="Arial" w:hAnsi="Arial" w:cs="Arial"/>
          <w:shd w:val="clear" w:color="auto" w:fill="FFFFFF"/>
        </w:rPr>
        <w:t>Verga</w:t>
      </w:r>
      <w:proofErr w:type="spellEnd"/>
      <w:r w:rsidRPr="00413C7E">
        <w:rPr>
          <w:rFonts w:ascii="Arial" w:hAnsi="Arial" w:cs="Arial"/>
          <w:shd w:val="clear" w:color="auto" w:fill="FFFFFF"/>
        </w:rPr>
        <w:t>, P. W., Orr, S. P., ... &amp; Milad, M. R. (2013). Extinction of conditioned fear is better learned and recalled in the morning than in the evening. </w:t>
      </w:r>
      <w:r w:rsidRPr="00413C7E">
        <w:rPr>
          <w:rFonts w:ascii="Arial" w:hAnsi="Arial" w:cs="Arial"/>
          <w:i/>
          <w:iCs/>
          <w:shd w:val="clear" w:color="auto" w:fill="FFFFFF"/>
        </w:rPr>
        <w:t>Journal of psychiatric research</w:t>
      </w:r>
      <w:r w:rsidRPr="00413C7E">
        <w:rPr>
          <w:rFonts w:ascii="Arial" w:hAnsi="Arial" w:cs="Arial"/>
          <w:shd w:val="clear" w:color="auto" w:fill="FFFFFF"/>
        </w:rPr>
        <w:t>, </w:t>
      </w:r>
      <w:r w:rsidRPr="00413C7E">
        <w:rPr>
          <w:rFonts w:ascii="Arial" w:hAnsi="Arial" w:cs="Arial"/>
          <w:i/>
          <w:iCs/>
          <w:shd w:val="clear" w:color="auto" w:fill="FFFFFF"/>
        </w:rPr>
        <w:t>47</w:t>
      </w:r>
      <w:r w:rsidRPr="00413C7E">
        <w:rPr>
          <w:rFonts w:ascii="Arial" w:hAnsi="Arial" w:cs="Arial"/>
          <w:shd w:val="clear" w:color="auto" w:fill="FFFFFF"/>
        </w:rPr>
        <w:t>(11), 1776-1784.</w:t>
      </w:r>
    </w:p>
    <w:p w14:paraId="5B41D815" w14:textId="77777777" w:rsidR="00020C61" w:rsidRPr="00413C7E" w:rsidRDefault="00020C61" w:rsidP="00D9671E">
      <w:pPr>
        <w:ind w:left="720" w:hanging="720"/>
        <w:rPr>
          <w:rFonts w:ascii="Arial" w:hAnsi="Arial" w:cs="Arial"/>
        </w:rPr>
      </w:pPr>
    </w:p>
    <w:p w14:paraId="2E060E23" w14:textId="38316D7B" w:rsidR="00020C61" w:rsidRPr="00413C7E" w:rsidRDefault="00020C61" w:rsidP="00D9671E">
      <w:pPr>
        <w:ind w:left="720" w:hanging="720"/>
        <w:rPr>
          <w:rFonts w:ascii="Arial" w:hAnsi="Arial" w:cs="Arial"/>
          <w:shd w:val="clear" w:color="auto" w:fill="FFFFFF"/>
        </w:rPr>
      </w:pPr>
      <w:r w:rsidRPr="00413C7E">
        <w:rPr>
          <w:rFonts w:ascii="Arial" w:hAnsi="Arial" w:cs="Arial"/>
          <w:shd w:val="clear" w:color="auto" w:fill="FFFFFF"/>
        </w:rPr>
        <w:t xml:space="preserve">Pace-Schott, E. F., </w:t>
      </w:r>
      <w:proofErr w:type="spellStart"/>
      <w:r w:rsidRPr="00413C7E">
        <w:rPr>
          <w:rFonts w:ascii="Arial" w:hAnsi="Arial" w:cs="Arial"/>
          <w:shd w:val="clear" w:color="auto" w:fill="FFFFFF"/>
        </w:rPr>
        <w:t>Stickgold</w:t>
      </w:r>
      <w:proofErr w:type="spellEnd"/>
      <w:r w:rsidRPr="00413C7E">
        <w:rPr>
          <w:rFonts w:ascii="Arial" w:hAnsi="Arial" w:cs="Arial"/>
          <w:shd w:val="clear" w:color="auto" w:fill="FFFFFF"/>
        </w:rPr>
        <w:t xml:space="preserve">, R., </w:t>
      </w:r>
      <w:proofErr w:type="spellStart"/>
      <w:r w:rsidRPr="00413C7E">
        <w:rPr>
          <w:rFonts w:ascii="Arial" w:hAnsi="Arial" w:cs="Arial"/>
          <w:shd w:val="clear" w:color="auto" w:fill="FFFFFF"/>
        </w:rPr>
        <w:t>Muzur</w:t>
      </w:r>
      <w:proofErr w:type="spellEnd"/>
      <w:r w:rsidRPr="00413C7E">
        <w:rPr>
          <w:rFonts w:ascii="Arial" w:hAnsi="Arial" w:cs="Arial"/>
          <w:shd w:val="clear" w:color="auto" w:fill="FFFFFF"/>
        </w:rPr>
        <w:t xml:space="preserve">, A., </w:t>
      </w:r>
      <w:proofErr w:type="spellStart"/>
      <w:r w:rsidRPr="00413C7E">
        <w:rPr>
          <w:rFonts w:ascii="Arial" w:hAnsi="Arial" w:cs="Arial"/>
          <w:shd w:val="clear" w:color="auto" w:fill="FFFFFF"/>
        </w:rPr>
        <w:t>Wigren</w:t>
      </w:r>
      <w:proofErr w:type="spellEnd"/>
      <w:r w:rsidRPr="00413C7E">
        <w:rPr>
          <w:rFonts w:ascii="Arial" w:hAnsi="Arial" w:cs="Arial"/>
          <w:shd w:val="clear" w:color="auto" w:fill="FFFFFF"/>
        </w:rPr>
        <w:t>, P. E., Ward, A. S., Hart, C. L., ... &amp; Hobson, J. A. (2005). Sleep quality deteriorates over a binge–abstinence cycle in chronic smoked cocaine users. </w:t>
      </w:r>
      <w:r w:rsidRPr="00413C7E">
        <w:rPr>
          <w:rFonts w:ascii="Arial" w:hAnsi="Arial" w:cs="Arial"/>
          <w:i/>
          <w:iCs/>
          <w:shd w:val="clear" w:color="auto" w:fill="FFFFFF"/>
        </w:rPr>
        <w:t>Psychopharmacology</w:t>
      </w:r>
      <w:r w:rsidRPr="00413C7E">
        <w:rPr>
          <w:rFonts w:ascii="Arial" w:hAnsi="Arial" w:cs="Arial"/>
          <w:shd w:val="clear" w:color="auto" w:fill="FFFFFF"/>
        </w:rPr>
        <w:t>, </w:t>
      </w:r>
      <w:r w:rsidRPr="00413C7E">
        <w:rPr>
          <w:rFonts w:ascii="Arial" w:hAnsi="Arial" w:cs="Arial"/>
          <w:i/>
          <w:iCs/>
          <w:shd w:val="clear" w:color="auto" w:fill="FFFFFF"/>
        </w:rPr>
        <w:t>179</w:t>
      </w:r>
      <w:r w:rsidRPr="00413C7E">
        <w:rPr>
          <w:rFonts w:ascii="Arial" w:hAnsi="Arial" w:cs="Arial"/>
          <w:shd w:val="clear" w:color="auto" w:fill="FFFFFF"/>
        </w:rPr>
        <w:t>(4), 873-883.</w:t>
      </w:r>
    </w:p>
    <w:p w14:paraId="4E8EBB79" w14:textId="41AC0277" w:rsidR="000E2D93" w:rsidRPr="00413C7E" w:rsidRDefault="000E2D93" w:rsidP="00D9671E">
      <w:pPr>
        <w:ind w:left="720" w:hanging="720"/>
        <w:rPr>
          <w:rFonts w:ascii="Arial" w:hAnsi="Arial" w:cs="Arial"/>
        </w:rPr>
      </w:pPr>
    </w:p>
    <w:p w14:paraId="74D87ADA" w14:textId="77777777" w:rsidR="002E5343" w:rsidRPr="00413C7E" w:rsidRDefault="002E5343" w:rsidP="00D9671E">
      <w:pPr>
        <w:ind w:left="720" w:hanging="720"/>
        <w:rPr>
          <w:rFonts w:ascii="Arial" w:hAnsi="Arial" w:cs="Arial"/>
        </w:rPr>
      </w:pPr>
      <w:proofErr w:type="spellStart"/>
      <w:r w:rsidRPr="00413C7E">
        <w:rPr>
          <w:rFonts w:ascii="Arial" w:hAnsi="Arial" w:cs="Arial"/>
          <w:shd w:val="clear" w:color="auto" w:fill="FFFFFF"/>
        </w:rPr>
        <w:t>Pineles</w:t>
      </w:r>
      <w:proofErr w:type="spellEnd"/>
      <w:r w:rsidRPr="00413C7E">
        <w:rPr>
          <w:rFonts w:ascii="Arial" w:hAnsi="Arial" w:cs="Arial"/>
          <w:shd w:val="clear" w:color="auto" w:fill="FFFFFF"/>
        </w:rPr>
        <w:t>, S. L., Orr, M. R., &amp; Orr, S. P. (2009). An alternative scoring method for skin conductance responding in a differential fear conditioning paradigm with a long</w:t>
      </w:r>
      <w:r w:rsidRPr="00413C7E">
        <w:rPr>
          <w:rFonts w:ascii="Cambria Math" w:hAnsi="Cambria Math" w:cs="Cambria Math"/>
          <w:shd w:val="clear" w:color="auto" w:fill="FFFFFF"/>
        </w:rPr>
        <w:t>‐</w:t>
      </w:r>
      <w:r w:rsidRPr="00413C7E">
        <w:rPr>
          <w:rFonts w:ascii="Arial" w:hAnsi="Arial" w:cs="Arial"/>
          <w:shd w:val="clear" w:color="auto" w:fill="FFFFFF"/>
        </w:rPr>
        <w:t>duration conditioned stimulus. </w:t>
      </w:r>
      <w:r w:rsidRPr="00413C7E">
        <w:rPr>
          <w:rFonts w:ascii="Arial" w:hAnsi="Arial" w:cs="Arial"/>
          <w:i/>
          <w:iCs/>
          <w:shd w:val="clear" w:color="auto" w:fill="FFFFFF"/>
        </w:rPr>
        <w:t>Psychophysiology</w:t>
      </w:r>
      <w:r w:rsidRPr="00413C7E">
        <w:rPr>
          <w:rFonts w:ascii="Arial" w:hAnsi="Arial" w:cs="Arial"/>
          <w:shd w:val="clear" w:color="auto" w:fill="FFFFFF"/>
        </w:rPr>
        <w:t>, </w:t>
      </w:r>
      <w:r w:rsidRPr="00413C7E">
        <w:rPr>
          <w:rFonts w:ascii="Arial" w:hAnsi="Arial" w:cs="Arial"/>
          <w:i/>
          <w:iCs/>
          <w:shd w:val="clear" w:color="auto" w:fill="FFFFFF"/>
        </w:rPr>
        <w:t>46</w:t>
      </w:r>
      <w:r w:rsidRPr="00413C7E">
        <w:rPr>
          <w:rFonts w:ascii="Arial" w:hAnsi="Arial" w:cs="Arial"/>
          <w:shd w:val="clear" w:color="auto" w:fill="FFFFFF"/>
        </w:rPr>
        <w:t>(5), 984-995.</w:t>
      </w:r>
    </w:p>
    <w:bookmarkEnd w:id="0"/>
    <w:p w14:paraId="7EE75A28" w14:textId="77777777" w:rsidR="002E5343" w:rsidRPr="00413C7E" w:rsidRDefault="002E5343" w:rsidP="00EA58B0">
      <w:pPr>
        <w:rPr>
          <w:rFonts w:ascii="Arial" w:hAnsi="Arial" w:cs="Arial"/>
        </w:rPr>
      </w:pPr>
    </w:p>
    <w:sectPr w:rsidR="002E5343" w:rsidRPr="00413C7E" w:rsidSect="0033183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FBCA" w14:textId="77777777" w:rsidR="00C618D5" w:rsidRDefault="00C618D5" w:rsidP="00AC53B5">
      <w:r>
        <w:separator/>
      </w:r>
    </w:p>
  </w:endnote>
  <w:endnote w:type="continuationSeparator" w:id="0">
    <w:p w14:paraId="271E1623" w14:textId="77777777" w:rsidR="00C618D5" w:rsidRDefault="00C618D5" w:rsidP="00AC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7356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4B78C" w14:textId="0F8E99F9" w:rsidR="00AC53B5" w:rsidRDefault="00AC53B5" w:rsidP="00EF6B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1DA521" w14:textId="77777777" w:rsidR="00AC53B5" w:rsidRDefault="00AC5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5148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28C1AF" w14:textId="404ACA18" w:rsidR="00AC53B5" w:rsidRDefault="00AC53B5" w:rsidP="00EF6B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A8CF63" w14:textId="77777777" w:rsidR="00AC53B5" w:rsidRDefault="00AC5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A1CB" w14:textId="77777777" w:rsidR="00C618D5" w:rsidRDefault="00C618D5" w:rsidP="00AC53B5">
      <w:r>
        <w:separator/>
      </w:r>
    </w:p>
  </w:footnote>
  <w:footnote w:type="continuationSeparator" w:id="0">
    <w:p w14:paraId="1AB7D9E1" w14:textId="77777777" w:rsidR="00C618D5" w:rsidRDefault="00C618D5" w:rsidP="00AC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E3505"/>
    <w:multiLevelType w:val="hybridMultilevel"/>
    <w:tmpl w:val="8D7AFC7E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A"/>
    <w:rsid w:val="000011C6"/>
    <w:rsid w:val="00020C61"/>
    <w:rsid w:val="000401A0"/>
    <w:rsid w:val="000418F2"/>
    <w:rsid w:val="00050EBE"/>
    <w:rsid w:val="00056E2D"/>
    <w:rsid w:val="00081076"/>
    <w:rsid w:val="000834F8"/>
    <w:rsid w:val="00091B92"/>
    <w:rsid w:val="000C79F6"/>
    <w:rsid w:val="000E0696"/>
    <w:rsid w:val="000E2D93"/>
    <w:rsid w:val="00101247"/>
    <w:rsid w:val="0010798A"/>
    <w:rsid w:val="00107E97"/>
    <w:rsid w:val="00120565"/>
    <w:rsid w:val="001702AD"/>
    <w:rsid w:val="001922CC"/>
    <w:rsid w:val="00195685"/>
    <w:rsid w:val="001969D1"/>
    <w:rsid w:val="001B4A4B"/>
    <w:rsid w:val="001C3267"/>
    <w:rsid w:val="001E0D81"/>
    <w:rsid w:val="00200398"/>
    <w:rsid w:val="00205124"/>
    <w:rsid w:val="0020761A"/>
    <w:rsid w:val="00246B12"/>
    <w:rsid w:val="0025135E"/>
    <w:rsid w:val="00271CE5"/>
    <w:rsid w:val="002B1504"/>
    <w:rsid w:val="002B7603"/>
    <w:rsid w:val="002D2017"/>
    <w:rsid w:val="002D5445"/>
    <w:rsid w:val="002E5343"/>
    <w:rsid w:val="002E6A06"/>
    <w:rsid w:val="002F3D81"/>
    <w:rsid w:val="00331835"/>
    <w:rsid w:val="00345BF8"/>
    <w:rsid w:val="003572E1"/>
    <w:rsid w:val="003870A7"/>
    <w:rsid w:val="00395C7E"/>
    <w:rsid w:val="003A03D4"/>
    <w:rsid w:val="003A3C95"/>
    <w:rsid w:val="003B2A48"/>
    <w:rsid w:val="003F46F2"/>
    <w:rsid w:val="003F5927"/>
    <w:rsid w:val="00413C7E"/>
    <w:rsid w:val="0042097E"/>
    <w:rsid w:val="00423792"/>
    <w:rsid w:val="0044067F"/>
    <w:rsid w:val="00451F72"/>
    <w:rsid w:val="00476A72"/>
    <w:rsid w:val="00481AB8"/>
    <w:rsid w:val="00485966"/>
    <w:rsid w:val="004917E0"/>
    <w:rsid w:val="004A3C95"/>
    <w:rsid w:val="004C3192"/>
    <w:rsid w:val="004D3F20"/>
    <w:rsid w:val="004E6174"/>
    <w:rsid w:val="0050444F"/>
    <w:rsid w:val="0054266C"/>
    <w:rsid w:val="0055004A"/>
    <w:rsid w:val="00565CC1"/>
    <w:rsid w:val="0059449E"/>
    <w:rsid w:val="005F48C0"/>
    <w:rsid w:val="00623608"/>
    <w:rsid w:val="00627D72"/>
    <w:rsid w:val="006410DE"/>
    <w:rsid w:val="006637DE"/>
    <w:rsid w:val="00692346"/>
    <w:rsid w:val="006A271B"/>
    <w:rsid w:val="006A5B28"/>
    <w:rsid w:val="006B6AA6"/>
    <w:rsid w:val="006D1EFC"/>
    <w:rsid w:val="006D2E74"/>
    <w:rsid w:val="006F56E1"/>
    <w:rsid w:val="006F7DDC"/>
    <w:rsid w:val="007132D6"/>
    <w:rsid w:val="00733A04"/>
    <w:rsid w:val="007412BE"/>
    <w:rsid w:val="00781E77"/>
    <w:rsid w:val="00792430"/>
    <w:rsid w:val="007B596E"/>
    <w:rsid w:val="007C0448"/>
    <w:rsid w:val="007C121C"/>
    <w:rsid w:val="007C3EE9"/>
    <w:rsid w:val="007D095A"/>
    <w:rsid w:val="007E3F33"/>
    <w:rsid w:val="007F57E6"/>
    <w:rsid w:val="00806796"/>
    <w:rsid w:val="008245B7"/>
    <w:rsid w:val="00830A62"/>
    <w:rsid w:val="00836DE8"/>
    <w:rsid w:val="00853420"/>
    <w:rsid w:val="00862E5A"/>
    <w:rsid w:val="0089480C"/>
    <w:rsid w:val="0089636F"/>
    <w:rsid w:val="00896AE1"/>
    <w:rsid w:val="008A3F90"/>
    <w:rsid w:val="008D2022"/>
    <w:rsid w:val="008E4BA5"/>
    <w:rsid w:val="009015DA"/>
    <w:rsid w:val="009241EA"/>
    <w:rsid w:val="009264BD"/>
    <w:rsid w:val="0093033A"/>
    <w:rsid w:val="00966AC9"/>
    <w:rsid w:val="009A33AF"/>
    <w:rsid w:val="009A6709"/>
    <w:rsid w:val="009D08A8"/>
    <w:rsid w:val="009F0051"/>
    <w:rsid w:val="009F388A"/>
    <w:rsid w:val="009F4AEC"/>
    <w:rsid w:val="009F4B1D"/>
    <w:rsid w:val="00A1168B"/>
    <w:rsid w:val="00A550A8"/>
    <w:rsid w:val="00AC333D"/>
    <w:rsid w:val="00AC35D4"/>
    <w:rsid w:val="00AC53B5"/>
    <w:rsid w:val="00B06602"/>
    <w:rsid w:val="00B4011F"/>
    <w:rsid w:val="00B60A69"/>
    <w:rsid w:val="00B95AAA"/>
    <w:rsid w:val="00BA0208"/>
    <w:rsid w:val="00BA5CE7"/>
    <w:rsid w:val="00BA64BC"/>
    <w:rsid w:val="00BC0B86"/>
    <w:rsid w:val="00C009E2"/>
    <w:rsid w:val="00C0616E"/>
    <w:rsid w:val="00C14079"/>
    <w:rsid w:val="00C15CA5"/>
    <w:rsid w:val="00C205CF"/>
    <w:rsid w:val="00C35B1B"/>
    <w:rsid w:val="00C3676E"/>
    <w:rsid w:val="00C618D5"/>
    <w:rsid w:val="00C6299D"/>
    <w:rsid w:val="00C726BC"/>
    <w:rsid w:val="00CA16B3"/>
    <w:rsid w:val="00CC183B"/>
    <w:rsid w:val="00CE2882"/>
    <w:rsid w:val="00CF4D7E"/>
    <w:rsid w:val="00D014C4"/>
    <w:rsid w:val="00D0485B"/>
    <w:rsid w:val="00D10F67"/>
    <w:rsid w:val="00D26D99"/>
    <w:rsid w:val="00D345AE"/>
    <w:rsid w:val="00D40BE8"/>
    <w:rsid w:val="00D43321"/>
    <w:rsid w:val="00D60834"/>
    <w:rsid w:val="00D7791E"/>
    <w:rsid w:val="00D80F21"/>
    <w:rsid w:val="00D81551"/>
    <w:rsid w:val="00D867D3"/>
    <w:rsid w:val="00D91265"/>
    <w:rsid w:val="00D963E9"/>
    <w:rsid w:val="00D9671E"/>
    <w:rsid w:val="00DB490F"/>
    <w:rsid w:val="00DB4F44"/>
    <w:rsid w:val="00DD1822"/>
    <w:rsid w:val="00DE6217"/>
    <w:rsid w:val="00DF4B2D"/>
    <w:rsid w:val="00DF6270"/>
    <w:rsid w:val="00E01D38"/>
    <w:rsid w:val="00E15699"/>
    <w:rsid w:val="00E409A0"/>
    <w:rsid w:val="00E40AC0"/>
    <w:rsid w:val="00E51A30"/>
    <w:rsid w:val="00E71365"/>
    <w:rsid w:val="00E72A28"/>
    <w:rsid w:val="00EA58B0"/>
    <w:rsid w:val="00ED4D1C"/>
    <w:rsid w:val="00F0287F"/>
    <w:rsid w:val="00F02EF8"/>
    <w:rsid w:val="00F171C3"/>
    <w:rsid w:val="00F50B13"/>
    <w:rsid w:val="00F711F7"/>
    <w:rsid w:val="00F77483"/>
    <w:rsid w:val="00F77C49"/>
    <w:rsid w:val="00F904D6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927CA"/>
  <w14:defaultImageDpi w14:val="32767"/>
  <w15:docId w15:val="{C2165CF3-1419-B64B-8F5D-27061908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3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8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0A6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41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0D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0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DE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D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D7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C5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B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53B5"/>
  </w:style>
  <w:style w:type="paragraph" w:styleId="Header">
    <w:name w:val="header"/>
    <w:basedOn w:val="Normal"/>
    <w:link w:val="HeaderChar"/>
    <w:uiPriority w:val="99"/>
    <w:unhideWhenUsed/>
    <w:rsid w:val="00AC5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B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5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E5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7521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Bottary</dc:creator>
  <cp:keywords/>
  <dc:description/>
  <cp:lastModifiedBy>Ryan Bottary</cp:lastModifiedBy>
  <cp:revision>3</cp:revision>
  <dcterms:created xsi:type="dcterms:W3CDTF">2020-05-16T13:10:00Z</dcterms:created>
  <dcterms:modified xsi:type="dcterms:W3CDTF">2020-05-16T13:10:00Z</dcterms:modified>
</cp:coreProperties>
</file>