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36" w:rsidRPr="00C61826" w:rsidRDefault="00FE0C36" w:rsidP="00FE0C36">
      <w:pPr>
        <w:spacing w:after="0"/>
        <w:jc w:val="center"/>
        <w:rPr>
          <w:b/>
          <w:sz w:val="28"/>
        </w:rPr>
      </w:pPr>
      <w:r w:rsidRPr="00C61826">
        <w:rPr>
          <w:b/>
          <w:sz w:val="28"/>
        </w:rPr>
        <w:t>Do nudges increase consumer search and switching?</w:t>
      </w:r>
    </w:p>
    <w:p w:rsidR="00FE0C36" w:rsidRDefault="00FE0C36" w:rsidP="00FE0C36">
      <w:pPr>
        <w:spacing w:after="360"/>
        <w:jc w:val="center"/>
        <w:rPr>
          <w:b/>
          <w:sz w:val="28"/>
        </w:rPr>
      </w:pPr>
      <w:r w:rsidRPr="00C61826">
        <w:rPr>
          <w:b/>
          <w:sz w:val="28"/>
        </w:rPr>
        <w:t>Evidence from financial markets</w:t>
      </w:r>
    </w:p>
    <w:p w:rsidR="00FE0C36" w:rsidRPr="00C61826" w:rsidRDefault="00FE0C36" w:rsidP="00FE0C36">
      <w:pPr>
        <w:spacing w:after="720"/>
        <w:jc w:val="center"/>
        <w:rPr>
          <w:b/>
          <w:sz w:val="28"/>
        </w:rPr>
      </w:pPr>
      <w:r>
        <w:rPr>
          <w:b/>
          <w:sz w:val="28"/>
        </w:rPr>
        <w:t>Appendices</w:t>
      </w:r>
    </w:p>
    <w:p w:rsidR="001B2103" w:rsidRPr="00FE0C36" w:rsidRDefault="001B2103" w:rsidP="001B2103">
      <w:pPr>
        <w:rPr>
          <w:b/>
          <w:sz w:val="20"/>
          <w:szCs w:val="20"/>
        </w:rPr>
      </w:pPr>
      <w:r w:rsidRPr="00FE0C36">
        <w:rPr>
          <w:b/>
          <w:sz w:val="20"/>
          <w:szCs w:val="20"/>
        </w:rPr>
        <w:t>Appendix A – Details of the literature search</w:t>
      </w:r>
    </w:p>
    <w:p w:rsidR="001B2103" w:rsidRPr="00762F21" w:rsidRDefault="001B2103" w:rsidP="001B2103">
      <w:pPr>
        <w:rPr>
          <w:sz w:val="20"/>
          <w:szCs w:val="20"/>
        </w:rPr>
      </w:pPr>
      <w:r w:rsidRPr="00762F21">
        <w:rPr>
          <w:sz w:val="20"/>
          <w:szCs w:val="20"/>
        </w:rPr>
        <w:t>The literature search covered the websites of the following institutions.</w:t>
      </w:r>
    </w:p>
    <w:p w:rsidR="001B2103" w:rsidRPr="00762F21" w:rsidRDefault="001B2103" w:rsidP="001B2103">
      <w:pPr>
        <w:rPr>
          <w:sz w:val="20"/>
          <w:szCs w:val="20"/>
        </w:rPr>
      </w:pPr>
      <w:r w:rsidRPr="00762F21">
        <w:rPr>
          <w:sz w:val="20"/>
          <w:szCs w:val="20"/>
        </w:rPr>
        <w:t>Financial regulators:</w:t>
      </w:r>
    </w:p>
    <w:p w:rsidR="001B2103" w:rsidRPr="00762F21" w:rsidRDefault="001B2103" w:rsidP="001B2103">
      <w:pPr>
        <w:pStyle w:val="Listaszerbekezds"/>
        <w:numPr>
          <w:ilvl w:val="0"/>
          <w:numId w:val="2"/>
        </w:numPr>
        <w:rPr>
          <w:sz w:val="20"/>
          <w:szCs w:val="20"/>
        </w:rPr>
      </w:pPr>
      <w:r w:rsidRPr="00762F21">
        <w:rPr>
          <w:sz w:val="20"/>
          <w:szCs w:val="20"/>
        </w:rPr>
        <w:t>Australian Securities &amp; Investments Commission</w:t>
      </w:r>
    </w:p>
    <w:p w:rsidR="001B2103" w:rsidRPr="00762F21" w:rsidRDefault="001B2103" w:rsidP="001B2103">
      <w:pPr>
        <w:pStyle w:val="Listaszerbekezds"/>
        <w:numPr>
          <w:ilvl w:val="0"/>
          <w:numId w:val="2"/>
        </w:numPr>
        <w:rPr>
          <w:sz w:val="20"/>
          <w:szCs w:val="20"/>
        </w:rPr>
      </w:pPr>
      <w:r w:rsidRPr="00762F21">
        <w:rPr>
          <w:sz w:val="20"/>
          <w:szCs w:val="20"/>
        </w:rPr>
        <w:t>Financial Consumer Agency of Canada</w:t>
      </w:r>
    </w:p>
    <w:p w:rsidR="001B2103" w:rsidRPr="00762F21" w:rsidRDefault="001B2103" w:rsidP="001B2103">
      <w:pPr>
        <w:pStyle w:val="Listaszerbekezds"/>
        <w:numPr>
          <w:ilvl w:val="0"/>
          <w:numId w:val="2"/>
        </w:numPr>
        <w:rPr>
          <w:sz w:val="20"/>
          <w:szCs w:val="20"/>
        </w:rPr>
      </w:pPr>
      <w:r w:rsidRPr="00762F21">
        <w:rPr>
          <w:sz w:val="20"/>
          <w:szCs w:val="20"/>
        </w:rPr>
        <w:t>Central Bank of Ireland</w:t>
      </w:r>
    </w:p>
    <w:p w:rsidR="001B2103" w:rsidRPr="00762F21" w:rsidRDefault="001B2103" w:rsidP="001B2103">
      <w:pPr>
        <w:pStyle w:val="Listaszerbekezds"/>
        <w:numPr>
          <w:ilvl w:val="0"/>
          <w:numId w:val="2"/>
        </w:numPr>
        <w:rPr>
          <w:sz w:val="20"/>
          <w:szCs w:val="20"/>
        </w:rPr>
      </w:pPr>
      <w:r w:rsidRPr="00762F21">
        <w:rPr>
          <w:sz w:val="20"/>
          <w:szCs w:val="20"/>
        </w:rPr>
        <w:t>Financial Conduct Authority (UK)</w:t>
      </w:r>
    </w:p>
    <w:p w:rsidR="001B2103" w:rsidRPr="00762F21" w:rsidRDefault="001B2103" w:rsidP="001B2103">
      <w:pPr>
        <w:pStyle w:val="Listaszerbekezds"/>
        <w:numPr>
          <w:ilvl w:val="0"/>
          <w:numId w:val="2"/>
        </w:numPr>
        <w:rPr>
          <w:sz w:val="20"/>
          <w:szCs w:val="20"/>
        </w:rPr>
      </w:pPr>
      <w:r w:rsidRPr="00762F21">
        <w:rPr>
          <w:sz w:val="20"/>
          <w:szCs w:val="20"/>
        </w:rPr>
        <w:t>Consumer Financial Protection Bureau (US)</w:t>
      </w:r>
    </w:p>
    <w:p w:rsidR="001B2103" w:rsidRPr="00762F21" w:rsidRDefault="001B2103" w:rsidP="001B2103">
      <w:pPr>
        <w:rPr>
          <w:sz w:val="20"/>
          <w:szCs w:val="20"/>
        </w:rPr>
      </w:pPr>
      <w:r w:rsidRPr="00762F21">
        <w:rPr>
          <w:sz w:val="20"/>
          <w:szCs w:val="20"/>
        </w:rPr>
        <w:t>Competition authorities:</w:t>
      </w:r>
    </w:p>
    <w:p w:rsidR="001B2103" w:rsidRPr="00762F21" w:rsidRDefault="001B2103" w:rsidP="001B2103">
      <w:pPr>
        <w:pStyle w:val="Listaszerbekezds"/>
        <w:numPr>
          <w:ilvl w:val="0"/>
          <w:numId w:val="2"/>
        </w:numPr>
        <w:rPr>
          <w:sz w:val="20"/>
          <w:szCs w:val="20"/>
        </w:rPr>
      </w:pPr>
      <w:r w:rsidRPr="00762F21">
        <w:rPr>
          <w:sz w:val="20"/>
          <w:szCs w:val="20"/>
        </w:rPr>
        <w:t>Australian Competition &amp; Consumer Commission</w:t>
      </w:r>
    </w:p>
    <w:p w:rsidR="001B2103" w:rsidRPr="00762F21" w:rsidRDefault="001B2103" w:rsidP="001B2103">
      <w:pPr>
        <w:pStyle w:val="Listaszerbekezds"/>
        <w:numPr>
          <w:ilvl w:val="0"/>
          <w:numId w:val="2"/>
        </w:numPr>
        <w:rPr>
          <w:sz w:val="20"/>
          <w:szCs w:val="20"/>
        </w:rPr>
      </w:pPr>
      <w:r w:rsidRPr="00762F21">
        <w:rPr>
          <w:sz w:val="20"/>
          <w:szCs w:val="20"/>
        </w:rPr>
        <w:t>Competition Bureau Canada</w:t>
      </w:r>
    </w:p>
    <w:p w:rsidR="001B2103" w:rsidRPr="00762F21" w:rsidRDefault="001B2103" w:rsidP="001B2103">
      <w:pPr>
        <w:pStyle w:val="Listaszerbekezds"/>
        <w:numPr>
          <w:ilvl w:val="0"/>
          <w:numId w:val="2"/>
        </w:numPr>
        <w:rPr>
          <w:sz w:val="20"/>
          <w:szCs w:val="20"/>
        </w:rPr>
      </w:pPr>
      <w:r w:rsidRPr="00762F21">
        <w:rPr>
          <w:sz w:val="20"/>
          <w:szCs w:val="20"/>
        </w:rPr>
        <w:t>European Commission</w:t>
      </w:r>
    </w:p>
    <w:p w:rsidR="001B2103" w:rsidRPr="00762F21" w:rsidRDefault="001B2103" w:rsidP="001B2103">
      <w:pPr>
        <w:pStyle w:val="Listaszerbekezds"/>
        <w:numPr>
          <w:ilvl w:val="0"/>
          <w:numId w:val="2"/>
        </w:numPr>
        <w:rPr>
          <w:sz w:val="20"/>
          <w:szCs w:val="20"/>
        </w:rPr>
      </w:pPr>
      <w:r w:rsidRPr="00762F21">
        <w:rPr>
          <w:sz w:val="20"/>
          <w:szCs w:val="20"/>
        </w:rPr>
        <w:t>Competition and Consumer Protection Commission (Ireland)</w:t>
      </w:r>
    </w:p>
    <w:p w:rsidR="001B2103" w:rsidRPr="00762F21" w:rsidRDefault="001B2103" w:rsidP="001B2103">
      <w:pPr>
        <w:pStyle w:val="Listaszerbekezds"/>
        <w:numPr>
          <w:ilvl w:val="0"/>
          <w:numId w:val="2"/>
        </w:numPr>
        <w:rPr>
          <w:sz w:val="20"/>
          <w:szCs w:val="20"/>
        </w:rPr>
      </w:pPr>
      <w:r w:rsidRPr="00762F21">
        <w:rPr>
          <w:sz w:val="20"/>
          <w:szCs w:val="20"/>
        </w:rPr>
        <w:t>Competition and Markets Authority (UK)</w:t>
      </w:r>
    </w:p>
    <w:p w:rsidR="001B2103" w:rsidRPr="00762F21" w:rsidRDefault="001B2103" w:rsidP="001B2103">
      <w:pPr>
        <w:pStyle w:val="Listaszerbekezds"/>
        <w:numPr>
          <w:ilvl w:val="0"/>
          <w:numId w:val="2"/>
        </w:numPr>
        <w:rPr>
          <w:sz w:val="20"/>
          <w:szCs w:val="20"/>
        </w:rPr>
      </w:pPr>
      <w:r w:rsidRPr="00762F21">
        <w:rPr>
          <w:sz w:val="20"/>
          <w:szCs w:val="20"/>
        </w:rPr>
        <w:t>Federal Trade Commission (US)</w:t>
      </w:r>
    </w:p>
    <w:p w:rsidR="001B2103" w:rsidRPr="00762F21" w:rsidRDefault="001B2103" w:rsidP="001B2103">
      <w:pPr>
        <w:pStyle w:val="Listaszerbekezds"/>
        <w:numPr>
          <w:ilvl w:val="0"/>
          <w:numId w:val="2"/>
        </w:numPr>
        <w:rPr>
          <w:sz w:val="20"/>
          <w:szCs w:val="20"/>
        </w:rPr>
      </w:pPr>
      <w:r w:rsidRPr="00762F21">
        <w:rPr>
          <w:sz w:val="20"/>
          <w:szCs w:val="20"/>
        </w:rPr>
        <w:t>Department of Justice (US)</w:t>
      </w:r>
    </w:p>
    <w:p w:rsidR="001B2103" w:rsidRPr="00762F21" w:rsidRDefault="001B2103" w:rsidP="001B2103">
      <w:pPr>
        <w:rPr>
          <w:sz w:val="20"/>
          <w:szCs w:val="20"/>
        </w:rPr>
      </w:pPr>
      <w:r w:rsidRPr="00762F21">
        <w:rPr>
          <w:sz w:val="20"/>
          <w:szCs w:val="20"/>
        </w:rPr>
        <w:t>Nudge units:</w:t>
      </w:r>
    </w:p>
    <w:p w:rsidR="001B2103" w:rsidRPr="00762F21" w:rsidRDefault="001B2103" w:rsidP="001B2103">
      <w:pPr>
        <w:pStyle w:val="Listaszerbekezds"/>
        <w:numPr>
          <w:ilvl w:val="0"/>
          <w:numId w:val="2"/>
        </w:numPr>
        <w:rPr>
          <w:sz w:val="20"/>
          <w:szCs w:val="20"/>
        </w:rPr>
      </w:pPr>
      <w:r w:rsidRPr="00762F21">
        <w:rPr>
          <w:sz w:val="20"/>
          <w:szCs w:val="20"/>
        </w:rPr>
        <w:t>The Behavioural Economics Team of the Australian Government</w:t>
      </w:r>
    </w:p>
    <w:p w:rsidR="001B2103" w:rsidRPr="00762F21" w:rsidRDefault="001B2103" w:rsidP="001B2103">
      <w:pPr>
        <w:pStyle w:val="Listaszerbekezds"/>
        <w:numPr>
          <w:ilvl w:val="0"/>
          <w:numId w:val="2"/>
        </w:numPr>
        <w:rPr>
          <w:sz w:val="20"/>
          <w:szCs w:val="20"/>
        </w:rPr>
      </w:pPr>
      <w:r w:rsidRPr="00762F21">
        <w:rPr>
          <w:sz w:val="20"/>
          <w:szCs w:val="20"/>
        </w:rPr>
        <w:t>Behavioural Economics in Action at Rotman (Canada)</w:t>
      </w:r>
    </w:p>
    <w:p w:rsidR="001B2103" w:rsidRPr="00762F21" w:rsidRDefault="001B2103" w:rsidP="001B2103">
      <w:pPr>
        <w:pStyle w:val="Listaszerbekezds"/>
        <w:numPr>
          <w:ilvl w:val="0"/>
          <w:numId w:val="2"/>
        </w:numPr>
        <w:rPr>
          <w:sz w:val="20"/>
          <w:szCs w:val="20"/>
        </w:rPr>
      </w:pPr>
      <w:r w:rsidRPr="00762F21">
        <w:rPr>
          <w:sz w:val="20"/>
          <w:szCs w:val="20"/>
        </w:rPr>
        <w:t>Competence Centre on Behavioural Insights (EU)</w:t>
      </w:r>
    </w:p>
    <w:p w:rsidR="001B2103" w:rsidRPr="00762F21" w:rsidRDefault="001B2103" w:rsidP="001B2103">
      <w:pPr>
        <w:pStyle w:val="Listaszerbekezds"/>
        <w:numPr>
          <w:ilvl w:val="0"/>
          <w:numId w:val="2"/>
        </w:numPr>
        <w:rPr>
          <w:sz w:val="20"/>
          <w:szCs w:val="20"/>
        </w:rPr>
      </w:pPr>
      <w:r w:rsidRPr="00762F21">
        <w:rPr>
          <w:sz w:val="20"/>
          <w:szCs w:val="20"/>
        </w:rPr>
        <w:t>Irish Government Economic and Evaluation Service</w:t>
      </w:r>
    </w:p>
    <w:p w:rsidR="001B2103" w:rsidRPr="00762F21" w:rsidRDefault="001B2103" w:rsidP="001B2103">
      <w:pPr>
        <w:pStyle w:val="Listaszerbekezds"/>
        <w:numPr>
          <w:ilvl w:val="0"/>
          <w:numId w:val="2"/>
        </w:numPr>
        <w:rPr>
          <w:sz w:val="20"/>
          <w:szCs w:val="20"/>
        </w:rPr>
      </w:pPr>
      <w:r w:rsidRPr="00762F21">
        <w:rPr>
          <w:sz w:val="20"/>
          <w:szCs w:val="20"/>
        </w:rPr>
        <w:t>Economic &amp; Social Research Institute, Behavioural Research Unit (Ireland)</w:t>
      </w:r>
    </w:p>
    <w:p w:rsidR="001B2103" w:rsidRPr="00762F21" w:rsidRDefault="001B2103" w:rsidP="001B2103">
      <w:pPr>
        <w:pStyle w:val="Listaszerbekezds"/>
        <w:numPr>
          <w:ilvl w:val="0"/>
          <w:numId w:val="2"/>
        </w:numPr>
        <w:rPr>
          <w:sz w:val="20"/>
          <w:szCs w:val="20"/>
        </w:rPr>
      </w:pPr>
      <w:r w:rsidRPr="00762F21">
        <w:rPr>
          <w:sz w:val="20"/>
          <w:szCs w:val="20"/>
        </w:rPr>
        <w:t>Behavioural Insights Team (UK)</w:t>
      </w:r>
    </w:p>
    <w:p w:rsidR="001B2103" w:rsidRPr="00762F21" w:rsidRDefault="001B2103" w:rsidP="001B2103">
      <w:pPr>
        <w:pStyle w:val="Listaszerbekezds"/>
        <w:numPr>
          <w:ilvl w:val="0"/>
          <w:numId w:val="2"/>
        </w:numPr>
        <w:rPr>
          <w:sz w:val="20"/>
          <w:szCs w:val="20"/>
        </w:rPr>
      </w:pPr>
      <w:r w:rsidRPr="00762F21">
        <w:rPr>
          <w:sz w:val="20"/>
          <w:szCs w:val="20"/>
        </w:rPr>
        <w:t>Social and Behavioral Sciences Team (US)</w:t>
      </w:r>
    </w:p>
    <w:p w:rsidR="001B2103" w:rsidRPr="00762F21" w:rsidRDefault="001B2103" w:rsidP="001B2103">
      <w:pPr>
        <w:pStyle w:val="Listaszerbekezds"/>
        <w:numPr>
          <w:ilvl w:val="0"/>
          <w:numId w:val="2"/>
        </w:numPr>
        <w:rPr>
          <w:sz w:val="20"/>
          <w:szCs w:val="20"/>
        </w:rPr>
      </w:pPr>
      <w:r w:rsidRPr="00762F21">
        <w:rPr>
          <w:sz w:val="20"/>
          <w:szCs w:val="20"/>
        </w:rPr>
        <w:t>Ideas42 (US)</w:t>
      </w:r>
    </w:p>
    <w:p w:rsidR="001B2103" w:rsidRPr="00762F21" w:rsidRDefault="001B2103" w:rsidP="001B2103">
      <w:pPr>
        <w:rPr>
          <w:sz w:val="20"/>
          <w:szCs w:val="20"/>
        </w:rPr>
      </w:pPr>
      <w:r w:rsidRPr="00762F21">
        <w:rPr>
          <w:sz w:val="20"/>
          <w:szCs w:val="20"/>
        </w:rPr>
        <w:t>International organisations:</w:t>
      </w:r>
    </w:p>
    <w:p w:rsidR="001B2103" w:rsidRPr="00762F21" w:rsidRDefault="001B2103" w:rsidP="001B2103">
      <w:pPr>
        <w:pStyle w:val="Listaszerbekezds"/>
        <w:numPr>
          <w:ilvl w:val="0"/>
          <w:numId w:val="2"/>
        </w:numPr>
        <w:rPr>
          <w:sz w:val="20"/>
          <w:szCs w:val="20"/>
        </w:rPr>
      </w:pPr>
      <w:r w:rsidRPr="00762F21">
        <w:rPr>
          <w:sz w:val="20"/>
          <w:szCs w:val="20"/>
        </w:rPr>
        <w:t>OECD</w:t>
      </w:r>
    </w:p>
    <w:p w:rsidR="001B2103" w:rsidRPr="00762F21" w:rsidRDefault="001B2103" w:rsidP="001B2103">
      <w:pPr>
        <w:pStyle w:val="Listaszerbekezds"/>
        <w:numPr>
          <w:ilvl w:val="0"/>
          <w:numId w:val="2"/>
        </w:numPr>
        <w:rPr>
          <w:sz w:val="20"/>
          <w:szCs w:val="20"/>
        </w:rPr>
      </w:pPr>
      <w:r w:rsidRPr="00762F21">
        <w:rPr>
          <w:sz w:val="20"/>
          <w:szCs w:val="20"/>
        </w:rPr>
        <w:lastRenderedPageBreak/>
        <w:t>World Bank</w:t>
      </w:r>
    </w:p>
    <w:p w:rsidR="001B2103" w:rsidRPr="00762F21" w:rsidRDefault="001B2103" w:rsidP="001B2103">
      <w:pPr>
        <w:keepNext/>
        <w:rPr>
          <w:sz w:val="20"/>
          <w:szCs w:val="20"/>
        </w:rPr>
      </w:pPr>
      <w:r w:rsidRPr="00762F21">
        <w:rPr>
          <w:sz w:val="20"/>
          <w:szCs w:val="20"/>
        </w:rPr>
        <w:t>Databases:</w:t>
      </w:r>
    </w:p>
    <w:p w:rsidR="001B2103" w:rsidRPr="00762F21" w:rsidRDefault="001B2103" w:rsidP="001B2103">
      <w:pPr>
        <w:pStyle w:val="Listaszerbekezds"/>
        <w:numPr>
          <w:ilvl w:val="0"/>
          <w:numId w:val="2"/>
        </w:numPr>
        <w:rPr>
          <w:sz w:val="20"/>
          <w:szCs w:val="20"/>
        </w:rPr>
      </w:pPr>
      <w:r w:rsidRPr="00762F21">
        <w:rPr>
          <w:sz w:val="20"/>
          <w:szCs w:val="20"/>
        </w:rPr>
        <w:t>TEN</w:t>
      </w:r>
    </w:p>
    <w:p w:rsidR="001B2103" w:rsidRPr="00762F21" w:rsidRDefault="001B2103" w:rsidP="001B2103">
      <w:pPr>
        <w:pStyle w:val="Listaszerbekezds"/>
        <w:numPr>
          <w:ilvl w:val="0"/>
          <w:numId w:val="2"/>
        </w:numPr>
        <w:rPr>
          <w:sz w:val="20"/>
          <w:szCs w:val="20"/>
        </w:rPr>
      </w:pPr>
      <w:r w:rsidRPr="00762F21">
        <w:rPr>
          <w:sz w:val="20"/>
          <w:szCs w:val="20"/>
        </w:rPr>
        <w:t>RePEc</w:t>
      </w:r>
    </w:p>
    <w:p w:rsidR="001B2103" w:rsidRPr="00762F21" w:rsidRDefault="001B2103" w:rsidP="001B2103">
      <w:pPr>
        <w:pStyle w:val="Listaszerbekezds"/>
        <w:numPr>
          <w:ilvl w:val="0"/>
          <w:numId w:val="2"/>
        </w:numPr>
        <w:rPr>
          <w:sz w:val="20"/>
          <w:szCs w:val="20"/>
        </w:rPr>
      </w:pPr>
      <w:r w:rsidRPr="00762F21">
        <w:rPr>
          <w:sz w:val="20"/>
          <w:szCs w:val="20"/>
        </w:rPr>
        <w:t>NBER</w:t>
      </w:r>
    </w:p>
    <w:p w:rsidR="001B2103" w:rsidRPr="00762F21" w:rsidRDefault="001B2103" w:rsidP="001B2103">
      <w:pPr>
        <w:pStyle w:val="Listaszerbekezds"/>
        <w:numPr>
          <w:ilvl w:val="0"/>
          <w:numId w:val="2"/>
        </w:numPr>
        <w:rPr>
          <w:sz w:val="20"/>
          <w:szCs w:val="20"/>
        </w:rPr>
      </w:pPr>
      <w:r w:rsidRPr="00762F21">
        <w:rPr>
          <w:sz w:val="20"/>
          <w:szCs w:val="20"/>
        </w:rPr>
        <w:t>Open Grey</w:t>
      </w:r>
    </w:p>
    <w:p w:rsidR="001B2103" w:rsidRPr="00762F21" w:rsidRDefault="001B2103" w:rsidP="001B2103">
      <w:pPr>
        <w:pStyle w:val="Listaszerbekezds"/>
        <w:numPr>
          <w:ilvl w:val="0"/>
          <w:numId w:val="2"/>
        </w:numPr>
        <w:rPr>
          <w:sz w:val="20"/>
          <w:szCs w:val="20"/>
        </w:rPr>
      </w:pPr>
      <w:r w:rsidRPr="00762F21">
        <w:rPr>
          <w:sz w:val="20"/>
          <w:szCs w:val="20"/>
        </w:rPr>
        <w:t>Proquest</w:t>
      </w:r>
    </w:p>
    <w:p w:rsidR="001B2103" w:rsidRPr="00762F21" w:rsidRDefault="001B2103" w:rsidP="001B2103">
      <w:pPr>
        <w:pStyle w:val="Listaszerbekezds"/>
        <w:numPr>
          <w:ilvl w:val="0"/>
          <w:numId w:val="2"/>
        </w:numPr>
        <w:rPr>
          <w:sz w:val="20"/>
          <w:szCs w:val="20"/>
        </w:rPr>
      </w:pPr>
      <w:r w:rsidRPr="00762F21">
        <w:rPr>
          <w:sz w:val="20"/>
          <w:szCs w:val="20"/>
        </w:rPr>
        <w:t>EthOS</w:t>
      </w:r>
    </w:p>
    <w:p w:rsidR="001B2103" w:rsidRPr="00762F21" w:rsidRDefault="001B2103" w:rsidP="001B2103">
      <w:pPr>
        <w:rPr>
          <w:sz w:val="20"/>
          <w:szCs w:val="20"/>
        </w:rPr>
      </w:pPr>
      <w:r w:rsidRPr="00762F21">
        <w:rPr>
          <w:sz w:val="20"/>
          <w:szCs w:val="20"/>
        </w:rPr>
        <w:t>In addition, I searched using the following search engines:</w:t>
      </w:r>
    </w:p>
    <w:p w:rsidR="001B2103" w:rsidRPr="00762F21" w:rsidRDefault="001B2103" w:rsidP="001B2103">
      <w:pPr>
        <w:pStyle w:val="Listaszerbekezds"/>
        <w:numPr>
          <w:ilvl w:val="0"/>
          <w:numId w:val="3"/>
        </w:numPr>
        <w:rPr>
          <w:sz w:val="20"/>
          <w:szCs w:val="20"/>
        </w:rPr>
      </w:pPr>
      <w:r w:rsidRPr="00762F21">
        <w:rPr>
          <w:sz w:val="20"/>
          <w:szCs w:val="20"/>
        </w:rPr>
        <w:t>Google</w:t>
      </w:r>
    </w:p>
    <w:p w:rsidR="001B2103" w:rsidRPr="00762F21" w:rsidRDefault="001B2103" w:rsidP="001B2103">
      <w:pPr>
        <w:pStyle w:val="Listaszerbekezds"/>
        <w:numPr>
          <w:ilvl w:val="0"/>
          <w:numId w:val="3"/>
        </w:numPr>
        <w:rPr>
          <w:sz w:val="20"/>
          <w:szCs w:val="20"/>
        </w:rPr>
      </w:pPr>
      <w:r w:rsidRPr="00762F21">
        <w:rPr>
          <w:sz w:val="20"/>
          <w:szCs w:val="20"/>
        </w:rPr>
        <w:t>Google Scholar</w:t>
      </w:r>
    </w:p>
    <w:p w:rsidR="001B2103" w:rsidRPr="00762F21" w:rsidRDefault="001B2103" w:rsidP="001B2103">
      <w:pPr>
        <w:pStyle w:val="Listaszerbekezds"/>
        <w:numPr>
          <w:ilvl w:val="0"/>
          <w:numId w:val="3"/>
        </w:numPr>
        <w:rPr>
          <w:sz w:val="20"/>
          <w:szCs w:val="20"/>
        </w:rPr>
      </w:pPr>
      <w:r w:rsidRPr="00762F21">
        <w:rPr>
          <w:sz w:val="20"/>
          <w:szCs w:val="20"/>
        </w:rPr>
        <w:t>Microsoft Academic</w:t>
      </w:r>
    </w:p>
    <w:p w:rsidR="001B2103" w:rsidRPr="00762F21" w:rsidRDefault="001B2103" w:rsidP="001B2103">
      <w:pPr>
        <w:rPr>
          <w:sz w:val="20"/>
          <w:szCs w:val="20"/>
        </w:rPr>
      </w:pPr>
      <w:r w:rsidRPr="00762F21">
        <w:rPr>
          <w:sz w:val="20"/>
          <w:szCs w:val="20"/>
        </w:rPr>
        <w:t>The five journals selected for hand-searching (covering editions between 2015 and 2020):</w:t>
      </w:r>
    </w:p>
    <w:p w:rsidR="001B2103" w:rsidRPr="00762F21" w:rsidRDefault="001B2103" w:rsidP="001B2103">
      <w:pPr>
        <w:pStyle w:val="Listaszerbekezds"/>
        <w:numPr>
          <w:ilvl w:val="0"/>
          <w:numId w:val="4"/>
        </w:numPr>
        <w:rPr>
          <w:sz w:val="20"/>
          <w:szCs w:val="20"/>
        </w:rPr>
      </w:pPr>
      <w:r w:rsidRPr="00762F21">
        <w:rPr>
          <w:sz w:val="20"/>
          <w:szCs w:val="20"/>
        </w:rPr>
        <w:t>Journal of Behavioral and Experimental Finance</w:t>
      </w:r>
    </w:p>
    <w:p w:rsidR="001B2103" w:rsidRPr="00762F21" w:rsidRDefault="001B2103" w:rsidP="001B2103">
      <w:pPr>
        <w:pStyle w:val="Listaszerbekezds"/>
        <w:numPr>
          <w:ilvl w:val="0"/>
          <w:numId w:val="4"/>
        </w:numPr>
        <w:rPr>
          <w:sz w:val="20"/>
          <w:szCs w:val="20"/>
        </w:rPr>
      </w:pPr>
      <w:r w:rsidRPr="00762F21">
        <w:rPr>
          <w:sz w:val="20"/>
          <w:szCs w:val="20"/>
        </w:rPr>
        <w:t>Journal of Behavioral Finance</w:t>
      </w:r>
    </w:p>
    <w:p w:rsidR="001B2103" w:rsidRPr="00762F21" w:rsidRDefault="001B2103" w:rsidP="001B2103">
      <w:pPr>
        <w:pStyle w:val="Listaszerbekezds"/>
        <w:numPr>
          <w:ilvl w:val="0"/>
          <w:numId w:val="4"/>
        </w:numPr>
        <w:rPr>
          <w:sz w:val="20"/>
          <w:szCs w:val="20"/>
        </w:rPr>
      </w:pPr>
      <w:r w:rsidRPr="00762F21">
        <w:rPr>
          <w:sz w:val="20"/>
          <w:szCs w:val="20"/>
        </w:rPr>
        <w:t>Journal of Behavioral Economics for Policy</w:t>
      </w:r>
    </w:p>
    <w:p w:rsidR="001B2103" w:rsidRPr="00762F21" w:rsidRDefault="001B2103" w:rsidP="001B2103">
      <w:pPr>
        <w:pStyle w:val="Listaszerbekezds"/>
        <w:numPr>
          <w:ilvl w:val="0"/>
          <w:numId w:val="4"/>
        </w:numPr>
        <w:rPr>
          <w:sz w:val="20"/>
          <w:szCs w:val="20"/>
        </w:rPr>
      </w:pPr>
      <w:r w:rsidRPr="00762F21">
        <w:rPr>
          <w:sz w:val="20"/>
          <w:szCs w:val="20"/>
        </w:rPr>
        <w:t>Behavioural Public Policy</w:t>
      </w:r>
    </w:p>
    <w:p w:rsidR="001B2103" w:rsidRPr="00762F21" w:rsidRDefault="001B2103" w:rsidP="001B2103">
      <w:pPr>
        <w:pStyle w:val="Listaszerbekezds"/>
        <w:numPr>
          <w:ilvl w:val="0"/>
          <w:numId w:val="4"/>
        </w:numPr>
        <w:rPr>
          <w:sz w:val="20"/>
          <w:szCs w:val="20"/>
        </w:rPr>
      </w:pPr>
      <w:r w:rsidRPr="00762F21">
        <w:rPr>
          <w:sz w:val="20"/>
          <w:szCs w:val="20"/>
        </w:rPr>
        <w:t>Behavioral Science &amp; Policy</w:t>
      </w:r>
    </w:p>
    <w:p w:rsidR="001B2103" w:rsidRPr="00762F21" w:rsidRDefault="001B2103" w:rsidP="001B2103">
      <w:pPr>
        <w:rPr>
          <w:sz w:val="20"/>
          <w:szCs w:val="20"/>
        </w:rPr>
      </w:pPr>
      <w:r w:rsidRPr="00762F21">
        <w:rPr>
          <w:sz w:val="20"/>
          <w:szCs w:val="20"/>
        </w:rPr>
        <w:t>List of search terms used:</w:t>
      </w:r>
    </w:p>
    <w:p w:rsidR="001B2103" w:rsidRPr="00762F21" w:rsidRDefault="001B2103" w:rsidP="001B2103">
      <w:pPr>
        <w:pStyle w:val="Listaszerbekezds"/>
        <w:numPr>
          <w:ilvl w:val="0"/>
          <w:numId w:val="5"/>
        </w:numPr>
        <w:rPr>
          <w:sz w:val="20"/>
          <w:szCs w:val="20"/>
        </w:rPr>
      </w:pPr>
      <w:r w:rsidRPr="00762F21">
        <w:rPr>
          <w:sz w:val="20"/>
          <w:szCs w:val="20"/>
        </w:rPr>
        <w:t>nudge</w:t>
      </w:r>
    </w:p>
    <w:p w:rsidR="001B2103" w:rsidRPr="00762F21" w:rsidRDefault="001B2103" w:rsidP="001B2103">
      <w:pPr>
        <w:pStyle w:val="Listaszerbekezds"/>
        <w:numPr>
          <w:ilvl w:val="0"/>
          <w:numId w:val="5"/>
        </w:numPr>
        <w:rPr>
          <w:sz w:val="20"/>
          <w:szCs w:val="20"/>
        </w:rPr>
      </w:pPr>
      <w:r w:rsidRPr="00762F21">
        <w:rPr>
          <w:sz w:val="20"/>
          <w:szCs w:val="20"/>
        </w:rPr>
        <w:t>search / shopping around / switching</w:t>
      </w:r>
    </w:p>
    <w:p w:rsidR="001B2103" w:rsidRPr="00762F21" w:rsidRDefault="001B2103" w:rsidP="001B2103">
      <w:pPr>
        <w:pStyle w:val="Listaszerbekezds"/>
        <w:numPr>
          <w:ilvl w:val="0"/>
          <w:numId w:val="5"/>
        </w:numPr>
        <w:rPr>
          <w:sz w:val="20"/>
          <w:szCs w:val="20"/>
        </w:rPr>
      </w:pPr>
      <w:r w:rsidRPr="00762F21">
        <w:rPr>
          <w:sz w:val="20"/>
          <w:szCs w:val="20"/>
        </w:rPr>
        <w:t>credit cards / bank accounts / savings accounts / current accounts / loans / insurance / mortgages / pensions / investment / financial product</w:t>
      </w:r>
    </w:p>
    <w:p w:rsidR="001B2103" w:rsidRPr="00762F21" w:rsidRDefault="001B2103" w:rsidP="001B2103">
      <w:pPr>
        <w:pStyle w:val="Listaszerbekezds"/>
        <w:numPr>
          <w:ilvl w:val="0"/>
          <w:numId w:val="5"/>
        </w:numPr>
        <w:rPr>
          <w:sz w:val="20"/>
          <w:szCs w:val="20"/>
        </w:rPr>
      </w:pPr>
      <w:r w:rsidRPr="00762F21">
        <w:rPr>
          <w:sz w:val="20"/>
          <w:szCs w:val="20"/>
        </w:rPr>
        <w:t>trial / experiment / evaluation / survey</w:t>
      </w:r>
    </w:p>
    <w:p w:rsidR="001B2103" w:rsidRPr="00762F21" w:rsidRDefault="001B2103" w:rsidP="001B2103">
      <w:pPr>
        <w:pStyle w:val="Listaszerbekezds"/>
        <w:numPr>
          <w:ilvl w:val="0"/>
          <w:numId w:val="5"/>
        </w:numPr>
        <w:rPr>
          <w:sz w:val="20"/>
          <w:szCs w:val="20"/>
        </w:rPr>
      </w:pPr>
      <w:r w:rsidRPr="00762F21">
        <w:rPr>
          <w:sz w:val="20"/>
          <w:szCs w:val="20"/>
        </w:rPr>
        <w:t>disclosure</w:t>
      </w:r>
    </w:p>
    <w:p w:rsidR="001B2103" w:rsidRPr="00762F21" w:rsidRDefault="001B2103" w:rsidP="001B2103">
      <w:pPr>
        <w:pStyle w:val="Listaszerbekezds"/>
        <w:numPr>
          <w:ilvl w:val="0"/>
          <w:numId w:val="5"/>
        </w:numPr>
        <w:rPr>
          <w:sz w:val="20"/>
          <w:szCs w:val="20"/>
        </w:rPr>
      </w:pPr>
      <w:r w:rsidRPr="00762F21">
        <w:rPr>
          <w:sz w:val="20"/>
          <w:szCs w:val="20"/>
        </w:rPr>
        <w:t>choice architecture</w:t>
      </w:r>
    </w:p>
    <w:p w:rsidR="001B2103" w:rsidRPr="00762F21" w:rsidRDefault="001B2103" w:rsidP="001B2103">
      <w:pPr>
        <w:pStyle w:val="Listaszerbekezds"/>
        <w:numPr>
          <w:ilvl w:val="0"/>
          <w:numId w:val="5"/>
        </w:numPr>
        <w:rPr>
          <w:sz w:val="20"/>
          <w:szCs w:val="20"/>
        </w:rPr>
      </w:pPr>
      <w:r w:rsidRPr="00762F21">
        <w:rPr>
          <w:sz w:val="20"/>
          <w:szCs w:val="20"/>
        </w:rPr>
        <w:t>policy</w:t>
      </w:r>
    </w:p>
    <w:p w:rsidR="001B2103" w:rsidRPr="00762F21" w:rsidRDefault="001B2103" w:rsidP="001B2103">
      <w:pPr>
        <w:pStyle w:val="Listaszerbekezds"/>
        <w:numPr>
          <w:ilvl w:val="0"/>
          <w:numId w:val="5"/>
        </w:numPr>
        <w:rPr>
          <w:sz w:val="20"/>
          <w:szCs w:val="20"/>
        </w:rPr>
      </w:pPr>
      <w:r w:rsidRPr="00762F21">
        <w:rPr>
          <w:sz w:val="20"/>
          <w:szCs w:val="20"/>
        </w:rPr>
        <w:t>intervention</w:t>
      </w:r>
    </w:p>
    <w:p w:rsidR="00447B44" w:rsidRPr="00762F21" w:rsidRDefault="001B2103" w:rsidP="001B2103">
      <w:pPr>
        <w:rPr>
          <w:sz w:val="20"/>
          <w:szCs w:val="20"/>
        </w:rPr>
      </w:pPr>
      <w:r w:rsidRPr="00762F21">
        <w:rPr>
          <w:sz w:val="20"/>
          <w:szCs w:val="20"/>
        </w:rPr>
        <w:t>The exact search term used depends on the domain (e.g. I searched for financial products on the website of competition authorities and for search and switching on the websites of financial regulators).</w:t>
      </w:r>
    </w:p>
    <w:p w:rsidR="008969DB" w:rsidRPr="00762F21" w:rsidRDefault="008969DB" w:rsidP="001B2103">
      <w:pPr>
        <w:rPr>
          <w:sz w:val="20"/>
          <w:szCs w:val="20"/>
        </w:rPr>
      </w:pPr>
      <w:r w:rsidRPr="00762F21">
        <w:rPr>
          <w:sz w:val="20"/>
          <w:szCs w:val="20"/>
        </w:rPr>
        <w:t>I did not apply any restriction on the study design. That is, I included any study that met the other inclusion criteria, irrespective of whether it was a qualitative or a quantitative assessment and whether it analysed existing data or generated data specifically for the purposes of the research.</w:t>
      </w:r>
    </w:p>
    <w:p w:rsidR="001B2103" w:rsidRPr="00762F21" w:rsidRDefault="001B2103" w:rsidP="001B2103">
      <w:pPr>
        <w:rPr>
          <w:sz w:val="20"/>
          <w:szCs w:val="20"/>
        </w:rPr>
      </w:pPr>
      <w:r w:rsidRPr="00762F21">
        <w:rPr>
          <w:sz w:val="20"/>
          <w:szCs w:val="20"/>
        </w:rPr>
        <w:lastRenderedPageBreak/>
        <w:t>I included all studies that analyse the impact of an intervention that uses nudges with the aim of increasing consumer search or switching. Here, I relied on the definition of nudge by Thaler and Sunstein (2008): a nudge “is any aspect of the choice architecture that alters people's behavior in a predictable way without forbidding any options or significantly changing their economic incentives. To count as a mere nudge, the intervention must be easy and cheap to avoid.”</w:t>
      </w:r>
      <w:r w:rsidR="007D7526">
        <w:rPr>
          <w:rStyle w:val="Lbjegyzet-hivatkozs"/>
          <w:sz w:val="20"/>
          <w:szCs w:val="20"/>
        </w:rPr>
        <w:footnoteReference w:id="1"/>
      </w:r>
      <w:r w:rsidRPr="00762F21">
        <w:rPr>
          <w:sz w:val="20"/>
          <w:szCs w:val="20"/>
        </w:rPr>
        <w:t xml:space="preserve"> Choice architecture refers to the way choices are presented to consumers and how these different presentations affect consumer decision-making, including the presence of defaults or the number of choices. Studies that refer to nudges but do not meet this definition were excluded and studies that do not use the term “nudge” but in fact apply an intervention that meets this definition are included.</w:t>
      </w:r>
    </w:p>
    <w:p w:rsidR="001B2103" w:rsidRPr="00762F21" w:rsidRDefault="001B2103" w:rsidP="001B2103">
      <w:pPr>
        <w:rPr>
          <w:sz w:val="20"/>
          <w:szCs w:val="20"/>
        </w:rPr>
      </w:pPr>
      <w:r w:rsidRPr="00762F21">
        <w:rPr>
          <w:sz w:val="20"/>
          <w:szCs w:val="20"/>
        </w:rPr>
        <w:t>All the studies included have at least one outcome measure of search or switching. This includes soft measures, such as “intention to switch” but excludes other measures of consumer engagement, like “awareness” or “contact with firm”. Studies that measure search for information on the same product (e.g. reading the terms and conditions) are excluded as these do not constitute shopping around for several products.</w:t>
      </w:r>
      <w:r w:rsidR="008969DB" w:rsidRPr="00762F21">
        <w:rPr>
          <w:sz w:val="20"/>
          <w:szCs w:val="20"/>
        </w:rPr>
        <w:t xml:space="preserve"> Several papers tested other types interventions as well, these are not included in the review.</w:t>
      </w:r>
    </w:p>
    <w:p w:rsidR="008969DB" w:rsidRPr="00762F21" w:rsidRDefault="00762F21" w:rsidP="001B2103">
      <w:pPr>
        <w:rPr>
          <w:sz w:val="20"/>
          <w:szCs w:val="20"/>
        </w:rPr>
      </w:pPr>
      <w:r>
        <w:rPr>
          <w:sz w:val="20"/>
          <w:szCs w:val="20"/>
        </w:rPr>
        <w:fldChar w:fldCharType="begin"/>
      </w:r>
      <w:r>
        <w:rPr>
          <w:sz w:val="20"/>
          <w:szCs w:val="20"/>
        </w:rPr>
        <w:instrText xml:space="preserve"> REF _Ref103591446 \h </w:instrText>
      </w:r>
      <w:r>
        <w:rPr>
          <w:sz w:val="20"/>
          <w:szCs w:val="20"/>
        </w:rPr>
      </w:r>
      <w:r>
        <w:rPr>
          <w:sz w:val="20"/>
          <w:szCs w:val="20"/>
        </w:rPr>
        <w:fldChar w:fldCharType="separate"/>
      </w:r>
      <w:r w:rsidRPr="00762F21">
        <w:rPr>
          <w:sz w:val="20"/>
        </w:rPr>
        <w:t xml:space="preserve">Table </w:t>
      </w:r>
      <w:r w:rsidRPr="00762F21">
        <w:rPr>
          <w:noProof/>
          <w:sz w:val="20"/>
        </w:rPr>
        <w:t>1</w:t>
      </w:r>
      <w:r>
        <w:rPr>
          <w:sz w:val="20"/>
          <w:szCs w:val="20"/>
        </w:rPr>
        <w:fldChar w:fldCharType="end"/>
      </w:r>
      <w:r w:rsidR="008969DB" w:rsidRPr="00762F21">
        <w:rPr>
          <w:sz w:val="20"/>
          <w:szCs w:val="20"/>
        </w:rPr>
        <w:t xml:space="preserve"> shows the complete list of the 35 studies that met all the inclusion criteria</w:t>
      </w:r>
      <w:r w:rsidR="00FE0C36">
        <w:rPr>
          <w:sz w:val="20"/>
          <w:szCs w:val="20"/>
        </w:rPr>
        <w:t xml:space="preserve"> and Appendix D contains the full references</w:t>
      </w:r>
      <w:r w:rsidR="008969DB" w:rsidRPr="00762F21">
        <w:rPr>
          <w:sz w:val="20"/>
          <w:szCs w:val="20"/>
        </w:rPr>
        <w:t>.</w:t>
      </w:r>
    </w:p>
    <w:p w:rsidR="00762F21" w:rsidRPr="00762F21" w:rsidRDefault="00762F21" w:rsidP="001B2103">
      <w:pPr>
        <w:rPr>
          <w:sz w:val="20"/>
          <w:szCs w:val="20"/>
        </w:rPr>
        <w:sectPr w:rsidR="00762F21" w:rsidRPr="00762F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762F21" w:rsidRPr="00762F21" w:rsidRDefault="00762F21" w:rsidP="00762F21">
      <w:pPr>
        <w:pStyle w:val="Kpalrs"/>
        <w:rPr>
          <w:color w:val="auto"/>
          <w:sz w:val="20"/>
        </w:rPr>
      </w:pPr>
      <w:bookmarkStart w:id="1" w:name="_Ref103591446"/>
      <w:r w:rsidRPr="00762F21">
        <w:rPr>
          <w:color w:val="auto"/>
          <w:sz w:val="20"/>
        </w:rPr>
        <w:lastRenderedPageBreak/>
        <w:t xml:space="preserve">Table </w:t>
      </w:r>
      <w:r w:rsidRPr="00762F21">
        <w:rPr>
          <w:color w:val="auto"/>
          <w:sz w:val="20"/>
        </w:rPr>
        <w:fldChar w:fldCharType="begin"/>
      </w:r>
      <w:r w:rsidRPr="00762F21">
        <w:rPr>
          <w:color w:val="auto"/>
          <w:sz w:val="20"/>
        </w:rPr>
        <w:instrText xml:space="preserve"> SEQ Table \* ARABIC </w:instrText>
      </w:r>
      <w:r w:rsidRPr="00762F21">
        <w:rPr>
          <w:color w:val="auto"/>
          <w:sz w:val="20"/>
        </w:rPr>
        <w:fldChar w:fldCharType="separate"/>
      </w:r>
      <w:r w:rsidR="00B6399F">
        <w:rPr>
          <w:noProof/>
          <w:color w:val="auto"/>
          <w:sz w:val="20"/>
        </w:rPr>
        <w:t>1</w:t>
      </w:r>
      <w:r w:rsidRPr="00762F21">
        <w:rPr>
          <w:color w:val="auto"/>
          <w:sz w:val="20"/>
        </w:rPr>
        <w:fldChar w:fldCharType="end"/>
      </w:r>
      <w:bookmarkEnd w:id="1"/>
      <w:r w:rsidRPr="00762F21">
        <w:rPr>
          <w:color w:val="auto"/>
          <w:sz w:val="20"/>
        </w:rPr>
        <w:t>: List of studies included</w:t>
      </w:r>
    </w:p>
    <w:tbl>
      <w:tblPr>
        <w:tblW w:w="5000" w:type="pct"/>
        <w:tblLayout w:type="fixed"/>
        <w:tblCellMar>
          <w:left w:w="70" w:type="dxa"/>
          <w:right w:w="70" w:type="dxa"/>
        </w:tblCellMar>
        <w:tblLook w:val="04A0" w:firstRow="1" w:lastRow="0" w:firstColumn="1" w:lastColumn="0" w:noHBand="0" w:noVBand="1"/>
      </w:tblPr>
      <w:tblGrid>
        <w:gridCol w:w="360"/>
        <w:gridCol w:w="1706"/>
        <w:gridCol w:w="7075"/>
        <w:gridCol w:w="1561"/>
        <w:gridCol w:w="1417"/>
        <w:gridCol w:w="851"/>
        <w:gridCol w:w="1174"/>
      </w:tblGrid>
      <w:tr w:rsidR="008B1B70" w:rsidRPr="00B6742E" w:rsidTr="003467B0">
        <w:trPr>
          <w:trHeight w:val="227"/>
          <w:tblHeader/>
        </w:trPr>
        <w:tc>
          <w:tcPr>
            <w:tcW w:w="127" w:type="pct"/>
            <w:tcBorders>
              <w:top w:val="single" w:sz="4" w:space="0" w:color="auto"/>
              <w:left w:val="nil"/>
              <w:bottom w:val="single" w:sz="4" w:space="0" w:color="auto"/>
              <w:right w:val="nil"/>
            </w:tcBorders>
            <w:shd w:val="clear" w:color="auto" w:fill="D9D9D9" w:themeFill="background1" w:themeFillShade="D9"/>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 </w:t>
            </w:r>
          </w:p>
        </w:tc>
        <w:tc>
          <w:tcPr>
            <w:tcW w:w="603" w:type="pct"/>
            <w:tcBorders>
              <w:top w:val="single" w:sz="4" w:space="0" w:color="auto"/>
              <w:left w:val="nil"/>
              <w:bottom w:val="single" w:sz="4" w:space="0" w:color="auto"/>
              <w:right w:val="nil"/>
            </w:tcBorders>
            <w:shd w:val="clear" w:color="auto" w:fill="D9D9D9" w:themeFill="background1" w:themeFillShade="D9"/>
            <w:noWrap/>
            <w:vAlign w:val="center"/>
            <w:hideMark/>
          </w:tcPr>
          <w:p w:rsidR="008B1B70" w:rsidRPr="00B6742E" w:rsidRDefault="008B1B70" w:rsidP="00EC1995">
            <w:pPr>
              <w:spacing w:after="0" w:line="240" w:lineRule="auto"/>
              <w:jc w:val="left"/>
              <w:rPr>
                <w:rFonts w:eastAsia="Times New Roman"/>
                <w:b/>
                <w:bCs/>
                <w:color w:val="000000"/>
                <w:sz w:val="16"/>
                <w:szCs w:val="16"/>
                <w:lang w:val="hu-HU" w:eastAsia="hu-HU"/>
              </w:rPr>
            </w:pPr>
            <w:r w:rsidRPr="00B6742E">
              <w:rPr>
                <w:rFonts w:eastAsia="Times New Roman"/>
                <w:b/>
                <w:bCs/>
                <w:color w:val="000000"/>
                <w:sz w:val="16"/>
                <w:szCs w:val="16"/>
                <w:lang w:val="hu-HU" w:eastAsia="hu-HU"/>
              </w:rPr>
              <w:t>Author</w:t>
            </w:r>
          </w:p>
        </w:tc>
        <w:tc>
          <w:tcPr>
            <w:tcW w:w="2501" w:type="pct"/>
            <w:tcBorders>
              <w:top w:val="single" w:sz="4" w:space="0" w:color="auto"/>
              <w:left w:val="nil"/>
              <w:bottom w:val="single" w:sz="4" w:space="0" w:color="auto"/>
              <w:right w:val="nil"/>
            </w:tcBorders>
            <w:shd w:val="clear" w:color="auto" w:fill="D9D9D9" w:themeFill="background1" w:themeFillShade="D9"/>
            <w:noWrap/>
            <w:vAlign w:val="center"/>
            <w:hideMark/>
          </w:tcPr>
          <w:p w:rsidR="008B1B70" w:rsidRPr="00B6742E" w:rsidRDefault="008B1B70" w:rsidP="00EC1995">
            <w:pPr>
              <w:spacing w:after="0" w:line="240" w:lineRule="auto"/>
              <w:jc w:val="left"/>
              <w:rPr>
                <w:rFonts w:eastAsia="Times New Roman"/>
                <w:b/>
                <w:bCs/>
                <w:color w:val="000000"/>
                <w:sz w:val="16"/>
                <w:szCs w:val="16"/>
                <w:lang w:val="hu-HU" w:eastAsia="hu-HU"/>
              </w:rPr>
            </w:pPr>
            <w:r w:rsidRPr="00B6742E">
              <w:rPr>
                <w:rFonts w:eastAsia="Times New Roman"/>
                <w:b/>
                <w:bCs/>
                <w:color w:val="000000"/>
                <w:sz w:val="16"/>
                <w:szCs w:val="16"/>
                <w:lang w:val="hu-HU" w:eastAsia="hu-HU"/>
              </w:rPr>
              <w:t>Title</w:t>
            </w:r>
          </w:p>
        </w:tc>
        <w:tc>
          <w:tcPr>
            <w:tcW w:w="552" w:type="pct"/>
            <w:tcBorders>
              <w:top w:val="single" w:sz="4" w:space="0" w:color="auto"/>
              <w:left w:val="nil"/>
              <w:bottom w:val="single" w:sz="4" w:space="0" w:color="auto"/>
              <w:right w:val="nil"/>
            </w:tcBorders>
            <w:shd w:val="clear" w:color="auto" w:fill="D9D9D9" w:themeFill="background1" w:themeFillShade="D9"/>
            <w:noWrap/>
            <w:vAlign w:val="center"/>
            <w:hideMark/>
          </w:tcPr>
          <w:p w:rsidR="008B1B70" w:rsidRPr="00B6742E" w:rsidRDefault="008B1B70" w:rsidP="00EC1995">
            <w:pPr>
              <w:spacing w:after="0" w:line="240" w:lineRule="auto"/>
              <w:jc w:val="left"/>
              <w:rPr>
                <w:rFonts w:eastAsia="Times New Roman"/>
                <w:b/>
                <w:bCs/>
                <w:color w:val="000000"/>
                <w:sz w:val="16"/>
                <w:szCs w:val="16"/>
                <w:lang w:val="hu-HU" w:eastAsia="hu-HU"/>
              </w:rPr>
            </w:pPr>
            <w:r w:rsidRPr="00B6742E">
              <w:rPr>
                <w:rFonts w:eastAsia="Times New Roman"/>
                <w:b/>
                <w:bCs/>
                <w:color w:val="000000"/>
                <w:sz w:val="16"/>
                <w:szCs w:val="16"/>
                <w:lang w:val="hu-HU" w:eastAsia="hu-HU"/>
              </w:rPr>
              <w:t>Publisher</w:t>
            </w:r>
          </w:p>
        </w:tc>
        <w:tc>
          <w:tcPr>
            <w:tcW w:w="501" w:type="pct"/>
            <w:tcBorders>
              <w:top w:val="single" w:sz="4" w:space="0" w:color="auto"/>
              <w:left w:val="nil"/>
              <w:bottom w:val="single" w:sz="4" w:space="0" w:color="auto"/>
              <w:right w:val="nil"/>
            </w:tcBorders>
            <w:shd w:val="clear" w:color="auto" w:fill="D9D9D9" w:themeFill="background1" w:themeFillShade="D9"/>
            <w:noWrap/>
            <w:vAlign w:val="center"/>
            <w:hideMark/>
          </w:tcPr>
          <w:p w:rsidR="008B1B70" w:rsidRPr="00B6742E" w:rsidRDefault="008B1B70" w:rsidP="00EC1995">
            <w:pPr>
              <w:spacing w:after="0" w:line="240" w:lineRule="auto"/>
              <w:jc w:val="left"/>
              <w:rPr>
                <w:rFonts w:eastAsia="Times New Roman"/>
                <w:b/>
                <w:bCs/>
                <w:color w:val="000000"/>
                <w:sz w:val="16"/>
                <w:szCs w:val="16"/>
                <w:lang w:val="hu-HU" w:eastAsia="hu-HU"/>
              </w:rPr>
            </w:pPr>
            <w:r w:rsidRPr="00B6742E">
              <w:rPr>
                <w:rFonts w:eastAsia="Times New Roman"/>
                <w:b/>
                <w:bCs/>
                <w:color w:val="000000"/>
                <w:sz w:val="16"/>
                <w:szCs w:val="16"/>
                <w:lang w:val="hu-HU" w:eastAsia="hu-HU"/>
              </w:rPr>
              <w:t>Study design</w:t>
            </w:r>
          </w:p>
        </w:tc>
        <w:tc>
          <w:tcPr>
            <w:tcW w:w="301" w:type="pct"/>
            <w:tcBorders>
              <w:top w:val="single" w:sz="4" w:space="0" w:color="auto"/>
              <w:left w:val="nil"/>
              <w:bottom w:val="single" w:sz="4" w:space="0" w:color="auto"/>
              <w:right w:val="nil"/>
            </w:tcBorders>
            <w:shd w:val="clear" w:color="auto" w:fill="D9D9D9" w:themeFill="background1" w:themeFillShade="D9"/>
            <w:noWrap/>
            <w:vAlign w:val="center"/>
            <w:hideMark/>
          </w:tcPr>
          <w:p w:rsidR="008B1B70" w:rsidRPr="00B6742E" w:rsidRDefault="008B1B70" w:rsidP="00EC1995">
            <w:pPr>
              <w:spacing w:after="0" w:line="240" w:lineRule="auto"/>
              <w:jc w:val="left"/>
              <w:rPr>
                <w:rFonts w:eastAsia="Times New Roman"/>
                <w:b/>
                <w:bCs/>
                <w:color w:val="000000"/>
                <w:sz w:val="16"/>
                <w:szCs w:val="16"/>
                <w:lang w:val="hu-HU" w:eastAsia="hu-HU"/>
              </w:rPr>
            </w:pPr>
            <w:r w:rsidRPr="00B6742E">
              <w:rPr>
                <w:rFonts w:eastAsia="Times New Roman"/>
                <w:b/>
                <w:bCs/>
                <w:color w:val="000000"/>
                <w:sz w:val="16"/>
                <w:szCs w:val="16"/>
                <w:lang w:val="hu-HU" w:eastAsia="hu-HU"/>
              </w:rPr>
              <w:t>Country</w:t>
            </w:r>
          </w:p>
        </w:tc>
        <w:tc>
          <w:tcPr>
            <w:tcW w:w="415" w:type="pct"/>
            <w:tcBorders>
              <w:top w:val="single" w:sz="4" w:space="0" w:color="auto"/>
              <w:left w:val="nil"/>
              <w:bottom w:val="single" w:sz="4" w:space="0" w:color="auto"/>
              <w:right w:val="nil"/>
            </w:tcBorders>
            <w:shd w:val="clear" w:color="auto" w:fill="D9D9D9" w:themeFill="background1" w:themeFillShade="D9"/>
            <w:vAlign w:val="center"/>
          </w:tcPr>
          <w:p w:rsidR="008B1B70" w:rsidRPr="00B6742E" w:rsidRDefault="003467B0" w:rsidP="003467B0">
            <w:pPr>
              <w:spacing w:after="0" w:line="240" w:lineRule="auto"/>
              <w:jc w:val="left"/>
              <w:rPr>
                <w:rFonts w:eastAsia="Times New Roman"/>
                <w:b/>
                <w:bCs/>
                <w:color w:val="000000"/>
                <w:sz w:val="16"/>
                <w:szCs w:val="16"/>
                <w:lang w:val="hu-HU" w:eastAsia="hu-HU"/>
              </w:rPr>
            </w:pPr>
            <w:r>
              <w:rPr>
                <w:rFonts w:eastAsia="Times New Roman"/>
                <w:b/>
                <w:bCs/>
                <w:color w:val="000000"/>
                <w:sz w:val="16"/>
                <w:szCs w:val="16"/>
                <w:lang w:val="hu-HU" w:eastAsia="hu-HU"/>
              </w:rPr>
              <w:t>Nudge types</w:t>
            </w:r>
          </w:p>
        </w:tc>
      </w:tr>
      <w:tr w:rsidR="008B1B70" w:rsidRPr="00B6742E" w:rsidTr="003467B0">
        <w:trPr>
          <w:trHeight w:val="454"/>
        </w:trPr>
        <w:tc>
          <w:tcPr>
            <w:tcW w:w="127" w:type="pct"/>
            <w:tcBorders>
              <w:top w:val="single" w:sz="4" w:space="0" w:color="auto"/>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1</w:t>
            </w:r>
          </w:p>
        </w:tc>
        <w:tc>
          <w:tcPr>
            <w:tcW w:w="603" w:type="pct"/>
            <w:tcBorders>
              <w:top w:val="single" w:sz="4" w:space="0" w:color="auto"/>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LECG</w:t>
            </w:r>
            <w:r>
              <w:rPr>
                <w:rFonts w:eastAsia="Times New Roman"/>
                <w:color w:val="000000"/>
                <w:sz w:val="16"/>
                <w:szCs w:val="16"/>
                <w:lang w:val="hu-HU" w:eastAsia="hu-HU"/>
              </w:rPr>
              <w:br/>
            </w:r>
            <w:r w:rsidRPr="00B6742E">
              <w:rPr>
                <w:rFonts w:eastAsia="Times New Roman"/>
                <w:color w:val="000000"/>
                <w:sz w:val="16"/>
                <w:szCs w:val="16"/>
                <w:lang w:val="hu-HU" w:eastAsia="hu-HU"/>
              </w:rPr>
              <w:t>(2008)</w:t>
            </w:r>
          </w:p>
        </w:tc>
        <w:tc>
          <w:tcPr>
            <w:tcW w:w="2501" w:type="pct"/>
            <w:tcBorders>
              <w:top w:val="single" w:sz="4" w:space="0" w:color="auto"/>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Evaluating the impact of the Supply of Extended Warranties on Domestic Electrical Goods Order 2005</w:t>
            </w:r>
          </w:p>
        </w:tc>
        <w:tc>
          <w:tcPr>
            <w:tcW w:w="552" w:type="pct"/>
            <w:tcBorders>
              <w:top w:val="single" w:sz="4" w:space="0" w:color="auto"/>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OFT</w:t>
            </w:r>
          </w:p>
        </w:tc>
        <w:tc>
          <w:tcPr>
            <w:tcW w:w="501" w:type="pct"/>
            <w:tcBorders>
              <w:top w:val="single" w:sz="4" w:space="0" w:color="auto"/>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Ex post analysis</w:t>
            </w:r>
          </w:p>
        </w:tc>
        <w:tc>
          <w:tcPr>
            <w:tcW w:w="301" w:type="pct"/>
            <w:tcBorders>
              <w:top w:val="single" w:sz="4" w:space="0" w:color="auto"/>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single" w:sz="4" w:space="0" w:color="auto"/>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2</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Bhattacharya et al (2012)</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Is Unbiased Financial Advice to Retail Investors Sufficient? Answers from a Large Field Study</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The Review of Financial Studies</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Ex post analysis</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Germany</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3</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Hunt et al</w:t>
            </w:r>
            <w:r>
              <w:rPr>
                <w:rFonts w:eastAsia="Times New Roman"/>
                <w:color w:val="000000"/>
                <w:sz w:val="16"/>
                <w:szCs w:val="16"/>
                <w:lang w:val="hu-HU" w:eastAsia="hu-HU"/>
              </w:rPr>
              <w:br/>
            </w:r>
            <w:r w:rsidRPr="00B6742E">
              <w:rPr>
                <w:rFonts w:eastAsia="Times New Roman"/>
                <w:color w:val="000000"/>
                <w:sz w:val="16"/>
                <w:szCs w:val="16"/>
                <w:lang w:val="hu-HU" w:eastAsia="hu-HU"/>
              </w:rPr>
              <w:t>(2015)</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OP10 Message received? The impact of annual summaries, text alerts and mobile apps on consumer banking behaviour</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Ex post analysis</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Both</w:t>
            </w:r>
          </w:p>
        </w:tc>
      </w:tr>
      <w:tr w:rsidR="008B1B70" w:rsidRPr="00B6742E" w:rsidTr="003467B0">
        <w:trPr>
          <w:trHeight w:val="454"/>
        </w:trPr>
        <w:tc>
          <w:tcPr>
            <w:tcW w:w="127"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4</w:t>
            </w:r>
          </w:p>
        </w:tc>
        <w:tc>
          <w:tcPr>
            <w:tcW w:w="603"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Charles et al</w:t>
            </w:r>
            <w:r>
              <w:rPr>
                <w:rFonts w:eastAsia="Times New Roman"/>
                <w:color w:val="000000"/>
                <w:sz w:val="16"/>
                <w:szCs w:val="16"/>
                <w:lang w:val="hu-HU" w:eastAsia="hu-HU"/>
              </w:rPr>
              <w:br/>
            </w:r>
            <w:r w:rsidRPr="00B6742E">
              <w:rPr>
                <w:rFonts w:eastAsia="Times New Roman"/>
                <w:color w:val="000000"/>
                <w:sz w:val="16"/>
                <w:szCs w:val="16"/>
                <w:lang w:val="hu-HU" w:eastAsia="hu-HU"/>
              </w:rPr>
              <w:t>(2019)</w:t>
            </w:r>
          </w:p>
        </w:tc>
        <w:tc>
          <w:tcPr>
            <w:tcW w:w="25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Evaluation Paper 19/1: An evaluation of our general insurance renewal transparency intervention</w:t>
            </w:r>
          </w:p>
        </w:tc>
        <w:tc>
          <w:tcPr>
            <w:tcW w:w="552"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Ex post analysis</w:t>
            </w:r>
          </w:p>
        </w:tc>
        <w:tc>
          <w:tcPr>
            <w:tcW w:w="3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single" w:sz="4" w:space="0" w:color="auto"/>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5</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Kling et al</w:t>
            </w:r>
            <w:r>
              <w:rPr>
                <w:rFonts w:eastAsia="Times New Roman"/>
                <w:color w:val="000000"/>
                <w:sz w:val="16"/>
                <w:szCs w:val="16"/>
                <w:lang w:val="hu-HU" w:eastAsia="hu-HU"/>
              </w:rPr>
              <w:br/>
            </w:r>
            <w:r w:rsidRPr="00B6742E">
              <w:rPr>
                <w:rFonts w:eastAsia="Times New Roman"/>
                <w:color w:val="000000"/>
                <w:sz w:val="16"/>
                <w:szCs w:val="16"/>
                <w:lang w:val="hu-HU" w:eastAsia="hu-HU"/>
              </w:rPr>
              <w:t>(2012)</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Comparison Friction: Experimental Evidence from Medicare Drug Plans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Quarterly Journal of Economics</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US</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6</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Adams et al</w:t>
            </w:r>
            <w:r>
              <w:rPr>
                <w:rFonts w:eastAsia="Times New Roman"/>
                <w:color w:val="000000"/>
                <w:sz w:val="16"/>
                <w:szCs w:val="16"/>
                <w:lang w:val="hu-HU" w:eastAsia="hu-HU"/>
              </w:rPr>
              <w:br/>
            </w:r>
            <w:r w:rsidRPr="00B6742E">
              <w:rPr>
                <w:rFonts w:eastAsia="Times New Roman"/>
                <w:color w:val="000000"/>
                <w:sz w:val="16"/>
                <w:szCs w:val="16"/>
                <w:lang w:val="hu-HU" w:eastAsia="hu-HU"/>
              </w:rPr>
              <w:t>(2015a)</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OP7 Stimulating Interest: Reminding savers to act when rates decrease</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7</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Adams et al</w:t>
            </w:r>
            <w:r>
              <w:rPr>
                <w:rFonts w:eastAsia="Times New Roman"/>
                <w:color w:val="000000"/>
                <w:sz w:val="16"/>
                <w:szCs w:val="16"/>
                <w:lang w:val="hu-HU" w:eastAsia="hu-HU"/>
              </w:rPr>
              <w:br/>
            </w:r>
            <w:r w:rsidRPr="00B6742E">
              <w:rPr>
                <w:rFonts w:eastAsia="Times New Roman"/>
                <w:color w:val="000000"/>
                <w:sz w:val="16"/>
                <w:szCs w:val="16"/>
                <w:lang w:val="hu-HU" w:eastAsia="hu-HU"/>
              </w:rPr>
              <w:t>(2015b)</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OP12 Encouraging consumers to act at renewal: Evidence from field trials in the home and motor insurance markets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8</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Keys et al</w:t>
            </w:r>
            <w:r>
              <w:rPr>
                <w:rFonts w:eastAsia="Times New Roman"/>
                <w:color w:val="000000"/>
                <w:sz w:val="16"/>
                <w:szCs w:val="16"/>
                <w:lang w:val="hu-HU" w:eastAsia="hu-HU"/>
              </w:rPr>
              <w:br/>
            </w:r>
            <w:r w:rsidRPr="00B6742E">
              <w:rPr>
                <w:rFonts w:eastAsia="Times New Roman"/>
                <w:color w:val="000000"/>
                <w:sz w:val="16"/>
                <w:szCs w:val="16"/>
                <w:lang w:val="hu-HU" w:eastAsia="hu-HU"/>
              </w:rPr>
              <w:t>(2016)</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Failure to refinance</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Journal of Financial Economics</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US</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9</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Glazebrook et al (2017)</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Improving engagement with pension decisions: The results from three randomised controlled trials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BIT</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10</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Marzili Ericson et al (2017)</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Nudging Leads Consumers In Colorado To Shop But Not Switch ACA Marketplace Plans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Health Affairs</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US</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11</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Seira et al</w:t>
            </w:r>
            <w:r>
              <w:rPr>
                <w:rFonts w:eastAsia="Times New Roman"/>
                <w:color w:val="000000"/>
                <w:sz w:val="16"/>
                <w:szCs w:val="16"/>
                <w:lang w:val="hu-HU" w:eastAsia="hu-HU"/>
              </w:rPr>
              <w:br/>
            </w:r>
            <w:r w:rsidRPr="00B6742E">
              <w:rPr>
                <w:rFonts w:eastAsia="Times New Roman"/>
                <w:color w:val="000000"/>
                <w:sz w:val="16"/>
                <w:szCs w:val="16"/>
                <w:lang w:val="hu-HU" w:eastAsia="hu-HU"/>
              </w:rPr>
              <w:t>(2017)</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Are information disclosures effective? Evidence from the credit card market</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American Economic Journal</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Mexico</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12</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Accent Research (2018)</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Personal and business current account prompt pilot findings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13</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Adams-Ernstsone (2018)</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OP38 Testing retirement communications: Waking up to get wise</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14</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BCFP</w:t>
            </w:r>
            <w:r>
              <w:rPr>
                <w:rFonts w:eastAsia="Times New Roman"/>
                <w:color w:val="000000"/>
                <w:sz w:val="16"/>
                <w:szCs w:val="16"/>
                <w:lang w:val="hu-HU" w:eastAsia="hu-HU"/>
              </w:rPr>
              <w:br/>
            </w:r>
            <w:r w:rsidRPr="00B6742E">
              <w:rPr>
                <w:rFonts w:eastAsia="Times New Roman"/>
                <w:color w:val="000000"/>
                <w:sz w:val="16"/>
                <w:szCs w:val="16"/>
                <w:lang w:val="hu-HU" w:eastAsia="hu-HU"/>
              </w:rPr>
              <w:t>(2018)</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Know Before You Owe: Mortgage shopping study</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BCFP</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US</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15</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Johnson et al</w:t>
            </w:r>
            <w:r>
              <w:rPr>
                <w:rFonts w:eastAsia="Times New Roman"/>
                <w:color w:val="000000"/>
                <w:sz w:val="16"/>
                <w:szCs w:val="16"/>
                <w:lang w:val="hu-HU" w:eastAsia="hu-HU"/>
              </w:rPr>
              <w:br/>
            </w:r>
            <w:r w:rsidRPr="00B6742E">
              <w:rPr>
                <w:rFonts w:eastAsia="Times New Roman"/>
                <w:color w:val="000000"/>
                <w:sz w:val="16"/>
                <w:szCs w:val="16"/>
                <w:lang w:val="hu-HU" w:eastAsia="hu-HU"/>
              </w:rPr>
              <w:t>(2019)</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What’s the Catch, Suspicion of Bank Motives and Sluggish Refinancing</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The Review of Financial Studies</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US</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16</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Farghly et al</w:t>
            </w:r>
            <w:r>
              <w:rPr>
                <w:rFonts w:eastAsia="Times New Roman"/>
                <w:color w:val="000000"/>
                <w:sz w:val="16"/>
                <w:szCs w:val="16"/>
                <w:lang w:val="hu-HU" w:eastAsia="hu-HU"/>
              </w:rPr>
              <w:br/>
            </w:r>
            <w:r w:rsidRPr="00B6742E">
              <w:rPr>
                <w:rFonts w:eastAsia="Times New Roman"/>
                <w:color w:val="000000"/>
                <w:sz w:val="16"/>
                <w:szCs w:val="16"/>
                <w:lang w:val="hu-HU" w:eastAsia="hu-HU"/>
              </w:rPr>
              <w:t>(2020)</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The Stronger Nudge</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BIT</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Structural</w:t>
            </w:r>
          </w:p>
        </w:tc>
      </w:tr>
      <w:tr w:rsidR="008B1B70" w:rsidRPr="00B6742E" w:rsidTr="003467B0">
        <w:trPr>
          <w:trHeight w:val="454"/>
        </w:trPr>
        <w:tc>
          <w:tcPr>
            <w:tcW w:w="127"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17</w:t>
            </w:r>
          </w:p>
        </w:tc>
        <w:tc>
          <w:tcPr>
            <w:tcW w:w="603"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Adams et al</w:t>
            </w:r>
            <w:r>
              <w:rPr>
                <w:rFonts w:eastAsia="Times New Roman"/>
                <w:color w:val="000000"/>
                <w:sz w:val="16"/>
                <w:szCs w:val="16"/>
                <w:lang w:val="hu-HU" w:eastAsia="hu-HU"/>
              </w:rPr>
              <w:br/>
            </w:r>
            <w:r w:rsidRPr="00B6742E">
              <w:rPr>
                <w:rFonts w:eastAsia="Times New Roman"/>
                <w:color w:val="000000"/>
                <w:sz w:val="16"/>
                <w:szCs w:val="16"/>
                <w:lang w:val="hu-HU" w:eastAsia="hu-HU"/>
              </w:rPr>
              <w:t>(2021)</w:t>
            </w:r>
          </w:p>
        </w:tc>
        <w:tc>
          <w:tcPr>
            <w:tcW w:w="25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Testing the Effectiveness of Consumer Financial Disclosure, Experimental Evidence from Savings Accounts</w:t>
            </w:r>
          </w:p>
        </w:tc>
        <w:tc>
          <w:tcPr>
            <w:tcW w:w="552"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Journal of Financial Economics</w:t>
            </w:r>
          </w:p>
        </w:tc>
        <w:tc>
          <w:tcPr>
            <w:tcW w:w="5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Field experiment</w:t>
            </w:r>
          </w:p>
        </w:tc>
        <w:tc>
          <w:tcPr>
            <w:tcW w:w="3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single" w:sz="4" w:space="0" w:color="auto"/>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Both</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pageBreakBefore/>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lastRenderedPageBreak/>
              <w:t>18</w:t>
            </w:r>
          </w:p>
        </w:tc>
        <w:tc>
          <w:tcPr>
            <w:tcW w:w="603" w:type="pct"/>
            <w:tcBorders>
              <w:top w:val="nil"/>
              <w:left w:val="nil"/>
              <w:bottom w:val="nil"/>
              <w:right w:val="nil"/>
            </w:tcBorders>
            <w:shd w:val="clear" w:color="auto" w:fill="auto"/>
            <w:noWrap/>
            <w:hideMark/>
          </w:tcPr>
          <w:p w:rsidR="008B1B70" w:rsidRPr="00B6742E" w:rsidRDefault="008B1B70" w:rsidP="00EC1995">
            <w:pPr>
              <w:pageBreakBefore/>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TNS</w:t>
            </w:r>
            <w:r>
              <w:rPr>
                <w:rFonts w:eastAsia="Times New Roman"/>
                <w:color w:val="000000"/>
                <w:sz w:val="16"/>
                <w:szCs w:val="16"/>
                <w:lang w:val="hu-HU" w:eastAsia="hu-HU"/>
              </w:rPr>
              <w:br/>
            </w:r>
            <w:r w:rsidRPr="00B6742E">
              <w:rPr>
                <w:rFonts w:eastAsia="Times New Roman"/>
                <w:color w:val="000000"/>
                <w:sz w:val="16"/>
                <w:szCs w:val="16"/>
                <w:lang w:val="hu-HU" w:eastAsia="hu-HU"/>
              </w:rPr>
              <w:t>(2012)</w:t>
            </w:r>
          </w:p>
        </w:tc>
        <w:tc>
          <w:tcPr>
            <w:tcW w:w="2501" w:type="pct"/>
            <w:tcBorders>
              <w:top w:val="nil"/>
              <w:left w:val="nil"/>
              <w:bottom w:val="nil"/>
              <w:right w:val="nil"/>
            </w:tcBorders>
            <w:shd w:val="clear" w:color="auto" w:fill="auto"/>
            <w:noWrap/>
            <w:hideMark/>
          </w:tcPr>
          <w:p w:rsidR="008B1B70" w:rsidRPr="00B6742E" w:rsidRDefault="008B1B70" w:rsidP="00EC1995">
            <w:pPr>
              <w:pageBreakBefore/>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Bank Fees Behaviour Study</w:t>
            </w:r>
          </w:p>
        </w:tc>
        <w:tc>
          <w:tcPr>
            <w:tcW w:w="552" w:type="pct"/>
            <w:tcBorders>
              <w:top w:val="nil"/>
              <w:left w:val="nil"/>
              <w:bottom w:val="nil"/>
              <w:right w:val="nil"/>
            </w:tcBorders>
            <w:shd w:val="clear" w:color="auto" w:fill="auto"/>
            <w:noWrap/>
            <w:hideMark/>
          </w:tcPr>
          <w:p w:rsidR="008B1B70" w:rsidRPr="00B6742E" w:rsidRDefault="008B1B70" w:rsidP="00EC1995">
            <w:pPr>
              <w:pageBreakBefore/>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EC</w:t>
            </w:r>
          </w:p>
        </w:tc>
        <w:tc>
          <w:tcPr>
            <w:tcW w:w="501" w:type="pct"/>
            <w:tcBorders>
              <w:top w:val="nil"/>
              <w:left w:val="nil"/>
              <w:bottom w:val="nil"/>
              <w:right w:val="nil"/>
            </w:tcBorders>
            <w:shd w:val="clear" w:color="auto" w:fill="auto"/>
            <w:noWrap/>
            <w:hideMark/>
          </w:tcPr>
          <w:p w:rsidR="008B1B70" w:rsidRPr="00B6742E" w:rsidRDefault="008B1B70" w:rsidP="00EC1995">
            <w:pPr>
              <w:pageBreakBefore/>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Lab experiment</w:t>
            </w:r>
          </w:p>
        </w:tc>
        <w:tc>
          <w:tcPr>
            <w:tcW w:w="301" w:type="pct"/>
            <w:tcBorders>
              <w:top w:val="nil"/>
              <w:left w:val="nil"/>
              <w:bottom w:val="nil"/>
              <w:right w:val="nil"/>
            </w:tcBorders>
            <w:shd w:val="clear" w:color="auto" w:fill="auto"/>
            <w:noWrap/>
            <w:hideMark/>
          </w:tcPr>
          <w:p w:rsidR="008B1B70" w:rsidRPr="00B6742E" w:rsidRDefault="008B1B70" w:rsidP="00EC1995">
            <w:pPr>
              <w:pageBreakBefore/>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EU</w:t>
            </w:r>
          </w:p>
        </w:tc>
        <w:tc>
          <w:tcPr>
            <w:tcW w:w="415" w:type="pct"/>
            <w:tcBorders>
              <w:top w:val="nil"/>
              <w:left w:val="nil"/>
              <w:bottom w:val="nil"/>
              <w:right w:val="nil"/>
            </w:tcBorders>
          </w:tcPr>
          <w:p w:rsidR="008B1B70" w:rsidRPr="00B6742E" w:rsidRDefault="003467B0" w:rsidP="00EC1995">
            <w:pPr>
              <w:pageBreakBefore/>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19</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Duke et al</w:t>
            </w:r>
            <w:r>
              <w:rPr>
                <w:rFonts w:eastAsia="Times New Roman"/>
                <w:color w:val="000000"/>
                <w:sz w:val="16"/>
                <w:szCs w:val="16"/>
                <w:lang w:val="hu-HU" w:eastAsia="hu-HU"/>
              </w:rPr>
              <w:br/>
            </w:r>
            <w:r w:rsidRPr="00B6742E">
              <w:rPr>
                <w:rFonts w:eastAsia="Times New Roman"/>
                <w:color w:val="000000"/>
                <w:sz w:val="16"/>
                <w:szCs w:val="16"/>
                <w:lang w:val="hu-HU" w:eastAsia="hu-HU"/>
              </w:rPr>
              <w:t>(2014)</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Study into the sales of Add-on General Insurance Products: Experimental consumer research</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Lab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Structural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20</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Oxera-CESS</w:t>
            </w:r>
            <w:r>
              <w:rPr>
                <w:rFonts w:eastAsia="Times New Roman"/>
                <w:color w:val="000000"/>
                <w:sz w:val="16"/>
                <w:szCs w:val="16"/>
                <w:lang w:val="hu-HU" w:eastAsia="hu-HU"/>
              </w:rPr>
              <w:br/>
            </w:r>
            <w:r w:rsidRPr="00B6742E">
              <w:rPr>
                <w:rFonts w:eastAsia="Times New Roman"/>
                <w:color w:val="000000"/>
                <w:sz w:val="16"/>
                <w:szCs w:val="16"/>
                <w:lang w:val="hu-HU" w:eastAsia="hu-HU"/>
              </w:rPr>
              <w:t>(2016)</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Increasing consumer engagement in the annuities market: can prompts raise shopping around?</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Lab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21</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Suter et al</w:t>
            </w:r>
            <w:r>
              <w:rPr>
                <w:rFonts w:eastAsia="Times New Roman"/>
                <w:color w:val="000000"/>
                <w:sz w:val="16"/>
                <w:szCs w:val="16"/>
                <w:lang w:val="hu-HU" w:eastAsia="hu-HU"/>
              </w:rPr>
              <w:br/>
            </w:r>
            <w:r w:rsidRPr="00B6742E">
              <w:rPr>
                <w:rFonts w:eastAsia="Times New Roman"/>
                <w:color w:val="000000"/>
                <w:sz w:val="16"/>
                <w:szCs w:val="16"/>
                <w:lang w:val="hu-HU" w:eastAsia="hu-HU"/>
              </w:rPr>
              <w:t>(2017)</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Study on consumers’ decision making in insurance services, a behavioural economics perspective</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EC</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Lab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EU</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Both</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22</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BIT</w:t>
            </w:r>
            <w:r>
              <w:rPr>
                <w:rFonts w:eastAsia="Times New Roman"/>
                <w:color w:val="000000"/>
                <w:sz w:val="16"/>
                <w:szCs w:val="16"/>
                <w:lang w:val="hu-HU" w:eastAsia="hu-HU"/>
              </w:rPr>
              <w:br/>
            </w:r>
            <w:r w:rsidRPr="00B6742E">
              <w:rPr>
                <w:rFonts w:eastAsia="Times New Roman"/>
                <w:color w:val="000000"/>
                <w:sz w:val="16"/>
                <w:szCs w:val="16"/>
                <w:lang w:val="hu-HU" w:eastAsia="hu-HU"/>
              </w:rPr>
              <w:t>(2018)</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The impact of improved transparency of foreign money transfers for consumers and SMEs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BIT</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Lab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23</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Suter et al</w:t>
            </w:r>
            <w:r>
              <w:rPr>
                <w:rFonts w:eastAsia="Times New Roman"/>
                <w:color w:val="000000"/>
                <w:sz w:val="16"/>
                <w:szCs w:val="16"/>
                <w:lang w:val="hu-HU" w:eastAsia="hu-HU"/>
              </w:rPr>
              <w:br/>
            </w:r>
            <w:r w:rsidRPr="00B6742E">
              <w:rPr>
                <w:rFonts w:eastAsia="Times New Roman"/>
                <w:color w:val="000000"/>
                <w:sz w:val="16"/>
                <w:szCs w:val="16"/>
                <w:lang w:val="hu-HU" w:eastAsia="hu-HU"/>
              </w:rPr>
              <w:t>(2019)</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Behavioural study on the digitalisation of the marketing and distance selling of retail financial services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EC</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Lab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EU</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24</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Burke et al</w:t>
            </w:r>
            <w:r>
              <w:rPr>
                <w:rFonts w:eastAsia="Times New Roman"/>
                <w:color w:val="000000"/>
                <w:sz w:val="16"/>
                <w:szCs w:val="16"/>
                <w:lang w:val="hu-HU" w:eastAsia="hu-HU"/>
              </w:rPr>
              <w:br/>
            </w:r>
            <w:r w:rsidRPr="00B6742E">
              <w:rPr>
                <w:rFonts w:eastAsia="Times New Roman"/>
                <w:color w:val="000000"/>
                <w:sz w:val="16"/>
                <w:szCs w:val="16"/>
                <w:lang w:val="hu-HU" w:eastAsia="hu-HU"/>
              </w:rPr>
              <w:t>(2020)</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OP56 Fair exchange: presenting foreign exchange quotes to improve consumer choice</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Lab experiment</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Both</w:t>
            </w:r>
          </w:p>
        </w:tc>
      </w:tr>
      <w:tr w:rsidR="008B1B70" w:rsidRPr="00B6742E" w:rsidTr="003467B0">
        <w:trPr>
          <w:trHeight w:val="454"/>
        </w:trPr>
        <w:tc>
          <w:tcPr>
            <w:tcW w:w="127" w:type="pct"/>
            <w:tcBorders>
              <w:top w:val="nil"/>
              <w:left w:val="nil"/>
              <w:bottom w:val="nil"/>
              <w:right w:val="nil"/>
            </w:tcBorders>
            <w:shd w:val="clear" w:color="auto" w:fill="auto"/>
            <w:noWrap/>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25</w:t>
            </w:r>
          </w:p>
        </w:tc>
        <w:tc>
          <w:tcPr>
            <w:tcW w:w="603" w:type="pct"/>
            <w:tcBorders>
              <w:top w:val="nil"/>
              <w:left w:val="nil"/>
              <w:bottom w:val="nil"/>
              <w:right w:val="nil"/>
            </w:tcBorders>
            <w:shd w:val="clear" w:color="auto" w:fill="auto"/>
            <w:noWrap/>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Timmons et al</w:t>
            </w:r>
            <w:r>
              <w:rPr>
                <w:rFonts w:eastAsia="Times New Roman"/>
                <w:color w:val="000000"/>
                <w:sz w:val="16"/>
                <w:szCs w:val="16"/>
                <w:lang w:val="hu-HU" w:eastAsia="hu-HU"/>
              </w:rPr>
              <w:br/>
            </w:r>
            <w:r w:rsidRPr="00B6742E">
              <w:rPr>
                <w:rFonts w:eastAsia="Times New Roman"/>
                <w:color w:val="000000"/>
                <w:sz w:val="16"/>
                <w:szCs w:val="16"/>
                <w:lang w:val="hu-HU" w:eastAsia="hu-HU"/>
              </w:rPr>
              <w:t>(2019)</w:t>
            </w:r>
          </w:p>
        </w:tc>
        <w:tc>
          <w:tcPr>
            <w:tcW w:w="2501" w:type="pct"/>
            <w:tcBorders>
              <w:top w:val="nil"/>
              <w:left w:val="nil"/>
              <w:bottom w:val="nil"/>
              <w:right w:val="nil"/>
            </w:tcBorders>
            <w:shd w:val="clear" w:color="auto" w:fill="auto"/>
            <w:noWrap/>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Official advice improves mortgage-holders' perceptions of switching: experimental evidence</w:t>
            </w:r>
          </w:p>
        </w:tc>
        <w:tc>
          <w:tcPr>
            <w:tcW w:w="552" w:type="pct"/>
            <w:tcBorders>
              <w:top w:val="nil"/>
              <w:left w:val="nil"/>
              <w:bottom w:val="nil"/>
              <w:right w:val="nil"/>
            </w:tcBorders>
            <w:shd w:val="clear" w:color="auto" w:fill="auto"/>
            <w:noWrap/>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Behavioural Public Policy</w:t>
            </w:r>
          </w:p>
        </w:tc>
        <w:tc>
          <w:tcPr>
            <w:tcW w:w="501" w:type="pct"/>
            <w:tcBorders>
              <w:top w:val="nil"/>
              <w:left w:val="nil"/>
              <w:bottom w:val="nil"/>
              <w:right w:val="nil"/>
            </w:tcBorders>
            <w:shd w:val="clear" w:color="auto" w:fill="auto"/>
            <w:noWrap/>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Lab experiment</w:t>
            </w:r>
          </w:p>
        </w:tc>
        <w:tc>
          <w:tcPr>
            <w:tcW w:w="301" w:type="pct"/>
            <w:tcBorders>
              <w:top w:val="nil"/>
              <w:left w:val="nil"/>
              <w:bottom w:val="nil"/>
              <w:right w:val="nil"/>
            </w:tcBorders>
            <w:shd w:val="clear" w:color="auto" w:fill="auto"/>
            <w:noWrap/>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Ireland</w:t>
            </w:r>
          </w:p>
        </w:tc>
        <w:tc>
          <w:tcPr>
            <w:tcW w:w="415" w:type="pct"/>
            <w:tcBorders>
              <w:top w:val="nil"/>
              <w:left w:val="nil"/>
              <w:bottom w:val="nil"/>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26</w:t>
            </w:r>
          </w:p>
        </w:tc>
        <w:tc>
          <w:tcPr>
            <w:tcW w:w="603"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Marandola et al (2020)</w:t>
            </w:r>
          </w:p>
        </w:tc>
        <w:tc>
          <w:tcPr>
            <w:tcW w:w="25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Applying behavioural insight to encourage consumer switching of financial products</w:t>
            </w:r>
          </w:p>
        </w:tc>
        <w:tc>
          <w:tcPr>
            <w:tcW w:w="552"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EC</w:t>
            </w:r>
          </w:p>
        </w:tc>
        <w:tc>
          <w:tcPr>
            <w:tcW w:w="5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Lab experiment</w:t>
            </w:r>
          </w:p>
        </w:tc>
        <w:tc>
          <w:tcPr>
            <w:tcW w:w="3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EU</w:t>
            </w:r>
          </w:p>
        </w:tc>
        <w:tc>
          <w:tcPr>
            <w:tcW w:w="415" w:type="pct"/>
            <w:tcBorders>
              <w:top w:val="nil"/>
              <w:left w:val="nil"/>
              <w:bottom w:val="single" w:sz="4" w:space="0" w:color="auto"/>
              <w:right w:val="nil"/>
            </w:tcBorders>
          </w:tcPr>
          <w:p w:rsidR="008B1B70" w:rsidRPr="00B6742E" w:rsidRDefault="003467B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Informational</w:t>
            </w: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27</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Archer et al</w:t>
            </w:r>
            <w:r>
              <w:rPr>
                <w:rFonts w:eastAsia="Times New Roman"/>
                <w:color w:val="000000"/>
                <w:sz w:val="16"/>
                <w:szCs w:val="16"/>
                <w:lang w:val="hu-HU" w:eastAsia="hu-HU"/>
              </w:rPr>
              <w:br/>
            </w:r>
            <w:r w:rsidRPr="00B6742E">
              <w:rPr>
                <w:rFonts w:eastAsia="Times New Roman"/>
                <w:color w:val="000000"/>
                <w:sz w:val="16"/>
                <w:szCs w:val="16"/>
                <w:lang w:val="hu-HU" w:eastAsia="hu-HU"/>
              </w:rPr>
              <w:t>(2014)</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Research with payday lending customers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CMA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Qualitative</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28</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Worton-Reynolds (2015)</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Cash Savings Remedies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Qualitative</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29</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B&amp;A</w:t>
            </w:r>
            <w:r>
              <w:rPr>
                <w:rFonts w:eastAsia="Times New Roman"/>
                <w:color w:val="000000"/>
                <w:sz w:val="16"/>
                <w:szCs w:val="16"/>
                <w:lang w:val="hu-HU" w:eastAsia="hu-HU"/>
              </w:rPr>
              <w:br/>
            </w:r>
            <w:r w:rsidRPr="00B6742E">
              <w:rPr>
                <w:rFonts w:eastAsia="Times New Roman"/>
                <w:color w:val="000000"/>
                <w:sz w:val="16"/>
                <w:szCs w:val="16"/>
                <w:lang w:val="hu-HU" w:eastAsia="hu-HU"/>
              </w:rPr>
              <w:t>(2016)</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Mortgage Holding &amp; Switching, Market Research Findings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CCPC</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Qualitative</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Ireland</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30</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Optimisa Research (2016)</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Informing the development of communication tools designed to increase consideration of switching among PCA and SME customers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CMA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Qualitative</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31</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Worton et al</w:t>
            </w:r>
            <w:r>
              <w:rPr>
                <w:rFonts w:eastAsia="Times New Roman"/>
                <w:color w:val="000000"/>
                <w:sz w:val="16"/>
                <w:szCs w:val="16"/>
                <w:lang w:val="hu-HU" w:eastAsia="hu-HU"/>
              </w:rPr>
              <w:br/>
            </w:r>
            <w:r w:rsidRPr="00B6742E">
              <w:rPr>
                <w:rFonts w:eastAsia="Times New Roman"/>
                <w:color w:val="000000"/>
                <w:sz w:val="16"/>
                <w:szCs w:val="16"/>
                <w:lang w:val="hu-HU" w:eastAsia="hu-HU"/>
              </w:rPr>
              <w:t>(2016)</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Cash Savings Switching Box</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Qualitative</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32</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Pr>
                <w:rFonts w:eastAsia="Times New Roman"/>
                <w:color w:val="000000"/>
                <w:sz w:val="16"/>
                <w:szCs w:val="16"/>
                <w:lang w:val="hu-HU" w:eastAsia="hu-HU"/>
              </w:rPr>
              <w:t xml:space="preserve">Central Bank of Ireland </w:t>
            </w:r>
            <w:r w:rsidRPr="00B6742E">
              <w:rPr>
                <w:rFonts w:eastAsia="Times New Roman"/>
                <w:color w:val="000000"/>
                <w:sz w:val="16"/>
                <w:szCs w:val="16"/>
                <w:lang w:val="hu-HU" w:eastAsia="hu-HU"/>
              </w:rPr>
              <w:t>(2017)</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Mortgage Switching Research</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CBI</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Qualitative</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Ireland</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33</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Collaborate Research (2017)</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Future personal current account prompts and alerts</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Qualitative</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p>
        </w:tc>
      </w:tr>
      <w:tr w:rsidR="008B1B70" w:rsidRPr="00B6742E" w:rsidTr="003467B0">
        <w:trPr>
          <w:trHeight w:val="454"/>
        </w:trPr>
        <w:tc>
          <w:tcPr>
            <w:tcW w:w="127"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34</w:t>
            </w:r>
          </w:p>
        </w:tc>
        <w:tc>
          <w:tcPr>
            <w:tcW w:w="603"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Decision Technology (2018)</w:t>
            </w:r>
          </w:p>
        </w:tc>
        <w:tc>
          <w:tcPr>
            <w:tcW w:w="2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 Prompts and Alerts Design: Behavioural Evidence</w:t>
            </w:r>
          </w:p>
        </w:tc>
        <w:tc>
          <w:tcPr>
            <w:tcW w:w="552"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Qualitative</w:t>
            </w:r>
          </w:p>
        </w:tc>
        <w:tc>
          <w:tcPr>
            <w:tcW w:w="301" w:type="pct"/>
            <w:tcBorders>
              <w:top w:val="nil"/>
              <w:left w:val="nil"/>
              <w:bottom w:val="nil"/>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nil"/>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p>
        </w:tc>
      </w:tr>
      <w:tr w:rsidR="008B1B70" w:rsidRPr="00B6742E" w:rsidTr="003467B0">
        <w:trPr>
          <w:trHeight w:val="454"/>
        </w:trPr>
        <w:tc>
          <w:tcPr>
            <w:tcW w:w="127"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35</w:t>
            </w:r>
          </w:p>
        </w:tc>
        <w:tc>
          <w:tcPr>
            <w:tcW w:w="603"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Savanta ComRes (2020)</w:t>
            </w:r>
          </w:p>
        </w:tc>
        <w:tc>
          <w:tcPr>
            <w:tcW w:w="25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Mortgage switching research</w:t>
            </w:r>
          </w:p>
        </w:tc>
        <w:tc>
          <w:tcPr>
            <w:tcW w:w="552"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FCA</w:t>
            </w:r>
          </w:p>
        </w:tc>
        <w:tc>
          <w:tcPr>
            <w:tcW w:w="5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Qualitative</w:t>
            </w:r>
          </w:p>
        </w:tc>
        <w:tc>
          <w:tcPr>
            <w:tcW w:w="301" w:type="pct"/>
            <w:tcBorders>
              <w:top w:val="nil"/>
              <w:left w:val="nil"/>
              <w:bottom w:val="single" w:sz="4" w:space="0" w:color="auto"/>
              <w:right w:val="nil"/>
            </w:tcBorders>
            <w:shd w:val="clear" w:color="auto" w:fill="auto"/>
            <w:noWrap/>
            <w:hideMark/>
          </w:tcPr>
          <w:p w:rsidR="008B1B70" w:rsidRPr="00B6742E" w:rsidRDefault="008B1B70" w:rsidP="00EC1995">
            <w:pPr>
              <w:spacing w:after="0" w:line="240" w:lineRule="auto"/>
              <w:jc w:val="left"/>
              <w:rPr>
                <w:rFonts w:eastAsia="Times New Roman"/>
                <w:color w:val="000000"/>
                <w:sz w:val="16"/>
                <w:szCs w:val="16"/>
                <w:lang w:val="hu-HU" w:eastAsia="hu-HU"/>
              </w:rPr>
            </w:pPr>
            <w:r w:rsidRPr="00B6742E">
              <w:rPr>
                <w:rFonts w:eastAsia="Times New Roman"/>
                <w:color w:val="000000"/>
                <w:sz w:val="16"/>
                <w:szCs w:val="16"/>
                <w:lang w:val="hu-HU" w:eastAsia="hu-HU"/>
              </w:rPr>
              <w:t>UK</w:t>
            </w:r>
          </w:p>
        </w:tc>
        <w:tc>
          <w:tcPr>
            <w:tcW w:w="415" w:type="pct"/>
            <w:tcBorders>
              <w:top w:val="nil"/>
              <w:left w:val="nil"/>
              <w:bottom w:val="single" w:sz="4" w:space="0" w:color="auto"/>
              <w:right w:val="nil"/>
            </w:tcBorders>
          </w:tcPr>
          <w:p w:rsidR="008B1B70" w:rsidRPr="00B6742E" w:rsidRDefault="008B1B70" w:rsidP="00EC1995">
            <w:pPr>
              <w:spacing w:after="0" w:line="240" w:lineRule="auto"/>
              <w:jc w:val="left"/>
              <w:rPr>
                <w:rFonts w:eastAsia="Times New Roman"/>
                <w:color w:val="000000"/>
                <w:sz w:val="16"/>
                <w:szCs w:val="16"/>
                <w:lang w:val="hu-HU" w:eastAsia="hu-HU"/>
              </w:rPr>
            </w:pPr>
          </w:p>
        </w:tc>
      </w:tr>
    </w:tbl>
    <w:p w:rsidR="007D7526" w:rsidRDefault="00982562" w:rsidP="00982562">
      <w:pPr>
        <w:jc w:val="left"/>
        <w:rPr>
          <w:sz w:val="16"/>
        </w:rPr>
      </w:pPr>
      <w:r>
        <w:rPr>
          <w:sz w:val="16"/>
        </w:rPr>
        <w:t>Abbreviations: BCFP – Bureau of Consumer Financial Protection; BIT – Behavioural Insights Team; CBI – Central Bank of Ireland; CCPC – Competition and Consumer Protection Commission; CMA – Competition and Markets Authority; EC – European Commission; FCA – Financial Conduct Authority; OFT – Office of Fair Trading</w:t>
      </w:r>
    </w:p>
    <w:p w:rsidR="00982562" w:rsidRPr="00982562" w:rsidRDefault="00982562" w:rsidP="00982562">
      <w:pPr>
        <w:jc w:val="left"/>
        <w:rPr>
          <w:sz w:val="16"/>
        </w:rPr>
        <w:sectPr w:rsidR="00982562" w:rsidRPr="00982562" w:rsidSect="00762F21">
          <w:pgSz w:w="16838" w:h="11906" w:orient="landscape"/>
          <w:pgMar w:top="1417" w:right="1417" w:bottom="1417" w:left="1417" w:header="708" w:footer="708" w:gutter="0"/>
          <w:cols w:space="708"/>
          <w:docGrid w:linePitch="360"/>
        </w:sectPr>
      </w:pPr>
    </w:p>
    <w:p w:rsidR="00762F21" w:rsidRPr="00FE0C36" w:rsidRDefault="007D7526" w:rsidP="00762F21">
      <w:pPr>
        <w:rPr>
          <w:b/>
          <w:sz w:val="20"/>
          <w:szCs w:val="20"/>
        </w:rPr>
      </w:pPr>
      <w:r w:rsidRPr="00FE0C36">
        <w:rPr>
          <w:b/>
          <w:sz w:val="20"/>
          <w:szCs w:val="20"/>
        </w:rPr>
        <w:lastRenderedPageBreak/>
        <w:t>Appendix B – Details of data extraction</w:t>
      </w:r>
    </w:p>
    <w:p w:rsidR="00082A0C" w:rsidRPr="00FE0C36" w:rsidRDefault="00082A0C" w:rsidP="00082A0C">
      <w:pPr>
        <w:rPr>
          <w:sz w:val="20"/>
          <w:szCs w:val="20"/>
        </w:rPr>
      </w:pPr>
      <w:r w:rsidRPr="00FE0C36">
        <w:rPr>
          <w:sz w:val="20"/>
          <w:szCs w:val="20"/>
        </w:rPr>
        <w:t xml:space="preserve">As mentioned in the main text of this paper, I record as a separate observation each estimated impact from the 26 quantitative studies for all interventions that met the definition of nudge. Most papers report their result as a percentage point change and </w:t>
      </w:r>
      <w:r w:rsidR="00982562">
        <w:rPr>
          <w:sz w:val="20"/>
          <w:szCs w:val="20"/>
        </w:rPr>
        <w:t>therefore I focus</w:t>
      </w:r>
      <w:r w:rsidRPr="00FE0C36">
        <w:rPr>
          <w:sz w:val="20"/>
          <w:szCs w:val="20"/>
        </w:rPr>
        <w:t xml:space="preserve"> on the</w:t>
      </w:r>
      <w:r w:rsidR="00982562">
        <w:rPr>
          <w:sz w:val="20"/>
          <w:szCs w:val="20"/>
        </w:rPr>
        <w:t>se measures. If a paper includes</w:t>
      </w:r>
      <w:r w:rsidRPr="00FE0C36">
        <w:rPr>
          <w:sz w:val="20"/>
          <w:szCs w:val="20"/>
        </w:rPr>
        <w:t xml:space="preserve"> percentage point estimates and als</w:t>
      </w:r>
      <w:r w:rsidR="00982562">
        <w:rPr>
          <w:sz w:val="20"/>
          <w:szCs w:val="20"/>
        </w:rPr>
        <w:t>o other results, I only record</w:t>
      </w:r>
      <w:r w:rsidRPr="00FE0C36">
        <w:rPr>
          <w:sz w:val="20"/>
          <w:szCs w:val="20"/>
        </w:rPr>
        <w:t xml:space="preserve"> the</w:t>
      </w:r>
      <w:r w:rsidR="00982562">
        <w:rPr>
          <w:sz w:val="20"/>
          <w:szCs w:val="20"/>
        </w:rPr>
        <w:t xml:space="preserve"> former. However, if a paper does</w:t>
      </w:r>
      <w:r w:rsidRPr="00FE0C36">
        <w:rPr>
          <w:sz w:val="20"/>
          <w:szCs w:val="20"/>
        </w:rPr>
        <w:t xml:space="preserve"> not include an estimate of the per</w:t>
      </w:r>
      <w:r w:rsidR="00982562">
        <w:rPr>
          <w:sz w:val="20"/>
          <w:szCs w:val="20"/>
        </w:rPr>
        <w:t>centage point impact, I record</w:t>
      </w:r>
      <w:r w:rsidRPr="00FE0C36">
        <w:rPr>
          <w:sz w:val="20"/>
          <w:szCs w:val="20"/>
        </w:rPr>
        <w:t xml:space="preserve"> the estimated impact and ad</w:t>
      </w:r>
      <w:r w:rsidR="00982562">
        <w:rPr>
          <w:sz w:val="20"/>
          <w:szCs w:val="20"/>
        </w:rPr>
        <w:t>d</w:t>
      </w:r>
      <w:r w:rsidRPr="00FE0C36">
        <w:rPr>
          <w:sz w:val="20"/>
          <w:szCs w:val="20"/>
        </w:rPr>
        <w:t xml:space="preserve"> an explanation of what it m</w:t>
      </w:r>
      <w:r w:rsidR="00982562">
        <w:rPr>
          <w:sz w:val="20"/>
          <w:szCs w:val="20"/>
        </w:rPr>
        <w:t>easures. A few of the papers do</w:t>
      </w:r>
      <w:r w:rsidRPr="00FE0C36">
        <w:rPr>
          <w:sz w:val="20"/>
          <w:szCs w:val="20"/>
        </w:rPr>
        <w:t xml:space="preserve"> not include a valid estimate (e.g. because the study was inconc</w:t>
      </w:r>
      <w:r w:rsidR="00982562">
        <w:rPr>
          <w:sz w:val="20"/>
          <w:szCs w:val="20"/>
        </w:rPr>
        <w:t>lusive). In these cases, I add</w:t>
      </w:r>
      <w:r w:rsidRPr="00FE0C36">
        <w:rPr>
          <w:sz w:val="20"/>
          <w:szCs w:val="20"/>
        </w:rPr>
        <w:t xml:space="preserve"> one observation per paper but with a missing value for the estimate. </w:t>
      </w:r>
    </w:p>
    <w:p w:rsidR="00082A0C" w:rsidRPr="00FE0C36" w:rsidRDefault="00082A0C" w:rsidP="00082A0C">
      <w:pPr>
        <w:rPr>
          <w:sz w:val="20"/>
          <w:szCs w:val="20"/>
        </w:rPr>
      </w:pPr>
      <w:r w:rsidRPr="00FE0C36">
        <w:rPr>
          <w:sz w:val="20"/>
          <w:szCs w:val="20"/>
        </w:rPr>
        <w:t>Note that the number of nudge interventions tested in these papers is much lower than the number of estimates recorded. This is primarily because many papers estimate the impact of the same nudge using different specifications (e.g. with or without control variables) and on different outcome measures (e.g. all switching and internal switching only).</w:t>
      </w:r>
    </w:p>
    <w:p w:rsidR="00082A0C" w:rsidRPr="00FE0C36" w:rsidRDefault="00EC1995" w:rsidP="00082A0C">
      <w:pPr>
        <w:rPr>
          <w:sz w:val="20"/>
          <w:szCs w:val="20"/>
        </w:rPr>
      </w:pPr>
      <w:r w:rsidRPr="00FE0C36">
        <w:rPr>
          <w:sz w:val="20"/>
          <w:szCs w:val="20"/>
        </w:rPr>
        <w:fldChar w:fldCharType="begin"/>
      </w:r>
      <w:r w:rsidRPr="00FE0C36">
        <w:rPr>
          <w:sz w:val="20"/>
          <w:szCs w:val="20"/>
        </w:rPr>
        <w:instrText xml:space="preserve"> REF _Ref103592986 \h </w:instrText>
      </w:r>
      <w:r w:rsidR="00FE0C36">
        <w:rPr>
          <w:sz w:val="20"/>
          <w:szCs w:val="20"/>
        </w:rPr>
        <w:instrText xml:space="preserve"> \* MERGEFORMAT </w:instrText>
      </w:r>
      <w:r w:rsidRPr="00FE0C36">
        <w:rPr>
          <w:sz w:val="20"/>
          <w:szCs w:val="20"/>
        </w:rPr>
      </w:r>
      <w:r w:rsidRPr="00FE0C36">
        <w:rPr>
          <w:sz w:val="20"/>
          <w:szCs w:val="20"/>
        </w:rPr>
        <w:fldChar w:fldCharType="separate"/>
      </w:r>
      <w:r w:rsidRPr="00FE0C36">
        <w:rPr>
          <w:sz w:val="20"/>
          <w:szCs w:val="20"/>
        </w:rPr>
        <w:t xml:space="preserve">Table </w:t>
      </w:r>
      <w:r w:rsidRPr="00FE0C36">
        <w:rPr>
          <w:noProof/>
          <w:sz w:val="20"/>
          <w:szCs w:val="20"/>
        </w:rPr>
        <w:t>2</w:t>
      </w:r>
      <w:r w:rsidRPr="00FE0C36">
        <w:rPr>
          <w:sz w:val="20"/>
          <w:szCs w:val="20"/>
        </w:rPr>
        <w:fldChar w:fldCharType="end"/>
      </w:r>
      <w:r w:rsidRPr="00FE0C36">
        <w:rPr>
          <w:sz w:val="20"/>
          <w:szCs w:val="20"/>
        </w:rPr>
        <w:t xml:space="preserve"> </w:t>
      </w:r>
      <w:r w:rsidR="00082A0C" w:rsidRPr="00FE0C36">
        <w:rPr>
          <w:sz w:val="20"/>
          <w:szCs w:val="20"/>
        </w:rPr>
        <w:t>shows the number of nudges and estimates by paper as recorded in the dataset. However, some of these estimates are not comparable for the following reasons:</w:t>
      </w:r>
    </w:p>
    <w:p w:rsidR="00082A0C" w:rsidRPr="00FE0C36" w:rsidRDefault="00082A0C" w:rsidP="00082A0C">
      <w:pPr>
        <w:pStyle w:val="Listaszerbekezds"/>
        <w:numPr>
          <w:ilvl w:val="0"/>
          <w:numId w:val="6"/>
        </w:numPr>
        <w:rPr>
          <w:sz w:val="20"/>
          <w:szCs w:val="20"/>
        </w:rPr>
      </w:pPr>
      <w:r w:rsidRPr="00FE0C36">
        <w:rPr>
          <w:sz w:val="20"/>
          <w:szCs w:val="20"/>
        </w:rPr>
        <w:t>They do not show a percentage point difference (e.g. instead, they show the change in the absolute number of products the consumer viewed);</w:t>
      </w:r>
    </w:p>
    <w:p w:rsidR="00082A0C" w:rsidRPr="00FE0C36" w:rsidRDefault="00082A0C" w:rsidP="00082A0C">
      <w:pPr>
        <w:pStyle w:val="Listaszerbekezds"/>
        <w:numPr>
          <w:ilvl w:val="0"/>
          <w:numId w:val="6"/>
        </w:numPr>
        <w:rPr>
          <w:sz w:val="20"/>
          <w:szCs w:val="20"/>
        </w:rPr>
      </w:pPr>
      <w:r w:rsidRPr="00FE0C36">
        <w:rPr>
          <w:sz w:val="20"/>
          <w:szCs w:val="20"/>
        </w:rPr>
        <w:t>The specification includes interaction terms with the treatment; or</w:t>
      </w:r>
    </w:p>
    <w:p w:rsidR="00082A0C" w:rsidRPr="00FE0C36" w:rsidRDefault="00082A0C" w:rsidP="00082A0C">
      <w:pPr>
        <w:pStyle w:val="Listaszerbekezds"/>
        <w:numPr>
          <w:ilvl w:val="0"/>
          <w:numId w:val="6"/>
        </w:numPr>
        <w:rPr>
          <w:sz w:val="20"/>
          <w:szCs w:val="20"/>
        </w:rPr>
      </w:pPr>
      <w:r w:rsidRPr="00FE0C36">
        <w:rPr>
          <w:sz w:val="20"/>
          <w:szCs w:val="20"/>
        </w:rPr>
        <w:t>They are already pooled results of other estimates.</w:t>
      </w:r>
    </w:p>
    <w:p w:rsidR="007D7526" w:rsidRPr="00FE0C36" w:rsidRDefault="00082A0C" w:rsidP="00082A0C">
      <w:pPr>
        <w:rPr>
          <w:sz w:val="20"/>
          <w:szCs w:val="20"/>
        </w:rPr>
      </w:pPr>
      <w:r w:rsidRPr="00FE0C36">
        <w:rPr>
          <w:sz w:val="20"/>
          <w:szCs w:val="20"/>
        </w:rPr>
        <w:t xml:space="preserve">Taking these out, I get a dataset of 476 comparable estimates that belong to 89 different nudges from 19 papers. </w:t>
      </w:r>
    </w:p>
    <w:p w:rsidR="00EC1995" w:rsidRDefault="00EC1995" w:rsidP="00082A0C">
      <w:pPr>
        <w:sectPr w:rsidR="00EC1995" w:rsidSect="007D7526">
          <w:pgSz w:w="11906" w:h="16838"/>
          <w:pgMar w:top="1417" w:right="1417" w:bottom="1417" w:left="1417" w:header="708" w:footer="708" w:gutter="0"/>
          <w:cols w:space="708"/>
          <w:docGrid w:linePitch="360"/>
        </w:sectPr>
      </w:pPr>
    </w:p>
    <w:p w:rsidR="00EC1995" w:rsidRPr="00EC1995" w:rsidRDefault="00EC1995" w:rsidP="00EC1995">
      <w:pPr>
        <w:pStyle w:val="Kpalrs"/>
        <w:rPr>
          <w:color w:val="auto"/>
          <w:sz w:val="20"/>
        </w:rPr>
      </w:pPr>
      <w:bookmarkStart w:id="2" w:name="_Ref103592986"/>
      <w:r w:rsidRPr="00EC1995">
        <w:rPr>
          <w:color w:val="auto"/>
          <w:sz w:val="20"/>
        </w:rPr>
        <w:lastRenderedPageBreak/>
        <w:t xml:space="preserve">Table </w:t>
      </w:r>
      <w:r w:rsidRPr="00EC1995">
        <w:rPr>
          <w:color w:val="auto"/>
          <w:sz w:val="20"/>
        </w:rPr>
        <w:fldChar w:fldCharType="begin"/>
      </w:r>
      <w:r w:rsidRPr="00EC1995">
        <w:rPr>
          <w:color w:val="auto"/>
          <w:sz w:val="20"/>
        </w:rPr>
        <w:instrText xml:space="preserve"> SEQ Table \* ARABIC </w:instrText>
      </w:r>
      <w:r w:rsidRPr="00EC1995">
        <w:rPr>
          <w:color w:val="auto"/>
          <w:sz w:val="20"/>
        </w:rPr>
        <w:fldChar w:fldCharType="separate"/>
      </w:r>
      <w:r w:rsidR="00B6399F">
        <w:rPr>
          <w:noProof/>
          <w:color w:val="auto"/>
          <w:sz w:val="20"/>
        </w:rPr>
        <w:t>2</w:t>
      </w:r>
      <w:r w:rsidRPr="00EC1995">
        <w:rPr>
          <w:color w:val="auto"/>
          <w:sz w:val="20"/>
        </w:rPr>
        <w:fldChar w:fldCharType="end"/>
      </w:r>
      <w:bookmarkEnd w:id="2"/>
      <w:r w:rsidRPr="00EC1995">
        <w:rPr>
          <w:color w:val="auto"/>
          <w:sz w:val="20"/>
        </w:rPr>
        <w:t>: Number of nudges and estimates by paper</w:t>
      </w:r>
    </w:p>
    <w:tbl>
      <w:tblPr>
        <w:tblW w:w="5000" w:type="pct"/>
        <w:tblCellMar>
          <w:left w:w="70" w:type="dxa"/>
          <w:right w:w="70" w:type="dxa"/>
        </w:tblCellMar>
        <w:tblLook w:val="04A0" w:firstRow="1" w:lastRow="0" w:firstColumn="1" w:lastColumn="0" w:noHBand="0" w:noVBand="1"/>
      </w:tblPr>
      <w:tblGrid>
        <w:gridCol w:w="2034"/>
        <w:gridCol w:w="1323"/>
        <w:gridCol w:w="1306"/>
        <w:gridCol w:w="1353"/>
        <w:gridCol w:w="1353"/>
        <w:gridCol w:w="1353"/>
        <w:gridCol w:w="1355"/>
        <w:gridCol w:w="1355"/>
        <w:gridCol w:w="1356"/>
        <w:gridCol w:w="1356"/>
      </w:tblGrid>
      <w:tr w:rsidR="00EC1995" w:rsidRPr="00F236C7" w:rsidTr="00EC1995">
        <w:trPr>
          <w:trHeight w:val="870"/>
        </w:trPr>
        <w:tc>
          <w:tcPr>
            <w:tcW w:w="508" w:type="pct"/>
            <w:tcBorders>
              <w:top w:val="single" w:sz="4" w:space="0" w:color="auto"/>
              <w:left w:val="nil"/>
              <w:bottom w:val="single" w:sz="4" w:space="0" w:color="auto"/>
              <w:right w:val="nil"/>
            </w:tcBorders>
            <w:shd w:val="clear" w:color="000000" w:fill="D9D9D9"/>
            <w:noWrap/>
            <w:vAlign w:val="center"/>
            <w:hideMark/>
          </w:tcPr>
          <w:p w:rsidR="00EC1995" w:rsidRPr="00F236C7" w:rsidRDefault="00EC1995" w:rsidP="00EC1995">
            <w:pPr>
              <w:spacing w:after="0" w:line="240" w:lineRule="auto"/>
              <w:jc w:val="left"/>
              <w:rPr>
                <w:rFonts w:eastAsia="Times New Roman"/>
                <w:b/>
                <w:bCs/>
                <w:color w:val="000000"/>
                <w:sz w:val="16"/>
                <w:szCs w:val="16"/>
                <w:lang w:val="hu-HU" w:eastAsia="hu-HU"/>
              </w:rPr>
            </w:pPr>
            <w:r w:rsidRPr="00F236C7">
              <w:rPr>
                <w:rFonts w:eastAsia="Times New Roman"/>
                <w:b/>
                <w:bCs/>
                <w:color w:val="000000"/>
                <w:sz w:val="16"/>
                <w:szCs w:val="16"/>
                <w:lang w:val="hu-HU" w:eastAsia="hu-HU"/>
              </w:rPr>
              <w:t>Paper</w:t>
            </w:r>
          </w:p>
        </w:tc>
        <w:tc>
          <w:tcPr>
            <w:tcW w:w="453" w:type="pct"/>
            <w:tcBorders>
              <w:top w:val="single" w:sz="4" w:space="0" w:color="auto"/>
              <w:left w:val="nil"/>
              <w:bottom w:val="single" w:sz="4" w:space="0" w:color="auto"/>
              <w:right w:val="single" w:sz="4" w:space="0" w:color="auto"/>
            </w:tcBorders>
            <w:shd w:val="clear" w:color="000000" w:fill="D9D9D9"/>
            <w:noWrap/>
            <w:vAlign w:val="center"/>
            <w:hideMark/>
          </w:tcPr>
          <w:p w:rsidR="00EC1995" w:rsidRPr="00F236C7" w:rsidRDefault="00EC1995" w:rsidP="00EC1995">
            <w:pPr>
              <w:spacing w:after="0" w:line="240" w:lineRule="auto"/>
              <w:jc w:val="left"/>
              <w:rPr>
                <w:rFonts w:eastAsia="Times New Roman"/>
                <w:b/>
                <w:bCs/>
                <w:color w:val="000000"/>
                <w:sz w:val="16"/>
                <w:szCs w:val="16"/>
                <w:lang w:val="hu-HU" w:eastAsia="hu-HU"/>
              </w:rPr>
            </w:pPr>
            <w:r w:rsidRPr="00F236C7">
              <w:rPr>
                <w:rFonts w:eastAsia="Times New Roman"/>
                <w:b/>
                <w:bCs/>
                <w:color w:val="000000"/>
                <w:sz w:val="16"/>
                <w:szCs w:val="16"/>
                <w:lang w:val="hu-HU" w:eastAsia="hu-HU"/>
              </w:rPr>
              <w:t>Design</w:t>
            </w:r>
          </w:p>
        </w:tc>
        <w:tc>
          <w:tcPr>
            <w:tcW w:w="479" w:type="pct"/>
            <w:tcBorders>
              <w:top w:val="single" w:sz="4" w:space="0" w:color="auto"/>
              <w:left w:val="nil"/>
              <w:bottom w:val="single" w:sz="4" w:space="0" w:color="auto"/>
              <w:right w:val="nil"/>
            </w:tcBorders>
            <w:shd w:val="clear" w:color="000000" w:fill="D9D9D9"/>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Number of nudges</w:t>
            </w:r>
          </w:p>
        </w:tc>
        <w:tc>
          <w:tcPr>
            <w:tcW w:w="479" w:type="pct"/>
            <w:tcBorders>
              <w:top w:val="single" w:sz="4" w:space="0" w:color="auto"/>
              <w:left w:val="nil"/>
              <w:bottom w:val="single" w:sz="4" w:space="0" w:color="auto"/>
              <w:right w:val="dotted" w:sz="4" w:space="0" w:color="auto"/>
            </w:tcBorders>
            <w:shd w:val="clear" w:color="000000" w:fill="D9D9D9"/>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Number of estimates</w:t>
            </w:r>
          </w:p>
        </w:tc>
        <w:tc>
          <w:tcPr>
            <w:tcW w:w="479" w:type="pct"/>
            <w:tcBorders>
              <w:top w:val="single" w:sz="4" w:space="0" w:color="auto"/>
              <w:left w:val="nil"/>
              <w:bottom w:val="single" w:sz="4" w:space="0" w:color="auto"/>
              <w:right w:val="nil"/>
            </w:tcBorders>
            <w:shd w:val="clear" w:color="000000" w:fill="D9D9D9"/>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Number of pooled estimates</w:t>
            </w:r>
          </w:p>
        </w:tc>
        <w:tc>
          <w:tcPr>
            <w:tcW w:w="479" w:type="pct"/>
            <w:tcBorders>
              <w:top w:val="single" w:sz="4" w:space="0" w:color="auto"/>
              <w:left w:val="nil"/>
              <w:bottom w:val="single" w:sz="4" w:space="0" w:color="auto"/>
              <w:right w:val="nil"/>
            </w:tcBorders>
            <w:shd w:val="clear" w:color="000000" w:fill="D9D9D9"/>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Number of estimates with interaction terms</w:t>
            </w:r>
          </w:p>
        </w:tc>
        <w:tc>
          <w:tcPr>
            <w:tcW w:w="480" w:type="pct"/>
            <w:tcBorders>
              <w:top w:val="single" w:sz="4" w:space="0" w:color="auto"/>
              <w:left w:val="nil"/>
              <w:bottom w:val="single" w:sz="4" w:space="0" w:color="auto"/>
              <w:right w:val="dotted" w:sz="4" w:space="0" w:color="auto"/>
            </w:tcBorders>
            <w:shd w:val="clear" w:color="000000" w:fill="D9D9D9"/>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Number of estimates not showing percentage point difference</w:t>
            </w:r>
          </w:p>
        </w:tc>
        <w:tc>
          <w:tcPr>
            <w:tcW w:w="480" w:type="pct"/>
            <w:tcBorders>
              <w:top w:val="single" w:sz="4" w:space="0" w:color="auto"/>
              <w:left w:val="nil"/>
              <w:bottom w:val="single" w:sz="4" w:space="0" w:color="auto"/>
              <w:right w:val="nil"/>
            </w:tcBorders>
            <w:shd w:val="clear" w:color="000000" w:fill="D9D9D9"/>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Number of comparable estimates</w:t>
            </w:r>
          </w:p>
        </w:tc>
        <w:tc>
          <w:tcPr>
            <w:tcW w:w="480" w:type="pct"/>
            <w:tcBorders>
              <w:top w:val="single" w:sz="4" w:space="0" w:color="auto"/>
              <w:left w:val="nil"/>
              <w:bottom w:val="single" w:sz="4" w:space="0" w:color="auto"/>
              <w:right w:val="nil"/>
            </w:tcBorders>
            <w:shd w:val="clear" w:color="000000" w:fill="D9D9D9"/>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Number of comparable nudges</w:t>
            </w:r>
          </w:p>
        </w:tc>
        <w:tc>
          <w:tcPr>
            <w:tcW w:w="480" w:type="pct"/>
            <w:tcBorders>
              <w:top w:val="single" w:sz="4" w:space="0" w:color="auto"/>
              <w:left w:val="nil"/>
              <w:bottom w:val="single" w:sz="4" w:space="0" w:color="auto"/>
              <w:right w:val="nil"/>
            </w:tcBorders>
            <w:shd w:val="clear" w:color="000000" w:fill="D9D9D9"/>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Comparable paper</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LECG (2008)</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Ex post analysis</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Bhattacharya et al (2012)</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Ex post analysis</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Hunt et al (2015)</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Ex post analysis</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35</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34</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Charles et al (2019)</w:t>
            </w:r>
          </w:p>
        </w:tc>
        <w:tc>
          <w:tcPr>
            <w:tcW w:w="453" w:type="pct"/>
            <w:tcBorders>
              <w:top w:val="nil"/>
              <w:left w:val="nil"/>
              <w:bottom w:val="single" w:sz="4" w:space="0" w:color="auto"/>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Ex post analysis</w:t>
            </w:r>
          </w:p>
        </w:tc>
        <w:tc>
          <w:tcPr>
            <w:tcW w:w="479"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79" w:type="pct"/>
            <w:tcBorders>
              <w:top w:val="nil"/>
              <w:left w:val="nil"/>
              <w:bottom w:val="single" w:sz="4" w:space="0" w:color="auto"/>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72</w:t>
            </w:r>
          </w:p>
        </w:tc>
        <w:tc>
          <w:tcPr>
            <w:tcW w:w="479"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single" w:sz="4" w:space="0" w:color="auto"/>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72</w:t>
            </w:r>
          </w:p>
        </w:tc>
        <w:tc>
          <w:tcPr>
            <w:tcW w:w="480"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80"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Kling et al (2012)</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Adams et al (2015a)</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6</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126</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36</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54</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36</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6</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Adams et al (2015b)</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8</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79</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16</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63</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8</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Keys et al (2016)</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Glazebrook et al (2017)</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7</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7</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Marzili Ericson et al (2017)</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108</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36</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90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Seira et al (2017)</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7</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42</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42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7</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Accent Research (2018)</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11</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22</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11</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Adams-Ernstsone (2018)</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5</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29</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29</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5</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BCFP (2018)</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Johnson et al (2019)</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Farghly et al (2020)</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4</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4</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Adams et al (2021)</w:t>
            </w:r>
          </w:p>
        </w:tc>
        <w:tc>
          <w:tcPr>
            <w:tcW w:w="453" w:type="pct"/>
            <w:tcBorders>
              <w:top w:val="nil"/>
              <w:left w:val="nil"/>
              <w:bottom w:val="single" w:sz="4" w:space="0" w:color="auto"/>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Field experiment</w:t>
            </w:r>
          </w:p>
        </w:tc>
        <w:tc>
          <w:tcPr>
            <w:tcW w:w="479"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12</w:t>
            </w:r>
          </w:p>
        </w:tc>
        <w:tc>
          <w:tcPr>
            <w:tcW w:w="479" w:type="pct"/>
            <w:tcBorders>
              <w:top w:val="nil"/>
              <w:left w:val="nil"/>
              <w:bottom w:val="single" w:sz="4" w:space="0" w:color="auto"/>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50</w:t>
            </w:r>
          </w:p>
        </w:tc>
        <w:tc>
          <w:tcPr>
            <w:tcW w:w="479"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19</w:t>
            </w:r>
          </w:p>
        </w:tc>
        <w:tc>
          <w:tcPr>
            <w:tcW w:w="479"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21</w:t>
            </w:r>
          </w:p>
        </w:tc>
        <w:tc>
          <w:tcPr>
            <w:tcW w:w="480" w:type="pct"/>
            <w:tcBorders>
              <w:top w:val="nil"/>
              <w:left w:val="nil"/>
              <w:bottom w:val="single" w:sz="4" w:space="0" w:color="auto"/>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23</w:t>
            </w:r>
          </w:p>
        </w:tc>
        <w:tc>
          <w:tcPr>
            <w:tcW w:w="480"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12</w:t>
            </w:r>
          </w:p>
        </w:tc>
        <w:tc>
          <w:tcPr>
            <w:tcW w:w="480" w:type="pct"/>
            <w:tcBorders>
              <w:top w:val="nil"/>
              <w:left w:val="nil"/>
              <w:bottom w:val="single" w:sz="4"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TNS (2012)</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Lab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4</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12</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Duke et al (2014)</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Lab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6</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Oxera-CESS (2016)</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Lab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5</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125</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60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65</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5</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Suter et al (2017)</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Lab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24</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8</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16</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BIT (2018)</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Lab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3</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Suter et al (2019)</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Lab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10</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28</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28</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Burke et al (2020)</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Lab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Timmons et al (2019)</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Lab experiment</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c>
          <w:tcPr>
            <w:tcW w:w="479"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r>
      <w:tr w:rsidR="00EC1995" w:rsidRPr="00F236C7" w:rsidTr="00EC1995">
        <w:trPr>
          <w:trHeight w:val="227"/>
        </w:trPr>
        <w:tc>
          <w:tcPr>
            <w:tcW w:w="508" w:type="pct"/>
            <w:tcBorders>
              <w:top w:val="nil"/>
              <w:left w:val="nil"/>
              <w:bottom w:val="single" w:sz="8" w:space="0" w:color="auto"/>
              <w:right w:val="nil"/>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Marandola et al (2020)</w:t>
            </w:r>
          </w:p>
        </w:tc>
        <w:tc>
          <w:tcPr>
            <w:tcW w:w="453" w:type="pct"/>
            <w:tcBorders>
              <w:top w:val="nil"/>
              <w:left w:val="nil"/>
              <w:bottom w:val="single" w:sz="8" w:space="0" w:color="auto"/>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color w:val="000000"/>
                <w:sz w:val="16"/>
                <w:szCs w:val="16"/>
                <w:lang w:val="hu-HU" w:eastAsia="hu-HU"/>
              </w:rPr>
            </w:pPr>
            <w:r w:rsidRPr="00F236C7">
              <w:rPr>
                <w:rFonts w:eastAsia="Times New Roman"/>
                <w:color w:val="000000"/>
                <w:sz w:val="16"/>
                <w:szCs w:val="16"/>
                <w:lang w:val="hu-HU" w:eastAsia="hu-HU"/>
              </w:rPr>
              <w:t>Lab experiment</w:t>
            </w:r>
          </w:p>
        </w:tc>
        <w:tc>
          <w:tcPr>
            <w:tcW w:w="479" w:type="pct"/>
            <w:tcBorders>
              <w:top w:val="nil"/>
              <w:left w:val="nil"/>
              <w:bottom w:val="single" w:sz="8"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6</w:t>
            </w:r>
          </w:p>
        </w:tc>
        <w:tc>
          <w:tcPr>
            <w:tcW w:w="479" w:type="pct"/>
            <w:tcBorders>
              <w:top w:val="nil"/>
              <w:left w:val="nil"/>
              <w:bottom w:val="single" w:sz="8" w:space="0" w:color="auto"/>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15</w:t>
            </w:r>
          </w:p>
        </w:tc>
        <w:tc>
          <w:tcPr>
            <w:tcW w:w="479" w:type="pct"/>
            <w:tcBorders>
              <w:top w:val="nil"/>
              <w:left w:val="nil"/>
              <w:bottom w:val="single" w:sz="8"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79" w:type="pct"/>
            <w:tcBorders>
              <w:top w:val="nil"/>
              <w:left w:val="nil"/>
              <w:bottom w:val="single" w:sz="8"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single" w:sz="8" w:space="0" w:color="auto"/>
              <w:right w:val="dotted" w:sz="4" w:space="0" w:color="auto"/>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0</w:t>
            </w:r>
          </w:p>
        </w:tc>
        <w:tc>
          <w:tcPr>
            <w:tcW w:w="480" w:type="pct"/>
            <w:tcBorders>
              <w:top w:val="nil"/>
              <w:left w:val="nil"/>
              <w:bottom w:val="single" w:sz="8"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15</w:t>
            </w:r>
          </w:p>
        </w:tc>
        <w:tc>
          <w:tcPr>
            <w:tcW w:w="480" w:type="pct"/>
            <w:tcBorders>
              <w:top w:val="nil"/>
              <w:left w:val="nil"/>
              <w:bottom w:val="single" w:sz="8"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6</w:t>
            </w:r>
          </w:p>
        </w:tc>
        <w:tc>
          <w:tcPr>
            <w:tcW w:w="480" w:type="pct"/>
            <w:tcBorders>
              <w:top w:val="nil"/>
              <w:left w:val="nil"/>
              <w:bottom w:val="single" w:sz="8" w:space="0" w:color="auto"/>
              <w:right w:val="nil"/>
            </w:tcBorders>
            <w:shd w:val="clear" w:color="auto" w:fill="auto"/>
            <w:noWrap/>
            <w:vAlign w:val="center"/>
            <w:hideMark/>
          </w:tcPr>
          <w:p w:rsidR="00EC1995" w:rsidRPr="00F236C7" w:rsidRDefault="00EC1995" w:rsidP="00EC1995">
            <w:pPr>
              <w:spacing w:after="0" w:line="240" w:lineRule="auto"/>
              <w:jc w:val="center"/>
              <w:rPr>
                <w:rFonts w:eastAsia="Times New Roman"/>
                <w:color w:val="000000"/>
                <w:sz w:val="16"/>
                <w:szCs w:val="16"/>
                <w:lang w:val="hu-HU" w:eastAsia="hu-HU"/>
              </w:rPr>
            </w:pPr>
            <w:r w:rsidRPr="00F236C7">
              <w:rPr>
                <w:rFonts w:eastAsia="Times New Roman"/>
                <w:color w:val="000000"/>
                <w:sz w:val="16"/>
                <w:szCs w:val="16"/>
                <w:lang w:val="hu-HU" w:eastAsia="hu-HU"/>
              </w:rPr>
              <w:t>1</w:t>
            </w:r>
          </w:p>
        </w:tc>
      </w:tr>
      <w:tr w:rsidR="00EC1995" w:rsidRPr="00F236C7" w:rsidTr="00EC1995">
        <w:trPr>
          <w:trHeight w:val="227"/>
        </w:trPr>
        <w:tc>
          <w:tcPr>
            <w:tcW w:w="508"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left"/>
              <w:rPr>
                <w:rFonts w:eastAsia="Times New Roman"/>
                <w:b/>
                <w:bCs/>
                <w:color w:val="000000"/>
                <w:sz w:val="16"/>
                <w:szCs w:val="16"/>
                <w:lang w:val="hu-HU" w:eastAsia="hu-HU"/>
              </w:rPr>
            </w:pPr>
            <w:r w:rsidRPr="00F236C7">
              <w:rPr>
                <w:rFonts w:eastAsia="Times New Roman"/>
                <w:b/>
                <w:bCs/>
                <w:color w:val="000000"/>
                <w:sz w:val="16"/>
                <w:szCs w:val="16"/>
                <w:lang w:val="hu-HU" w:eastAsia="hu-HU"/>
              </w:rPr>
              <w:t>Total:</w:t>
            </w:r>
          </w:p>
        </w:tc>
        <w:tc>
          <w:tcPr>
            <w:tcW w:w="453" w:type="pct"/>
            <w:tcBorders>
              <w:top w:val="nil"/>
              <w:left w:val="nil"/>
              <w:bottom w:val="nil"/>
              <w:right w:val="single" w:sz="4" w:space="0" w:color="auto"/>
            </w:tcBorders>
            <w:shd w:val="clear" w:color="auto" w:fill="auto"/>
            <w:noWrap/>
            <w:vAlign w:val="center"/>
            <w:hideMark/>
          </w:tcPr>
          <w:p w:rsidR="00EC1995" w:rsidRPr="00F236C7" w:rsidRDefault="00EC1995" w:rsidP="00EC1995">
            <w:pPr>
              <w:spacing w:after="0" w:line="240" w:lineRule="auto"/>
              <w:jc w:val="left"/>
              <w:rPr>
                <w:rFonts w:eastAsia="Times New Roman"/>
                <w:b/>
                <w:bCs/>
                <w:color w:val="000000"/>
                <w:sz w:val="16"/>
                <w:szCs w:val="16"/>
                <w:lang w:val="hu-HU" w:eastAsia="hu-HU"/>
              </w:rPr>
            </w:pPr>
            <w:r w:rsidRPr="00F236C7">
              <w:rPr>
                <w:rFonts w:eastAsia="Times New Roman"/>
                <w:b/>
                <w:bCs/>
                <w:color w:val="000000"/>
                <w:sz w:val="16"/>
                <w:szCs w:val="16"/>
                <w:lang w:val="hu-HU" w:eastAsia="hu-HU"/>
              </w:rPr>
              <w:t> </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102</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797</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99</w:t>
            </w:r>
          </w:p>
        </w:tc>
        <w:tc>
          <w:tcPr>
            <w:tcW w:w="479"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242</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23</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476</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89</w:t>
            </w:r>
          </w:p>
        </w:tc>
        <w:tc>
          <w:tcPr>
            <w:tcW w:w="480" w:type="pct"/>
            <w:tcBorders>
              <w:top w:val="nil"/>
              <w:left w:val="nil"/>
              <w:bottom w:val="nil"/>
              <w:right w:val="nil"/>
            </w:tcBorders>
            <w:shd w:val="clear" w:color="auto" w:fill="auto"/>
            <w:noWrap/>
            <w:vAlign w:val="center"/>
            <w:hideMark/>
          </w:tcPr>
          <w:p w:rsidR="00EC1995" w:rsidRPr="00F236C7" w:rsidRDefault="00EC1995" w:rsidP="00EC1995">
            <w:pPr>
              <w:spacing w:after="0" w:line="240" w:lineRule="auto"/>
              <w:jc w:val="center"/>
              <w:rPr>
                <w:rFonts w:eastAsia="Times New Roman"/>
                <w:b/>
                <w:bCs/>
                <w:color w:val="000000"/>
                <w:sz w:val="16"/>
                <w:szCs w:val="16"/>
                <w:lang w:val="hu-HU" w:eastAsia="hu-HU"/>
              </w:rPr>
            </w:pPr>
            <w:r w:rsidRPr="00F236C7">
              <w:rPr>
                <w:rFonts w:eastAsia="Times New Roman"/>
                <w:b/>
                <w:bCs/>
                <w:color w:val="000000"/>
                <w:sz w:val="16"/>
                <w:szCs w:val="16"/>
                <w:lang w:val="hu-HU" w:eastAsia="hu-HU"/>
              </w:rPr>
              <w:t>19</w:t>
            </w:r>
          </w:p>
        </w:tc>
      </w:tr>
    </w:tbl>
    <w:p w:rsidR="00BB5B1F" w:rsidRDefault="00BB5B1F" w:rsidP="00EC1995">
      <w:pPr>
        <w:sectPr w:rsidR="00BB5B1F" w:rsidSect="00EC1995">
          <w:pgSz w:w="16838" w:h="11906" w:orient="landscape"/>
          <w:pgMar w:top="1417" w:right="1417" w:bottom="1417" w:left="1417" w:header="708" w:footer="708" w:gutter="0"/>
          <w:cols w:space="708"/>
          <w:docGrid w:linePitch="360"/>
        </w:sectPr>
      </w:pPr>
    </w:p>
    <w:p w:rsidR="00EC1995" w:rsidRPr="00FE0C36" w:rsidRDefault="00BB5B1F" w:rsidP="00EC1995">
      <w:pPr>
        <w:rPr>
          <w:b/>
          <w:sz w:val="20"/>
        </w:rPr>
      </w:pPr>
      <w:r w:rsidRPr="00FE0C36">
        <w:rPr>
          <w:b/>
          <w:sz w:val="20"/>
        </w:rPr>
        <w:lastRenderedPageBreak/>
        <w:t xml:space="preserve">Appendix C – Nudge </w:t>
      </w:r>
      <w:r w:rsidR="00FC3249" w:rsidRPr="00FE0C36">
        <w:rPr>
          <w:b/>
          <w:sz w:val="20"/>
        </w:rPr>
        <w:t>categories</w:t>
      </w:r>
    </w:p>
    <w:p w:rsidR="00BB5B1F" w:rsidRPr="00FE0C36" w:rsidRDefault="00BB5B1F" w:rsidP="00BB5B1F">
      <w:pPr>
        <w:rPr>
          <w:sz w:val="20"/>
        </w:rPr>
      </w:pPr>
      <w:r w:rsidRPr="00FE0C36">
        <w:rPr>
          <w:sz w:val="20"/>
        </w:rPr>
        <w:t>This paper splits nudges in two broad categories: informational and structural.</w:t>
      </w:r>
    </w:p>
    <w:p w:rsidR="00BB5B1F" w:rsidRPr="00FE0C36" w:rsidRDefault="00BB5B1F" w:rsidP="00BB5B1F">
      <w:pPr>
        <w:rPr>
          <w:sz w:val="20"/>
        </w:rPr>
      </w:pPr>
      <w:r w:rsidRPr="00FE0C36">
        <w:rPr>
          <w:sz w:val="20"/>
        </w:rPr>
        <w:t>Informational nudges provide, simplify or highlight information, and include the following sub-categories:</w:t>
      </w:r>
    </w:p>
    <w:p w:rsidR="00BB5B1F" w:rsidRPr="00FE0C36" w:rsidRDefault="00BB5B1F" w:rsidP="00BB5B1F">
      <w:pPr>
        <w:pStyle w:val="Listaszerbekezds"/>
        <w:numPr>
          <w:ilvl w:val="0"/>
          <w:numId w:val="7"/>
        </w:numPr>
        <w:rPr>
          <w:sz w:val="20"/>
        </w:rPr>
      </w:pPr>
      <w:r w:rsidRPr="00FE0C36">
        <w:rPr>
          <w:sz w:val="20"/>
        </w:rPr>
        <w:t>Reminders: simply remind the consumer of an upcoming or a recent event, e.g. rate decrease on cash savings (Adams et al, 2015a) or annual renewal of insurance policy (Adams et al, 2015b).</w:t>
      </w:r>
    </w:p>
    <w:p w:rsidR="00BB5B1F" w:rsidRPr="00FE0C36" w:rsidRDefault="00BB5B1F" w:rsidP="00BB5B1F">
      <w:pPr>
        <w:pStyle w:val="Listaszerbekezds"/>
        <w:numPr>
          <w:ilvl w:val="0"/>
          <w:numId w:val="7"/>
        </w:numPr>
        <w:rPr>
          <w:sz w:val="20"/>
        </w:rPr>
      </w:pPr>
      <w:r w:rsidRPr="00FE0C36">
        <w:rPr>
          <w:sz w:val="20"/>
        </w:rPr>
        <w:t xml:space="preserve">Disclosures: general (non-personalised) information about the product or its features, including fee structure but excluding specific fees applied or actual fees paid by the consumer. </w:t>
      </w:r>
      <w:r w:rsidR="0044246A" w:rsidRPr="00FE0C36">
        <w:rPr>
          <w:sz w:val="20"/>
        </w:rPr>
        <w:t>Examples include</w:t>
      </w:r>
      <w:r w:rsidRPr="00FE0C36">
        <w:rPr>
          <w:sz w:val="20"/>
        </w:rPr>
        <w:t xml:space="preserve"> providing a standardise</w:t>
      </w:r>
      <w:r w:rsidR="00942055">
        <w:rPr>
          <w:sz w:val="20"/>
        </w:rPr>
        <w:t>d glossary (Adams et al, 2015b;</w:t>
      </w:r>
      <w:r w:rsidRPr="00FE0C36">
        <w:rPr>
          <w:sz w:val="20"/>
        </w:rPr>
        <w:t xml:space="preserve"> TNS, 2012) or displaying leaflets </w:t>
      </w:r>
      <w:r w:rsidR="009710AE" w:rsidRPr="00FE0C36">
        <w:rPr>
          <w:sz w:val="20"/>
        </w:rPr>
        <w:t>on information on extended warranties next to the primary product in store (LECG, 2008).</w:t>
      </w:r>
    </w:p>
    <w:p w:rsidR="00BB5B1F" w:rsidRPr="00FE0C36" w:rsidRDefault="00BB5B1F" w:rsidP="00BB5B1F">
      <w:pPr>
        <w:pStyle w:val="Listaszerbekezds"/>
        <w:numPr>
          <w:ilvl w:val="0"/>
          <w:numId w:val="7"/>
        </w:numPr>
        <w:rPr>
          <w:sz w:val="20"/>
        </w:rPr>
      </w:pPr>
      <w:r w:rsidRPr="00FE0C36">
        <w:rPr>
          <w:sz w:val="20"/>
        </w:rPr>
        <w:t>Simplifications: simplification of communication that may result in more succinct, shorter te</w:t>
      </w:r>
      <w:r w:rsidR="009710AE" w:rsidRPr="00FE0C36">
        <w:rPr>
          <w:sz w:val="20"/>
        </w:rPr>
        <w:t>xt or simpler language, e.g. by replacing the pack of documents pension-holders receive prior to retirement with a one</w:t>
      </w:r>
      <w:r w:rsidR="00942055">
        <w:rPr>
          <w:sz w:val="20"/>
        </w:rPr>
        <w:t>-</w:t>
      </w:r>
      <w:r w:rsidR="009710AE" w:rsidRPr="00FE0C36">
        <w:rPr>
          <w:sz w:val="20"/>
        </w:rPr>
        <w:t>pager containing key information and next steps (Glazebrook et al, 2017).</w:t>
      </w:r>
    </w:p>
    <w:p w:rsidR="00BB5B1F" w:rsidRPr="00FE0C36" w:rsidRDefault="00BB5B1F" w:rsidP="009710AE">
      <w:pPr>
        <w:pStyle w:val="Listaszerbekezds"/>
        <w:numPr>
          <w:ilvl w:val="0"/>
          <w:numId w:val="7"/>
        </w:numPr>
        <w:rPr>
          <w:sz w:val="20"/>
        </w:rPr>
      </w:pPr>
      <w:r w:rsidRPr="00FE0C36">
        <w:rPr>
          <w:sz w:val="20"/>
        </w:rPr>
        <w:t>Providing some information beyond the ones covered in previous categories, e.g.</w:t>
      </w:r>
      <w:r w:rsidR="009710AE" w:rsidRPr="00FE0C36">
        <w:rPr>
          <w:sz w:val="20"/>
        </w:rPr>
        <w:t xml:space="preserve"> </w:t>
      </w:r>
      <w:r w:rsidR="00942055">
        <w:rPr>
          <w:sz w:val="20"/>
        </w:rPr>
        <w:t xml:space="preserve">sending letters and emails that encourage consumers to visit the website where they can choose health insurance plans, to call the website’s call center to shop around and states that consumers can save money by switching </w:t>
      </w:r>
      <w:r w:rsidR="009710AE" w:rsidRPr="00FE0C36">
        <w:rPr>
          <w:sz w:val="20"/>
        </w:rPr>
        <w:t>(</w:t>
      </w:r>
      <w:r w:rsidR="00942055">
        <w:rPr>
          <w:sz w:val="20"/>
        </w:rPr>
        <w:t>Marzilli Ericson et al, 2017</w:t>
      </w:r>
      <w:r w:rsidR="009710AE" w:rsidRPr="00FE0C36">
        <w:rPr>
          <w:sz w:val="20"/>
        </w:rPr>
        <w:t>).</w:t>
      </w:r>
    </w:p>
    <w:p w:rsidR="0044246A" w:rsidRPr="00FE0C36" w:rsidRDefault="0044246A" w:rsidP="0044246A">
      <w:pPr>
        <w:pStyle w:val="Listaszerbekezds"/>
        <w:numPr>
          <w:ilvl w:val="0"/>
          <w:numId w:val="7"/>
        </w:numPr>
        <w:rPr>
          <w:sz w:val="20"/>
        </w:rPr>
      </w:pPr>
      <w:r w:rsidRPr="00FE0C36">
        <w:rPr>
          <w:sz w:val="20"/>
        </w:rPr>
        <w:t>Highlighting some information by changing its prominence, e.g. making the option of comparison visually less prominent than the first offer (Suter et al, 2017) or printing some information on orange paper (Glazebrook et al, 2017).</w:t>
      </w:r>
    </w:p>
    <w:p w:rsidR="0044246A" w:rsidRPr="00FE0C36" w:rsidRDefault="0044246A" w:rsidP="0044246A">
      <w:pPr>
        <w:rPr>
          <w:sz w:val="20"/>
        </w:rPr>
      </w:pPr>
      <w:r w:rsidRPr="00FE0C36">
        <w:rPr>
          <w:sz w:val="20"/>
        </w:rPr>
        <w:t>Many informational nudges include a call to action or a question, text encouraging consumers to shop around or to switch, information about the availability of independent advice, some estimate of potential savings or losses without shopping around or switching, or information about the process or the cost of search and switching.</w:t>
      </w:r>
    </w:p>
    <w:p w:rsidR="00873361" w:rsidRPr="00FE0C36" w:rsidRDefault="0073326D" w:rsidP="00BB5B1F">
      <w:pPr>
        <w:rPr>
          <w:sz w:val="20"/>
        </w:rPr>
      </w:pPr>
      <w:r w:rsidRPr="00FE0C36">
        <w:rPr>
          <w:sz w:val="20"/>
        </w:rPr>
        <w:t xml:space="preserve">Structural nudges change the choice architecture more profoundly, and include </w:t>
      </w:r>
      <w:r w:rsidR="00873361" w:rsidRPr="00FE0C36">
        <w:rPr>
          <w:sz w:val="20"/>
        </w:rPr>
        <w:t>the following sub-categories:</w:t>
      </w:r>
    </w:p>
    <w:p w:rsidR="00873361" w:rsidRPr="00FE0C36" w:rsidRDefault="00873361" w:rsidP="00873361">
      <w:pPr>
        <w:pStyle w:val="Listaszerbekezds"/>
        <w:numPr>
          <w:ilvl w:val="0"/>
          <w:numId w:val="8"/>
        </w:numPr>
        <w:rPr>
          <w:sz w:val="20"/>
        </w:rPr>
      </w:pPr>
      <w:r w:rsidRPr="00FE0C36">
        <w:rPr>
          <w:sz w:val="20"/>
        </w:rPr>
        <w:t xml:space="preserve">Increases in ease and convenience: </w:t>
      </w:r>
      <w:r w:rsidR="0073326D" w:rsidRPr="00FE0C36">
        <w:rPr>
          <w:sz w:val="20"/>
        </w:rPr>
        <w:t>nudges that</w:t>
      </w:r>
      <w:r w:rsidR="00BB5B1F" w:rsidRPr="00FE0C36">
        <w:rPr>
          <w:sz w:val="20"/>
        </w:rPr>
        <w:t xml:space="preserve"> make it easier for the consumer to switch or to search by removing some of the administrative burden of these</w:t>
      </w:r>
      <w:r w:rsidR="00BB1F35" w:rsidRPr="00FE0C36">
        <w:rPr>
          <w:sz w:val="20"/>
        </w:rPr>
        <w:t>, e.g. sending a letter with a tear-off return switching form pre-filled for a switch to the best internal rate and a prepaid, addressed envelope (Adams et al, 2021), or offering to book an appointment with an independent government-operated advisor (Pension Wise) when customers call their pension provider (Farghly et al, 2020)</w:t>
      </w:r>
      <w:r w:rsidR="00942055">
        <w:rPr>
          <w:sz w:val="20"/>
        </w:rPr>
        <w:t>.</w:t>
      </w:r>
    </w:p>
    <w:p w:rsidR="00873361" w:rsidRPr="00FE0C36" w:rsidRDefault="00BB1F35" w:rsidP="00873361">
      <w:pPr>
        <w:pStyle w:val="Listaszerbekezds"/>
        <w:numPr>
          <w:ilvl w:val="0"/>
          <w:numId w:val="8"/>
        </w:numPr>
        <w:rPr>
          <w:sz w:val="20"/>
        </w:rPr>
      </w:pPr>
      <w:r w:rsidRPr="00FE0C36">
        <w:rPr>
          <w:sz w:val="20"/>
        </w:rPr>
        <w:lastRenderedPageBreak/>
        <w:t>Changes to the structure of the decision-making environment</w:t>
      </w:r>
      <w:r w:rsidR="00873361" w:rsidRPr="00FE0C36">
        <w:rPr>
          <w:sz w:val="20"/>
        </w:rPr>
        <w:t>, such as introducing add-on insurance upfront vs. only at the point-of-sale (Duke et al, 2014)</w:t>
      </w:r>
      <w:r w:rsidRPr="00FE0C36">
        <w:rPr>
          <w:sz w:val="20"/>
        </w:rPr>
        <w:t xml:space="preserve"> or limiting the time available for the consumer to make a decision (Suter et al, 2017).</w:t>
      </w:r>
    </w:p>
    <w:p w:rsidR="001202B7" w:rsidRPr="00FE0C36" w:rsidRDefault="006200C4" w:rsidP="001202B7">
      <w:pPr>
        <w:rPr>
          <w:sz w:val="20"/>
        </w:rPr>
      </w:pPr>
      <w:r w:rsidRPr="00FE0C36">
        <w:rPr>
          <w:sz w:val="20"/>
        </w:rPr>
        <w:t xml:space="preserve">There is no generally accepted nudge categorisation in the literature. </w:t>
      </w:r>
      <w:r w:rsidR="001202B7" w:rsidRPr="00FE0C36">
        <w:rPr>
          <w:sz w:val="20"/>
        </w:rPr>
        <w:t>There are two existing meta-studies that compare the relative impact of different types of nudges. Given that each paper (including this) covers a different set of policy areas, nudge categories applied differ by study. There are, however, some results that appear consistent across these papers.</w:t>
      </w:r>
    </w:p>
    <w:p w:rsidR="001202B7" w:rsidRPr="00FE0C36" w:rsidRDefault="001202B7" w:rsidP="001202B7">
      <w:pPr>
        <w:rPr>
          <w:sz w:val="20"/>
        </w:rPr>
      </w:pPr>
      <w:r w:rsidRPr="00FE0C36">
        <w:rPr>
          <w:sz w:val="20"/>
        </w:rPr>
        <w:t>DellaVigna and Linos (2022) carried out a meta-analysis of 126 trials by two nudge units and 26 trials published in academic journals, comparing the average impact in the two sets.</w:t>
      </w:r>
      <w:r w:rsidR="00FE0C36" w:rsidRPr="00FE0C36">
        <w:rPr>
          <w:rStyle w:val="Lbjegyzet-hivatkozs"/>
          <w:sz w:val="20"/>
        </w:rPr>
        <w:footnoteReference w:id="2"/>
      </w:r>
      <w:r w:rsidRPr="00FE0C36">
        <w:rPr>
          <w:sz w:val="20"/>
        </w:rPr>
        <w:t xml:space="preserve"> They split nudges into the following categories: simplification, personal motivation, reminders and planning prompts, social cues, framing and formatting, and choice design. Choice design covers nudging people towards an active choice or making choices more salient</w:t>
      </w:r>
      <w:r w:rsidR="00942055">
        <w:rPr>
          <w:sz w:val="20"/>
        </w:rPr>
        <w:t xml:space="preserve"> but excludes defaults which are not covered in the study</w:t>
      </w:r>
      <w:r w:rsidRPr="00FE0C36">
        <w:rPr>
          <w:sz w:val="20"/>
        </w:rPr>
        <w:t xml:space="preserve">. They find that changes in choice design (such as prompting recipients to enrol into retirement savings plans, sign up for flu vaccinations or blood donation) have the highest impact. In addition, in the academic sample they also find that simplifications work well, and the example they give is providing pre-filled fields in tax returns. In my categorisation this would fall into the “increases in ease and convenience” category, which </w:t>
      </w:r>
      <w:r w:rsidR="00AD0739" w:rsidRPr="00FE0C36">
        <w:rPr>
          <w:sz w:val="20"/>
        </w:rPr>
        <w:t xml:space="preserve">is </w:t>
      </w:r>
      <w:r w:rsidRPr="00FE0C36">
        <w:rPr>
          <w:sz w:val="20"/>
        </w:rPr>
        <w:t xml:space="preserve">part of structural nudges that </w:t>
      </w:r>
      <w:r w:rsidR="00AD0739" w:rsidRPr="00FE0C36">
        <w:rPr>
          <w:sz w:val="20"/>
        </w:rPr>
        <w:t xml:space="preserve">indeed </w:t>
      </w:r>
      <w:r w:rsidRPr="00FE0C36">
        <w:rPr>
          <w:sz w:val="20"/>
        </w:rPr>
        <w:t>appear to have a larger impact.</w:t>
      </w:r>
    </w:p>
    <w:p w:rsidR="00B6399F" w:rsidRDefault="00AD0739" w:rsidP="00CD25AD">
      <w:pPr>
        <w:rPr>
          <w:sz w:val="20"/>
        </w:rPr>
      </w:pPr>
      <w:r w:rsidRPr="00FE0C36">
        <w:rPr>
          <w:sz w:val="20"/>
        </w:rPr>
        <w:t>Hummel and Maedche (2019) performed a quantitative review on nudging based on 100 papers from different research areas, including finance.</w:t>
      </w:r>
      <w:r w:rsidR="00FE0C36">
        <w:rPr>
          <w:rStyle w:val="Lbjegyzet-hivatkozs"/>
          <w:sz w:val="20"/>
        </w:rPr>
        <w:footnoteReference w:id="3"/>
      </w:r>
      <w:r w:rsidRPr="00FE0C36">
        <w:rPr>
          <w:sz w:val="20"/>
        </w:rPr>
        <w:t xml:space="preserve"> They</w:t>
      </w:r>
      <w:r w:rsidR="001202B7" w:rsidRPr="00FE0C36">
        <w:rPr>
          <w:sz w:val="20"/>
        </w:rPr>
        <w:t xml:space="preserve"> use the following nine groups: defaults, simplifications, social references, change effort, disclosures, warnings/graphics, pre-commitments, reminders, and implementation intentions, and find that defaults have larger median and average effect sizes than other categories. Consistently with my findings, they show that reminders and disclosures have small effects on average. However, contrary to my findings, their category of “change effort” which may correspond to the “increases in ease and convenience” category in my analysis only shows medium impact.</w:t>
      </w:r>
    </w:p>
    <w:p w:rsidR="00FE0C36" w:rsidRDefault="00FE0C36" w:rsidP="00CD25AD">
      <w:pPr>
        <w:rPr>
          <w:sz w:val="20"/>
        </w:rPr>
        <w:sectPr w:rsidR="00FE0C36" w:rsidSect="00BB5B1F">
          <w:pgSz w:w="11906" w:h="16838"/>
          <w:pgMar w:top="1417" w:right="1417" w:bottom="1417" w:left="1417" w:header="708" w:footer="708" w:gutter="0"/>
          <w:cols w:space="708"/>
          <w:docGrid w:linePitch="360"/>
        </w:sectPr>
      </w:pPr>
    </w:p>
    <w:p w:rsidR="00FE0C36" w:rsidRPr="00FE0C36" w:rsidRDefault="00FE0C36" w:rsidP="00CD25AD">
      <w:pPr>
        <w:rPr>
          <w:b/>
          <w:sz w:val="20"/>
        </w:rPr>
      </w:pPr>
      <w:r w:rsidRPr="00FE0C36">
        <w:rPr>
          <w:b/>
          <w:sz w:val="20"/>
        </w:rPr>
        <w:lastRenderedPageBreak/>
        <w:t>Appendix D – References for the 35 papers included in the review</w:t>
      </w:r>
    </w:p>
    <w:p w:rsidR="00FE0C36" w:rsidRPr="004341D7" w:rsidRDefault="00FE0C36" w:rsidP="004341D7">
      <w:pPr>
        <w:jc w:val="left"/>
        <w:rPr>
          <w:sz w:val="20"/>
        </w:rPr>
      </w:pPr>
      <w:r w:rsidRPr="004341D7">
        <w:rPr>
          <w:sz w:val="20"/>
        </w:rPr>
        <w:t xml:space="preserve">Accent Research, 2018, Personal and business current account prompt pilot findings. Report Prepared for The Financial Conduct Authority, available at: </w:t>
      </w:r>
      <w:hyperlink r:id="rId15" w:history="1">
        <w:r w:rsidRPr="004341D7">
          <w:rPr>
            <w:rStyle w:val="Hiperhivatkozs"/>
            <w:sz w:val="20"/>
          </w:rPr>
          <w:t>https://www.fca.org.uk/publication/research/personal-business-current-account-prompt-pilot-findings.pdf</w:t>
        </w:r>
      </w:hyperlink>
      <w:r w:rsidRPr="004341D7">
        <w:rPr>
          <w:sz w:val="20"/>
        </w:rPr>
        <w:t xml:space="preserve"> </w:t>
      </w:r>
    </w:p>
    <w:p w:rsidR="00FE0C36" w:rsidRPr="004341D7" w:rsidRDefault="00FE0C36" w:rsidP="004341D7">
      <w:pPr>
        <w:jc w:val="left"/>
        <w:rPr>
          <w:sz w:val="20"/>
        </w:rPr>
      </w:pPr>
      <w:r w:rsidRPr="004341D7">
        <w:rPr>
          <w:sz w:val="20"/>
        </w:rPr>
        <w:t>Adams, P. and Ernstsone, E., 2018, Testing retirement communications: Waking up to get wise, Financial Conduct Authority, Occasional Paper No. 38</w:t>
      </w:r>
    </w:p>
    <w:p w:rsidR="00FE0C36" w:rsidRPr="004341D7" w:rsidRDefault="00FE0C36" w:rsidP="004341D7">
      <w:pPr>
        <w:jc w:val="left"/>
        <w:rPr>
          <w:sz w:val="20"/>
        </w:rPr>
      </w:pPr>
      <w:r w:rsidRPr="004341D7">
        <w:rPr>
          <w:sz w:val="20"/>
        </w:rPr>
        <w:t>Adams, P., Hunt, S., Vale, L. and Zaliauskas, R., 2015, Stimulating interest: Reminding savers to act when rates decrease, Financial Conduct Authority, Occasional Paper No. 7</w:t>
      </w:r>
    </w:p>
    <w:p w:rsidR="00FE0C36" w:rsidRPr="004341D7" w:rsidRDefault="00FE0C36" w:rsidP="004341D7">
      <w:pPr>
        <w:jc w:val="left"/>
        <w:rPr>
          <w:sz w:val="20"/>
        </w:rPr>
      </w:pPr>
      <w:r w:rsidRPr="004341D7">
        <w:rPr>
          <w:sz w:val="20"/>
        </w:rPr>
        <w:t xml:space="preserve">Adams, P., Baker, R., Hunt, S., Kelly, D. and Nava, A., 2015, Encouraging consumers to act at renewal. Evidence from field trials in the home and motor insurance markets, Financial Conduct Authority, Occasional Paper No. 12 </w:t>
      </w:r>
    </w:p>
    <w:p w:rsidR="00FE0C36" w:rsidRPr="004341D7" w:rsidRDefault="00FE0C36" w:rsidP="004341D7">
      <w:pPr>
        <w:jc w:val="left"/>
        <w:rPr>
          <w:sz w:val="20"/>
        </w:rPr>
      </w:pPr>
      <w:r w:rsidRPr="004341D7">
        <w:rPr>
          <w:sz w:val="20"/>
        </w:rPr>
        <w:t xml:space="preserve">Adams, P., Hunt, S., Palmer, C. and Zaliauskas, R., 2021, Testing the effectiveness of consumer financial disclosure: Experimental evidence from savings accounts, </w:t>
      </w:r>
      <w:r w:rsidRPr="004341D7">
        <w:rPr>
          <w:i/>
          <w:sz w:val="20"/>
        </w:rPr>
        <w:t>Journal of Financial Economics</w:t>
      </w:r>
      <w:r w:rsidRPr="004341D7">
        <w:rPr>
          <w:sz w:val="20"/>
        </w:rPr>
        <w:t>, Vol. 141, No. 1, pp. 122-147</w:t>
      </w:r>
    </w:p>
    <w:p w:rsidR="00FE0C36" w:rsidRPr="004341D7" w:rsidRDefault="00FE0C36" w:rsidP="004341D7">
      <w:pPr>
        <w:jc w:val="left"/>
        <w:rPr>
          <w:sz w:val="20"/>
        </w:rPr>
      </w:pPr>
      <w:r w:rsidRPr="004341D7">
        <w:rPr>
          <w:sz w:val="20"/>
        </w:rPr>
        <w:t xml:space="preserve">Archer, J., Fu, E., Ohta, A. and Thomas, A., 2014, Research with Payday Lending Customers. Report prepared by TNS BMRB for the Competition &amp; Markets Authority, available at: </w:t>
      </w:r>
      <w:hyperlink r:id="rId16" w:history="1">
        <w:r w:rsidRPr="004341D7">
          <w:rPr>
            <w:rStyle w:val="Hiperhivatkozs"/>
            <w:sz w:val="20"/>
          </w:rPr>
          <w:t>https://assets.publishing.service.gov.uk/media/543560e440f0b6135800000b/TNS_BMRB_Survey_Report.pdf</w:t>
        </w:r>
      </w:hyperlink>
      <w:r w:rsidRPr="004341D7">
        <w:rPr>
          <w:sz w:val="20"/>
        </w:rPr>
        <w:t xml:space="preserve"> </w:t>
      </w:r>
    </w:p>
    <w:p w:rsidR="00FE0C36" w:rsidRPr="004341D7" w:rsidRDefault="00FE0C36" w:rsidP="004341D7">
      <w:pPr>
        <w:jc w:val="left"/>
        <w:rPr>
          <w:sz w:val="20"/>
        </w:rPr>
      </w:pPr>
      <w:r w:rsidRPr="004341D7">
        <w:rPr>
          <w:sz w:val="20"/>
        </w:rPr>
        <w:t>B&amp;A, 2016, Mortgage Holding &amp; Switching. Market Research Findings, Compe</w:t>
      </w:r>
      <w:r w:rsidR="004341D7">
        <w:rPr>
          <w:sz w:val="20"/>
        </w:rPr>
        <w:t>t</w:t>
      </w:r>
      <w:r w:rsidRPr="004341D7">
        <w:rPr>
          <w:sz w:val="20"/>
        </w:rPr>
        <w:t xml:space="preserve">ition and Consumer Protection Commission, available at: </w:t>
      </w:r>
      <w:hyperlink r:id="rId17" w:history="1">
        <w:r w:rsidRPr="004341D7">
          <w:rPr>
            <w:rStyle w:val="Hiperhivatkozs"/>
            <w:sz w:val="20"/>
          </w:rPr>
          <w:t>https://www.ccpc.ie/business/research/market-research/mortgage-holding-switching-2016/</w:t>
        </w:r>
      </w:hyperlink>
      <w:r w:rsidRPr="004341D7">
        <w:rPr>
          <w:sz w:val="20"/>
        </w:rPr>
        <w:t xml:space="preserve"> </w:t>
      </w:r>
    </w:p>
    <w:p w:rsidR="00FE0C36" w:rsidRPr="004341D7" w:rsidRDefault="00FE0C36" w:rsidP="004341D7">
      <w:pPr>
        <w:jc w:val="left"/>
        <w:rPr>
          <w:sz w:val="20"/>
        </w:rPr>
      </w:pPr>
      <w:r w:rsidRPr="004341D7">
        <w:rPr>
          <w:sz w:val="20"/>
        </w:rPr>
        <w:t xml:space="preserve">Bhattacharya, U., Hackethal, A., Kaesler, S., Loos, B. and Meyer, S., 2012, Is Unbiased Financial Advice to Retail Investors Sufficient? Answers from a Large Field Study, </w:t>
      </w:r>
      <w:r w:rsidRPr="004341D7">
        <w:rPr>
          <w:i/>
          <w:sz w:val="20"/>
        </w:rPr>
        <w:t>The Review of Financial Studies,</w:t>
      </w:r>
      <w:r w:rsidRPr="004341D7">
        <w:rPr>
          <w:sz w:val="20"/>
        </w:rPr>
        <w:t xml:space="preserve"> Vol. 25, No. 4, pp. 975-1032</w:t>
      </w:r>
    </w:p>
    <w:p w:rsidR="00FE0C36" w:rsidRPr="004341D7" w:rsidRDefault="00FE0C36" w:rsidP="004341D7">
      <w:pPr>
        <w:jc w:val="left"/>
        <w:rPr>
          <w:sz w:val="20"/>
        </w:rPr>
      </w:pPr>
      <w:r w:rsidRPr="004341D7">
        <w:rPr>
          <w:sz w:val="20"/>
        </w:rPr>
        <w:t xml:space="preserve">The Behavioural Insights Team (BIT), 2018, The impact of improved transparency of foreign money transfers for consumers and SMEs. Final report, available at: </w:t>
      </w:r>
      <w:hyperlink r:id="rId18" w:history="1">
        <w:r w:rsidRPr="004341D7">
          <w:rPr>
            <w:rStyle w:val="Hiperhivatkozs"/>
            <w:sz w:val="20"/>
          </w:rPr>
          <w:t>https://www.bi.team/wp-content/uploads/2018/03/The-impact-of-improved-transparency-on-foreign-money-transfers-for-consumers-and-SMEs_WEB.pdf</w:t>
        </w:r>
      </w:hyperlink>
      <w:r w:rsidRPr="004341D7">
        <w:rPr>
          <w:sz w:val="20"/>
        </w:rPr>
        <w:t xml:space="preserve"> </w:t>
      </w:r>
    </w:p>
    <w:p w:rsidR="00FE0C36" w:rsidRPr="004341D7" w:rsidRDefault="00FE0C36" w:rsidP="004341D7">
      <w:pPr>
        <w:jc w:val="left"/>
        <w:rPr>
          <w:sz w:val="20"/>
        </w:rPr>
      </w:pPr>
      <w:r w:rsidRPr="004341D7">
        <w:rPr>
          <w:sz w:val="20"/>
        </w:rPr>
        <w:t xml:space="preserve">Bureau of Consumer Financial Protection (BCFP), 2018, Know Before You Owe: Mortgage shopping study, available at: </w:t>
      </w:r>
      <w:hyperlink r:id="rId19" w:history="1">
        <w:r w:rsidRPr="004341D7">
          <w:rPr>
            <w:rStyle w:val="Hiperhivatkozs"/>
            <w:sz w:val="20"/>
          </w:rPr>
          <w:t>https://www.consumerfinance.gov/data-research/research-reports/know-before-you-owe-mortgage-shopping-study/</w:t>
        </w:r>
      </w:hyperlink>
      <w:r w:rsidRPr="004341D7">
        <w:rPr>
          <w:sz w:val="20"/>
        </w:rPr>
        <w:t xml:space="preserve"> </w:t>
      </w:r>
    </w:p>
    <w:p w:rsidR="00FE0C36" w:rsidRPr="004341D7" w:rsidRDefault="00FE0C36" w:rsidP="004341D7">
      <w:pPr>
        <w:jc w:val="left"/>
        <w:rPr>
          <w:sz w:val="20"/>
        </w:rPr>
      </w:pPr>
      <w:r w:rsidRPr="004341D7">
        <w:rPr>
          <w:sz w:val="20"/>
        </w:rPr>
        <w:t>Burke, C., Hayes, L., Ng, C. and Smart, L., 2020, Fair exchange: presenting foreign exchange quotes to improve consumer choice, Financial Conduct Authority, Occasional Paper No. 56</w:t>
      </w:r>
    </w:p>
    <w:p w:rsidR="00FE0C36" w:rsidRPr="004341D7" w:rsidRDefault="00FE0C36" w:rsidP="004341D7">
      <w:pPr>
        <w:jc w:val="left"/>
        <w:rPr>
          <w:sz w:val="20"/>
        </w:rPr>
      </w:pPr>
      <w:r w:rsidRPr="004341D7">
        <w:rPr>
          <w:sz w:val="20"/>
        </w:rPr>
        <w:lastRenderedPageBreak/>
        <w:t xml:space="preserve">Central Bank of Ireland, 2017, Mortgage Switching Research, available at: </w:t>
      </w:r>
      <w:hyperlink r:id="rId20" w:history="1">
        <w:r w:rsidRPr="004341D7">
          <w:rPr>
            <w:rStyle w:val="Hiperhivatkozs"/>
            <w:sz w:val="20"/>
          </w:rPr>
          <w:t>https://www.centralbank.ie/docs/default-source/publications/consumer-protection-research/mortgage-switching-research.pdf?sfvrsn=10</w:t>
        </w:r>
      </w:hyperlink>
      <w:r w:rsidRPr="004341D7">
        <w:rPr>
          <w:sz w:val="20"/>
        </w:rPr>
        <w:t xml:space="preserve"> </w:t>
      </w:r>
    </w:p>
    <w:p w:rsidR="00FE0C36" w:rsidRPr="004341D7" w:rsidRDefault="00FE0C36" w:rsidP="004341D7">
      <w:pPr>
        <w:jc w:val="left"/>
        <w:rPr>
          <w:sz w:val="20"/>
        </w:rPr>
      </w:pPr>
      <w:r w:rsidRPr="004341D7">
        <w:rPr>
          <w:sz w:val="20"/>
        </w:rPr>
        <w:t>Charles, L., Gaglani, A., Gilchrist, C., Goodier, S., Harrington-Clark, A., Sansoye, J., Scott, R. an Vass, L., 2019, Evaluation Paper 19/1: An evaluation of our general insurance renewal transparency intervention, Financial Conduct Authority</w:t>
      </w:r>
    </w:p>
    <w:p w:rsidR="00FE0C36" w:rsidRPr="004341D7" w:rsidRDefault="00FE0C36" w:rsidP="004341D7">
      <w:pPr>
        <w:jc w:val="left"/>
        <w:rPr>
          <w:rStyle w:val="Hiperhivatkozs"/>
          <w:sz w:val="20"/>
        </w:rPr>
      </w:pPr>
      <w:r w:rsidRPr="004341D7">
        <w:rPr>
          <w:sz w:val="20"/>
        </w:rPr>
        <w:t xml:space="preserve">Collaborate Research, 2017, Future personal current account prompts and alerts. Research report of qualitative research, Prepared for the Financial Conduct Authority, available at: </w:t>
      </w:r>
      <w:hyperlink r:id="rId21" w:history="1">
        <w:r w:rsidRPr="004341D7">
          <w:rPr>
            <w:rStyle w:val="Hiperhivatkozs"/>
            <w:sz w:val="20"/>
          </w:rPr>
          <w:t>https://www.fca.org.uk/publication/research/future-personal-current-account-prompts-and-alerts.pdf</w:t>
        </w:r>
      </w:hyperlink>
    </w:p>
    <w:p w:rsidR="00FE0C36" w:rsidRPr="004341D7" w:rsidRDefault="00FE0C36" w:rsidP="004341D7">
      <w:pPr>
        <w:jc w:val="left"/>
        <w:rPr>
          <w:sz w:val="20"/>
        </w:rPr>
      </w:pPr>
      <w:r w:rsidRPr="004341D7">
        <w:rPr>
          <w:sz w:val="20"/>
        </w:rPr>
        <w:t xml:space="preserve">Decision Technology, 2018, FCA Prompts and Alerts Design: Behavioural Evidence. Report prepared for the Financial Conduct Authority, available at: </w:t>
      </w:r>
      <w:hyperlink r:id="rId22" w:history="1">
        <w:r w:rsidRPr="004341D7">
          <w:rPr>
            <w:rStyle w:val="Hiperhivatkozs"/>
            <w:sz w:val="20"/>
          </w:rPr>
          <w:t>https://www.fca.org.uk/publication/research/fca-prompts-and-alerts-design-behavioural-evidence.pdf</w:t>
        </w:r>
      </w:hyperlink>
      <w:r w:rsidRPr="004341D7">
        <w:rPr>
          <w:sz w:val="20"/>
        </w:rPr>
        <w:t xml:space="preserve"> </w:t>
      </w:r>
    </w:p>
    <w:p w:rsidR="00FE0C36" w:rsidRPr="004341D7" w:rsidRDefault="00FE0C36" w:rsidP="004341D7">
      <w:pPr>
        <w:jc w:val="left"/>
        <w:rPr>
          <w:sz w:val="20"/>
        </w:rPr>
      </w:pPr>
      <w:r w:rsidRPr="004341D7">
        <w:rPr>
          <w:sz w:val="20"/>
        </w:rPr>
        <w:t xml:space="preserve">Duke, C., Huck, S., Lewis, M., Sinn, M., Wallace, B. and Ellison, G. (London Economics), 2014, Study into the sales of Add-on General Insurance Products: Experimental consumer research. A report for the Financial Conduct Authority, available at: </w:t>
      </w:r>
      <w:hyperlink r:id="rId23" w:history="1">
        <w:r w:rsidRPr="004341D7">
          <w:rPr>
            <w:rStyle w:val="Hiperhivatkozs"/>
            <w:sz w:val="20"/>
          </w:rPr>
          <w:t>https://www.fca.org.uk/publication/market-studies/gi-add-ons-experimental-consumer-research-report.pdf</w:t>
        </w:r>
      </w:hyperlink>
      <w:r w:rsidRPr="004341D7">
        <w:rPr>
          <w:sz w:val="20"/>
        </w:rPr>
        <w:t xml:space="preserve"> </w:t>
      </w:r>
    </w:p>
    <w:p w:rsidR="00FE0C36" w:rsidRPr="004341D7" w:rsidRDefault="00FE0C36" w:rsidP="004341D7">
      <w:pPr>
        <w:jc w:val="left"/>
        <w:rPr>
          <w:sz w:val="20"/>
        </w:rPr>
      </w:pPr>
      <w:r w:rsidRPr="004341D7">
        <w:rPr>
          <w:sz w:val="20"/>
        </w:rPr>
        <w:t xml:space="preserve">Farghly, F., Milward, J., Holt, M., Solomon, P. and Sandbrook, W., 2020, The Stronger Nudge, Money &amp; Pensions Service and The Behavioural Insights Team, available at: </w:t>
      </w:r>
      <w:hyperlink r:id="rId24" w:history="1">
        <w:r w:rsidRPr="004341D7">
          <w:rPr>
            <w:rStyle w:val="Hiperhivatkozs"/>
            <w:sz w:val="20"/>
          </w:rPr>
          <w:t>https://www.bi.team/publications/the-stronger-nudge/</w:t>
        </w:r>
      </w:hyperlink>
      <w:r w:rsidRPr="004341D7">
        <w:rPr>
          <w:sz w:val="20"/>
        </w:rPr>
        <w:t xml:space="preserve"> </w:t>
      </w:r>
    </w:p>
    <w:p w:rsidR="00FE0C36" w:rsidRPr="004341D7" w:rsidRDefault="00FE0C36" w:rsidP="004341D7">
      <w:pPr>
        <w:jc w:val="left"/>
        <w:rPr>
          <w:sz w:val="20"/>
        </w:rPr>
      </w:pPr>
      <w:r w:rsidRPr="004341D7">
        <w:rPr>
          <w:sz w:val="20"/>
        </w:rPr>
        <w:t>Glazebrook, K., Larkin, C. and Costa, E., 2017, Improving engagement with pension decisions: The results from three randomised controlled trials, The Behavioural Insights Team</w:t>
      </w:r>
    </w:p>
    <w:p w:rsidR="00FE0C36" w:rsidRPr="004341D7" w:rsidRDefault="00FE0C36" w:rsidP="004341D7">
      <w:pPr>
        <w:jc w:val="left"/>
        <w:rPr>
          <w:sz w:val="20"/>
        </w:rPr>
      </w:pPr>
      <w:r w:rsidRPr="004341D7">
        <w:rPr>
          <w:sz w:val="20"/>
        </w:rPr>
        <w:t>Hunt, S., Kelly, D. and Garavito, F., 2015, Message received? The impact of annual summaries, text alerts and mobile apps on consumer banking behaviour, Financial Conduct Authority, Occasional Paper No. 10.</w:t>
      </w:r>
    </w:p>
    <w:p w:rsidR="00FE0C36" w:rsidRPr="004341D7" w:rsidRDefault="00FE0C36" w:rsidP="004341D7">
      <w:pPr>
        <w:jc w:val="left"/>
        <w:rPr>
          <w:sz w:val="20"/>
        </w:rPr>
      </w:pPr>
      <w:r w:rsidRPr="004341D7">
        <w:rPr>
          <w:sz w:val="20"/>
        </w:rPr>
        <w:t xml:space="preserve">Johnson, E. J., Meier, S. and Toubia, O., 2019, What’s the catch? Suspicion of bank motives and sluggish refinancing, </w:t>
      </w:r>
      <w:r w:rsidRPr="004341D7">
        <w:rPr>
          <w:i/>
          <w:sz w:val="20"/>
        </w:rPr>
        <w:t>The Review of Financial Studies,</w:t>
      </w:r>
      <w:r w:rsidRPr="004341D7">
        <w:rPr>
          <w:sz w:val="20"/>
        </w:rPr>
        <w:t xml:space="preserve"> Vol. 32, No. 2, pp. 467-495</w:t>
      </w:r>
    </w:p>
    <w:p w:rsidR="004341D7" w:rsidRPr="004341D7" w:rsidRDefault="004341D7" w:rsidP="004341D7">
      <w:pPr>
        <w:jc w:val="left"/>
        <w:rPr>
          <w:sz w:val="20"/>
        </w:rPr>
      </w:pPr>
      <w:r w:rsidRPr="004341D7">
        <w:rPr>
          <w:sz w:val="20"/>
        </w:rPr>
        <w:t xml:space="preserve">Keys, B.J., Pope, D.G. and Pope, J.C., 2016, Failure to refinance, </w:t>
      </w:r>
      <w:r w:rsidRPr="004341D7">
        <w:rPr>
          <w:i/>
          <w:sz w:val="20"/>
        </w:rPr>
        <w:t>Journal of Financial Economics,</w:t>
      </w:r>
      <w:r w:rsidRPr="004341D7">
        <w:rPr>
          <w:sz w:val="20"/>
        </w:rPr>
        <w:t xml:space="preserve"> Vol. 122, No. 3, pp. 482-499</w:t>
      </w:r>
    </w:p>
    <w:p w:rsidR="004341D7" w:rsidRPr="004341D7" w:rsidRDefault="004341D7" w:rsidP="004341D7">
      <w:pPr>
        <w:jc w:val="left"/>
        <w:rPr>
          <w:sz w:val="20"/>
        </w:rPr>
      </w:pPr>
      <w:r w:rsidRPr="004341D7">
        <w:rPr>
          <w:sz w:val="20"/>
        </w:rPr>
        <w:t xml:space="preserve">Kling, J. R., Mullainathan, S., Shafir, E., Vermeulen, L. C. and Wrobel, M. V.,  2012, Comparison friction: Experimental evidence from Medicare drug plans, </w:t>
      </w:r>
      <w:r w:rsidRPr="004341D7">
        <w:rPr>
          <w:i/>
          <w:sz w:val="20"/>
        </w:rPr>
        <w:t>The quarterly journal of economics</w:t>
      </w:r>
      <w:r w:rsidRPr="004341D7">
        <w:rPr>
          <w:sz w:val="20"/>
        </w:rPr>
        <w:t>, Vol. 127, No. 1, pp. 199-235</w:t>
      </w:r>
    </w:p>
    <w:p w:rsidR="004341D7" w:rsidRPr="004341D7" w:rsidRDefault="004341D7" w:rsidP="004341D7">
      <w:pPr>
        <w:jc w:val="left"/>
        <w:rPr>
          <w:sz w:val="20"/>
        </w:rPr>
      </w:pPr>
      <w:r w:rsidRPr="004341D7">
        <w:rPr>
          <w:sz w:val="20"/>
        </w:rPr>
        <w:t>LECG, 2008, Evaluating the impact of the Supply of Extended Warranties on Domestic Electrical Goods Order 2005, Office of Fair Trading, OFT1024</w:t>
      </w:r>
    </w:p>
    <w:p w:rsidR="004341D7" w:rsidRPr="004341D7" w:rsidRDefault="004341D7" w:rsidP="004341D7">
      <w:pPr>
        <w:jc w:val="left"/>
        <w:rPr>
          <w:sz w:val="20"/>
        </w:rPr>
      </w:pPr>
      <w:r w:rsidRPr="004341D7">
        <w:rPr>
          <w:sz w:val="20"/>
        </w:rPr>
        <w:lastRenderedPageBreak/>
        <w:t xml:space="preserve">Marandola, G., Proestakis, A., Lourenço, J.S. and van Bavel, R., 2020, Applying behavioural insight to encourage consumer switching of financial products, European Commission, Directorate-General for Financial Stability, Financial Services and Capital Markets Union, available at: </w:t>
      </w:r>
      <w:hyperlink r:id="rId25" w:history="1">
        <w:r w:rsidRPr="004341D7">
          <w:rPr>
            <w:rStyle w:val="Hiperhivatkozs"/>
            <w:sz w:val="20"/>
          </w:rPr>
          <w:t>https://op.europa.eu/en/publication-detail/-/publication/f96b4696-255f-11eb-9d7e-01aa75ed71a1</w:t>
        </w:r>
      </w:hyperlink>
      <w:r w:rsidRPr="004341D7">
        <w:rPr>
          <w:sz w:val="20"/>
        </w:rPr>
        <w:t xml:space="preserve"> </w:t>
      </w:r>
    </w:p>
    <w:p w:rsidR="004341D7" w:rsidRPr="004341D7" w:rsidRDefault="004341D7" w:rsidP="004341D7">
      <w:pPr>
        <w:jc w:val="left"/>
        <w:rPr>
          <w:sz w:val="20"/>
        </w:rPr>
      </w:pPr>
      <w:r w:rsidRPr="004341D7">
        <w:rPr>
          <w:sz w:val="20"/>
        </w:rPr>
        <w:t xml:space="preserve">Marzilli Ericson, K. M., Kingsdale, J., Layton, T. and Sacarny, A., 2017, Nudging leads consumers in Colorado to shop but not switch ACA marketplace plans, </w:t>
      </w:r>
      <w:r w:rsidRPr="004341D7">
        <w:rPr>
          <w:i/>
          <w:sz w:val="20"/>
        </w:rPr>
        <w:t>Health Affairs,</w:t>
      </w:r>
      <w:r w:rsidRPr="004341D7">
        <w:rPr>
          <w:sz w:val="20"/>
        </w:rPr>
        <w:t xml:space="preserve"> Vol. 36, No. 2, pp. 311-319</w:t>
      </w:r>
    </w:p>
    <w:p w:rsidR="004341D7" w:rsidRPr="004341D7" w:rsidRDefault="004341D7" w:rsidP="004341D7">
      <w:pPr>
        <w:jc w:val="left"/>
        <w:rPr>
          <w:sz w:val="20"/>
        </w:rPr>
      </w:pPr>
      <w:r w:rsidRPr="004341D7">
        <w:rPr>
          <w:sz w:val="20"/>
        </w:rPr>
        <w:t xml:space="preserve">Optimisa Research, 2016, Informing the development of communication tools designed to increase consideration of switching among PCA and SME customers. Research Report, Prepared for The Competition &amp; Markets Authority, available at: </w:t>
      </w:r>
      <w:hyperlink r:id="rId26" w:history="1">
        <w:r w:rsidRPr="004341D7">
          <w:rPr>
            <w:rStyle w:val="Hiperhivatkozs"/>
            <w:sz w:val="20"/>
          </w:rPr>
          <w:t>https://assets.publishing.service.gov.uk/media/56dd710ded915d0376000008/Qualitative_report_of_findings_prepared_by_Optimisa.pdf</w:t>
        </w:r>
      </w:hyperlink>
      <w:r w:rsidRPr="004341D7">
        <w:rPr>
          <w:sz w:val="20"/>
        </w:rPr>
        <w:t xml:space="preserve"> </w:t>
      </w:r>
    </w:p>
    <w:p w:rsidR="004341D7" w:rsidRPr="004341D7" w:rsidRDefault="004341D7" w:rsidP="004341D7">
      <w:pPr>
        <w:jc w:val="left"/>
        <w:rPr>
          <w:sz w:val="20"/>
        </w:rPr>
      </w:pPr>
      <w:r w:rsidRPr="004341D7">
        <w:rPr>
          <w:sz w:val="20"/>
        </w:rPr>
        <w:t xml:space="preserve">Oxera and the Nuffield Centre for Experimental Social Sciences, 2016, Increasing consumer engagement in the annuities market: can prompts raise shopping around?, Prepared for the Financial Conduct Authority, available at: </w:t>
      </w:r>
      <w:hyperlink r:id="rId27" w:history="1">
        <w:r w:rsidRPr="004341D7">
          <w:rPr>
            <w:rStyle w:val="Hiperhivatkozs"/>
            <w:sz w:val="20"/>
          </w:rPr>
          <w:t>https://www.fca.org.uk/publication/research/consumer%20engagement%20in%20annuities%20market.pdf</w:t>
        </w:r>
      </w:hyperlink>
      <w:r w:rsidRPr="004341D7">
        <w:rPr>
          <w:sz w:val="20"/>
        </w:rPr>
        <w:t xml:space="preserve"> </w:t>
      </w:r>
    </w:p>
    <w:p w:rsidR="004341D7" w:rsidRPr="004341D7" w:rsidRDefault="004341D7" w:rsidP="004341D7">
      <w:pPr>
        <w:jc w:val="left"/>
        <w:rPr>
          <w:sz w:val="20"/>
        </w:rPr>
      </w:pPr>
      <w:r w:rsidRPr="004341D7">
        <w:rPr>
          <w:sz w:val="20"/>
        </w:rPr>
        <w:t xml:space="preserve">Savanta: ComRes, 2020, Mortgage switching research, Financial Conduct Authority, available at: </w:t>
      </w:r>
      <w:hyperlink r:id="rId28" w:history="1">
        <w:r w:rsidRPr="004341D7">
          <w:rPr>
            <w:rStyle w:val="Hiperhivatkozs"/>
            <w:sz w:val="20"/>
          </w:rPr>
          <w:t>https://www.fca.org.uk/publication/research/mortgage-switching-research.pdf</w:t>
        </w:r>
      </w:hyperlink>
      <w:r w:rsidRPr="004341D7">
        <w:rPr>
          <w:sz w:val="20"/>
        </w:rPr>
        <w:t xml:space="preserve"> </w:t>
      </w:r>
    </w:p>
    <w:p w:rsidR="004341D7" w:rsidRPr="004341D7" w:rsidRDefault="004341D7" w:rsidP="004341D7">
      <w:pPr>
        <w:jc w:val="left"/>
        <w:rPr>
          <w:sz w:val="20"/>
        </w:rPr>
      </w:pPr>
      <w:r w:rsidRPr="004341D7">
        <w:rPr>
          <w:sz w:val="20"/>
        </w:rPr>
        <w:t xml:space="preserve">Seira, E., Elizondo, A. and Laguna-Müggenburg, E., 2017, Are Information Disclosures Effective? Evidence from the Credit Card Market, </w:t>
      </w:r>
      <w:r w:rsidRPr="004341D7">
        <w:rPr>
          <w:i/>
          <w:sz w:val="20"/>
        </w:rPr>
        <w:t>American Economic Journal: Economic Policy</w:t>
      </w:r>
      <w:r w:rsidRPr="004341D7">
        <w:rPr>
          <w:sz w:val="20"/>
        </w:rPr>
        <w:t>, Vol. 9, No. 1, pp. 277-307</w:t>
      </w:r>
    </w:p>
    <w:p w:rsidR="004341D7" w:rsidRPr="004341D7" w:rsidRDefault="004341D7" w:rsidP="004341D7">
      <w:pPr>
        <w:jc w:val="left"/>
        <w:rPr>
          <w:sz w:val="20"/>
        </w:rPr>
      </w:pPr>
      <w:r w:rsidRPr="004341D7">
        <w:rPr>
          <w:sz w:val="20"/>
        </w:rPr>
        <w:t xml:space="preserve">Suter, J., Duke, C., Harms, A., Joshi, A., Rzepecka, J., Lechardoy, L., Hausemer, P., Wilhelm, C., Dekeulenaer, F. and Lucica, E. (London Economics, Ipsos and VVA Europe), 2017, Study on consumers’ decision making in insurance services: a behavioural economics perspective. Final report, available at: </w:t>
      </w:r>
      <w:hyperlink r:id="rId29" w:history="1">
        <w:r w:rsidRPr="004341D7">
          <w:rPr>
            <w:rStyle w:val="Hiperhivatkozs"/>
            <w:sz w:val="20"/>
          </w:rPr>
          <w:t>https://op.europa.eu/en/publication-detail/-/publication/b86d7f2d-9e77-11e7-b92d-01aa75ed71a1/language-en/format-PDF/source-search</w:t>
        </w:r>
      </w:hyperlink>
      <w:r w:rsidRPr="004341D7">
        <w:rPr>
          <w:sz w:val="20"/>
        </w:rPr>
        <w:t xml:space="preserve"> </w:t>
      </w:r>
    </w:p>
    <w:p w:rsidR="004341D7" w:rsidRPr="004341D7" w:rsidRDefault="004341D7" w:rsidP="004341D7">
      <w:pPr>
        <w:jc w:val="left"/>
        <w:rPr>
          <w:sz w:val="20"/>
        </w:rPr>
      </w:pPr>
      <w:r w:rsidRPr="004341D7">
        <w:rPr>
          <w:sz w:val="20"/>
        </w:rPr>
        <w:t xml:space="preserve">Suter, J., Landzaat, W., Natriaj, A., Lykogianni, E., Nunu, M., Rodriguez, A. E., Procee, R., Dekeulenaer, F., Esser, A., Kettner, S. E., Thorun, C., Diels, J., Jacobs, E. and Boura, M. P. (LE Europe, VVA Europe, Ipsos NV, ConPolicy and Time.lex), 2019, Behavioural study on the digitalisation of the marketing and distance selling of retail financial services. Final report, European Commission, available at: </w:t>
      </w:r>
      <w:hyperlink r:id="rId30" w:history="1">
        <w:r w:rsidRPr="004341D7">
          <w:rPr>
            <w:rStyle w:val="Hiperhivatkozs"/>
            <w:sz w:val="20"/>
          </w:rPr>
          <w:t>https://ec.europa.eu/info/sites/info/files/live_work_travel_in_the_eu/consumers/digitalisation_of_financial_services_-_main_report.pdf</w:t>
        </w:r>
      </w:hyperlink>
      <w:r w:rsidRPr="004341D7">
        <w:rPr>
          <w:sz w:val="20"/>
        </w:rPr>
        <w:t xml:space="preserve"> </w:t>
      </w:r>
    </w:p>
    <w:p w:rsidR="004341D7" w:rsidRPr="004341D7" w:rsidRDefault="004341D7" w:rsidP="004341D7">
      <w:pPr>
        <w:jc w:val="left"/>
        <w:rPr>
          <w:sz w:val="20"/>
        </w:rPr>
      </w:pPr>
      <w:r w:rsidRPr="004341D7">
        <w:rPr>
          <w:sz w:val="20"/>
        </w:rPr>
        <w:t xml:space="preserve">Timmons, S., Barjaková, M., Mcelvaney, T.J. and Lunn, P.D., 2019, Official advice improves mortgage-holders’ perceptions of switching: experimental evidence, </w:t>
      </w:r>
      <w:r w:rsidRPr="004341D7">
        <w:rPr>
          <w:i/>
          <w:sz w:val="20"/>
        </w:rPr>
        <w:t xml:space="preserve">Behavioural Public Policy, </w:t>
      </w:r>
      <w:r w:rsidRPr="004341D7">
        <w:rPr>
          <w:sz w:val="20"/>
        </w:rPr>
        <w:t>pp. 1-29</w:t>
      </w:r>
    </w:p>
    <w:p w:rsidR="004341D7" w:rsidRPr="004341D7" w:rsidRDefault="004341D7" w:rsidP="004341D7">
      <w:pPr>
        <w:jc w:val="left"/>
        <w:rPr>
          <w:sz w:val="20"/>
        </w:rPr>
      </w:pPr>
      <w:r w:rsidRPr="004341D7">
        <w:rPr>
          <w:sz w:val="20"/>
        </w:rPr>
        <w:lastRenderedPageBreak/>
        <w:t xml:space="preserve">TNS, 2012, Bank fees behaviour study, available at: </w:t>
      </w:r>
      <w:hyperlink r:id="rId31" w:history="1">
        <w:r w:rsidRPr="004341D7">
          <w:rPr>
            <w:rStyle w:val="Hiperhivatkozs"/>
            <w:sz w:val="20"/>
          </w:rPr>
          <w:t>https://ec.europa.eu/info/sites/info/files/bank_fees_2012_en.pdf</w:t>
        </w:r>
      </w:hyperlink>
      <w:r w:rsidRPr="004341D7">
        <w:rPr>
          <w:sz w:val="20"/>
        </w:rPr>
        <w:t xml:space="preserve"> </w:t>
      </w:r>
    </w:p>
    <w:p w:rsidR="004341D7" w:rsidRPr="004341D7" w:rsidRDefault="004341D7" w:rsidP="004341D7">
      <w:pPr>
        <w:jc w:val="left"/>
        <w:rPr>
          <w:sz w:val="20"/>
        </w:rPr>
      </w:pPr>
      <w:r w:rsidRPr="004341D7">
        <w:rPr>
          <w:sz w:val="20"/>
        </w:rPr>
        <w:t xml:space="preserve">Worton, S., Jones, C. and Light, P., 2016, Cash Savings Switching Box. Consumer testing to inform the FCA’s proposed switching box, Research report prepared by Optimisa Research for the Financial Conduct Authority, available at: </w:t>
      </w:r>
      <w:hyperlink r:id="rId32" w:history="1">
        <w:r w:rsidRPr="004341D7">
          <w:rPr>
            <w:rStyle w:val="Hiperhivatkozs"/>
            <w:sz w:val="20"/>
          </w:rPr>
          <w:t>https://www.fca.org.uk/publication/research/cash-savings-switching-box.pdf</w:t>
        </w:r>
      </w:hyperlink>
      <w:r w:rsidRPr="004341D7">
        <w:rPr>
          <w:sz w:val="20"/>
        </w:rPr>
        <w:t xml:space="preserve"> </w:t>
      </w:r>
    </w:p>
    <w:p w:rsidR="004341D7" w:rsidRPr="004341D7" w:rsidRDefault="004341D7" w:rsidP="004341D7">
      <w:pPr>
        <w:jc w:val="left"/>
        <w:rPr>
          <w:sz w:val="20"/>
        </w:rPr>
      </w:pPr>
      <w:r w:rsidRPr="004341D7">
        <w:rPr>
          <w:sz w:val="20"/>
        </w:rPr>
        <w:t xml:space="preserve">Worton, S. and Reynolds, R., 2015, Cash Savings Remedies. Consumer testing to inform the FCA’s proposal for summary boxes to improve the provision of consumer information at or before the point of sale in the cash savings market, Prepared by Optimisa Research for the Financial Conduct Authority, available at: </w:t>
      </w:r>
      <w:hyperlink r:id="rId33" w:history="1">
        <w:r w:rsidRPr="004341D7">
          <w:rPr>
            <w:rStyle w:val="Hiperhivatkozs"/>
            <w:sz w:val="20"/>
          </w:rPr>
          <w:t>https://www.fca.org.uk/publication/research/cash-savings-remedies-consumer-research.pdf</w:t>
        </w:r>
      </w:hyperlink>
      <w:r w:rsidRPr="004341D7">
        <w:rPr>
          <w:sz w:val="20"/>
        </w:rPr>
        <w:t xml:space="preserve"> </w:t>
      </w:r>
    </w:p>
    <w:p w:rsidR="00FE0C36" w:rsidRPr="004341D7" w:rsidRDefault="00FE0C36" w:rsidP="004341D7">
      <w:pPr>
        <w:jc w:val="left"/>
        <w:rPr>
          <w:sz w:val="18"/>
        </w:rPr>
      </w:pPr>
    </w:p>
    <w:sectPr w:rsidR="00FE0C36" w:rsidRPr="004341D7" w:rsidSect="00BB5B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82" w:rsidRDefault="00141682" w:rsidP="007D7526">
      <w:pPr>
        <w:spacing w:after="0" w:line="240" w:lineRule="auto"/>
      </w:pPr>
      <w:r>
        <w:separator/>
      </w:r>
    </w:p>
  </w:endnote>
  <w:endnote w:type="continuationSeparator" w:id="0">
    <w:p w:rsidR="00141682" w:rsidRDefault="00141682" w:rsidP="007D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6F" w:rsidRDefault="0031586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24663"/>
      <w:docPartObj>
        <w:docPartGallery w:val="Page Numbers (Bottom of Page)"/>
        <w:docPartUnique/>
      </w:docPartObj>
    </w:sdtPr>
    <w:sdtEndPr>
      <w:rPr>
        <w:sz w:val="20"/>
      </w:rPr>
    </w:sdtEndPr>
    <w:sdtContent>
      <w:p w:rsidR="00982562" w:rsidRPr="00D63E42" w:rsidRDefault="00982562">
        <w:pPr>
          <w:pStyle w:val="llb"/>
          <w:jc w:val="right"/>
          <w:rPr>
            <w:sz w:val="20"/>
          </w:rPr>
        </w:pPr>
        <w:r w:rsidRPr="00D63E42">
          <w:rPr>
            <w:sz w:val="20"/>
          </w:rPr>
          <w:fldChar w:fldCharType="begin"/>
        </w:r>
        <w:r w:rsidRPr="00D63E42">
          <w:rPr>
            <w:sz w:val="20"/>
          </w:rPr>
          <w:instrText>PAGE   \* MERGEFORMAT</w:instrText>
        </w:r>
        <w:r w:rsidRPr="00D63E42">
          <w:rPr>
            <w:sz w:val="20"/>
          </w:rPr>
          <w:fldChar w:fldCharType="separate"/>
        </w:r>
        <w:r w:rsidR="0031586F" w:rsidRPr="0031586F">
          <w:rPr>
            <w:noProof/>
            <w:sz w:val="20"/>
            <w:lang w:val="hu-HU"/>
          </w:rPr>
          <w:t>1</w:t>
        </w:r>
        <w:r w:rsidRPr="00D63E42">
          <w:rPr>
            <w:sz w:val="20"/>
          </w:rPr>
          <w:fldChar w:fldCharType="end"/>
        </w:r>
      </w:p>
    </w:sdtContent>
  </w:sdt>
  <w:p w:rsidR="00982562" w:rsidRDefault="0098256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6F" w:rsidRDefault="0031586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82" w:rsidRDefault="00141682" w:rsidP="007D7526">
      <w:pPr>
        <w:spacing w:after="0" w:line="240" w:lineRule="auto"/>
      </w:pPr>
      <w:r>
        <w:separator/>
      </w:r>
    </w:p>
  </w:footnote>
  <w:footnote w:type="continuationSeparator" w:id="0">
    <w:p w:rsidR="00141682" w:rsidRDefault="00141682" w:rsidP="007D7526">
      <w:pPr>
        <w:spacing w:after="0" w:line="240" w:lineRule="auto"/>
      </w:pPr>
      <w:r>
        <w:continuationSeparator/>
      </w:r>
    </w:p>
  </w:footnote>
  <w:footnote w:id="1">
    <w:p w:rsidR="00982562" w:rsidRPr="007D7526" w:rsidRDefault="00982562">
      <w:pPr>
        <w:pStyle w:val="Lbjegyzetszveg"/>
        <w:rPr>
          <w:lang w:val="hu-HU"/>
        </w:rPr>
      </w:pPr>
      <w:r>
        <w:rPr>
          <w:rStyle w:val="Lbjegyzet-hivatkozs"/>
        </w:rPr>
        <w:footnoteRef/>
      </w:r>
      <w:r>
        <w:t xml:space="preserve"> </w:t>
      </w:r>
      <w:r w:rsidRPr="007D7526">
        <w:t>Thaler, R. H., and Sunstein, C. R., 2008, Nudge: Improving decisions about health, wealth, and happiness, Yale University Press</w:t>
      </w:r>
    </w:p>
  </w:footnote>
  <w:footnote w:id="2">
    <w:p w:rsidR="00982562" w:rsidRPr="00FE0C36" w:rsidRDefault="00982562" w:rsidP="00FE0C36">
      <w:pPr>
        <w:spacing w:after="0"/>
        <w:jc w:val="left"/>
        <w:rPr>
          <w:sz w:val="20"/>
          <w:szCs w:val="20"/>
        </w:rPr>
      </w:pPr>
      <w:r w:rsidRPr="00FE0C36">
        <w:rPr>
          <w:rStyle w:val="Lbjegyzet-hivatkozs"/>
          <w:sz w:val="20"/>
        </w:rPr>
        <w:footnoteRef/>
      </w:r>
      <w:r w:rsidRPr="00FE0C36">
        <w:rPr>
          <w:sz w:val="20"/>
        </w:rPr>
        <w:t xml:space="preserve"> </w:t>
      </w:r>
      <w:r w:rsidRPr="00FE0C36">
        <w:rPr>
          <w:sz w:val="20"/>
          <w:szCs w:val="20"/>
        </w:rPr>
        <w:t xml:space="preserve">DellaVigna, S. and Linos, E., 2022, RCTs to Scale: Comprehensive Evidence from Two Nudge Units, </w:t>
      </w:r>
      <w:r w:rsidRPr="00FE0C36">
        <w:rPr>
          <w:i/>
          <w:sz w:val="20"/>
          <w:szCs w:val="20"/>
        </w:rPr>
        <w:t>Econometrica</w:t>
      </w:r>
      <w:r w:rsidRPr="00FE0C36">
        <w:rPr>
          <w:sz w:val="20"/>
          <w:szCs w:val="20"/>
        </w:rPr>
        <w:t>, Vol. 90, No. 1, pp. 81-116</w:t>
      </w:r>
    </w:p>
  </w:footnote>
  <w:footnote w:id="3">
    <w:p w:rsidR="00982562" w:rsidRPr="00FE0C36" w:rsidRDefault="00982562" w:rsidP="00FE0C36">
      <w:pPr>
        <w:pStyle w:val="Lbjegyzetszveg"/>
        <w:spacing w:line="360" w:lineRule="auto"/>
        <w:rPr>
          <w:lang w:val="hu-HU"/>
        </w:rPr>
      </w:pPr>
      <w:r>
        <w:rPr>
          <w:rStyle w:val="Lbjegyzet-hivatkozs"/>
        </w:rPr>
        <w:footnoteRef/>
      </w:r>
      <w:r>
        <w:t xml:space="preserve"> </w:t>
      </w:r>
      <w:r w:rsidRPr="008202F8">
        <w:t xml:space="preserve">Hummel, D. and Maedche, A., 2019, How effective is nudging? A quantitative review on the effect sizes and limits of empirical nudging studies, </w:t>
      </w:r>
      <w:r w:rsidRPr="008202F8">
        <w:rPr>
          <w:i/>
        </w:rPr>
        <w:t>Journal of Behavioral and Experimental Economics</w:t>
      </w:r>
      <w:r w:rsidRPr="008202F8">
        <w:t>, Vol. 80, pp. 47-58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6F" w:rsidRDefault="0031586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62" w:rsidRPr="00982562" w:rsidRDefault="00982562">
    <w:pPr>
      <w:pStyle w:val="lfej"/>
      <w:rPr>
        <w:sz w:val="20"/>
        <w:lang w:val="hu-HU"/>
      </w:rPr>
    </w:pPr>
    <w:r>
      <w:rPr>
        <w:lang w:val="hu-HU"/>
      </w:rPr>
      <w:tab/>
    </w:r>
    <w:r>
      <w:rPr>
        <w:lang w:val="hu-HU"/>
      </w:rPr>
      <w:tab/>
    </w:r>
    <w:r w:rsidR="0031586F">
      <w:rPr>
        <w:sz w:val="20"/>
        <w:lang w:val="hu-HU"/>
      </w:rPr>
      <w:t>DRAFT 24/06</w:t>
    </w:r>
    <w:r>
      <w:rPr>
        <w:sz w:val="20"/>
        <w:lang w:val="hu-HU"/>
      </w:rPr>
      <w:t>/2022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6F" w:rsidRDefault="0031586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2AB"/>
    <w:multiLevelType w:val="hybridMultilevel"/>
    <w:tmpl w:val="2B664D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6C39CA"/>
    <w:multiLevelType w:val="hybridMultilevel"/>
    <w:tmpl w:val="771037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F5687B"/>
    <w:multiLevelType w:val="hybridMultilevel"/>
    <w:tmpl w:val="0F56A0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6107FA2"/>
    <w:multiLevelType w:val="hybridMultilevel"/>
    <w:tmpl w:val="915011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AB65613"/>
    <w:multiLevelType w:val="hybridMultilevel"/>
    <w:tmpl w:val="9E604BD0"/>
    <w:lvl w:ilvl="0" w:tplc="B5BA4D5C">
      <w:start w:val="1"/>
      <w:numFmt w:val="upperLetter"/>
      <w:pStyle w:val="Listaszerbekezds"/>
      <w:lvlText w:val="Appendix %1 - "/>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3DEC533C"/>
    <w:multiLevelType w:val="hybridMultilevel"/>
    <w:tmpl w:val="DFD21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59B7DDE"/>
    <w:multiLevelType w:val="hybridMultilevel"/>
    <w:tmpl w:val="0890E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41D31A1"/>
    <w:multiLevelType w:val="hybridMultilevel"/>
    <w:tmpl w:val="37623B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03"/>
    <w:rsid w:val="00082A0C"/>
    <w:rsid w:val="001202B7"/>
    <w:rsid w:val="00141682"/>
    <w:rsid w:val="001B2103"/>
    <w:rsid w:val="002719E8"/>
    <w:rsid w:val="002F2A9B"/>
    <w:rsid w:val="0031586F"/>
    <w:rsid w:val="003467B0"/>
    <w:rsid w:val="004341D7"/>
    <w:rsid w:val="0044246A"/>
    <w:rsid w:val="00447B44"/>
    <w:rsid w:val="0045512C"/>
    <w:rsid w:val="00455CAF"/>
    <w:rsid w:val="005B4438"/>
    <w:rsid w:val="006200C4"/>
    <w:rsid w:val="00717BC5"/>
    <w:rsid w:val="0073116A"/>
    <w:rsid w:val="0073326D"/>
    <w:rsid w:val="00762F21"/>
    <w:rsid w:val="00792CDC"/>
    <w:rsid w:val="007D7526"/>
    <w:rsid w:val="00807F47"/>
    <w:rsid w:val="00873361"/>
    <w:rsid w:val="008969DB"/>
    <w:rsid w:val="008B1B70"/>
    <w:rsid w:val="00942055"/>
    <w:rsid w:val="009710AE"/>
    <w:rsid w:val="00982562"/>
    <w:rsid w:val="00A16DE0"/>
    <w:rsid w:val="00AD0739"/>
    <w:rsid w:val="00B6399F"/>
    <w:rsid w:val="00BB1F35"/>
    <w:rsid w:val="00BB5B1F"/>
    <w:rsid w:val="00CD25AD"/>
    <w:rsid w:val="00D63E42"/>
    <w:rsid w:val="00EC1995"/>
    <w:rsid w:val="00FC3249"/>
    <w:rsid w:val="00FE0C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2103"/>
    <w:pPr>
      <w:spacing w:line="360" w:lineRule="auto"/>
      <w:jc w:val="both"/>
    </w:pPr>
    <w:rPr>
      <w:rFonts w:ascii="Arial" w:hAnsi="Arial" w:cs="Arial"/>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Appendix for thesis"/>
    <w:basedOn w:val="Norml"/>
    <w:next w:val="Norml"/>
    <w:uiPriority w:val="34"/>
    <w:qFormat/>
    <w:rsid w:val="001B2103"/>
    <w:pPr>
      <w:numPr>
        <w:numId w:val="1"/>
      </w:numPr>
      <w:contextualSpacing/>
    </w:pPr>
  </w:style>
  <w:style w:type="paragraph" w:styleId="Kpalrs">
    <w:name w:val="caption"/>
    <w:aliases w:val="~Caption"/>
    <w:basedOn w:val="Norml"/>
    <w:next w:val="Norml"/>
    <w:link w:val="KpalrsChar"/>
    <w:uiPriority w:val="18"/>
    <w:unhideWhenUsed/>
    <w:qFormat/>
    <w:rsid w:val="00762F21"/>
    <w:pPr>
      <w:spacing w:line="240" w:lineRule="auto"/>
    </w:pPr>
    <w:rPr>
      <w:b/>
      <w:bCs/>
      <w:color w:val="4F81BD" w:themeColor="accent1"/>
      <w:sz w:val="18"/>
      <w:szCs w:val="18"/>
    </w:rPr>
  </w:style>
  <w:style w:type="paragraph" w:styleId="Lbjegyzetszveg">
    <w:name w:val="footnote text"/>
    <w:aliases w:val="~FootnoteText"/>
    <w:basedOn w:val="Norml"/>
    <w:link w:val="LbjegyzetszvegChar"/>
    <w:uiPriority w:val="99"/>
    <w:unhideWhenUsed/>
    <w:rsid w:val="007D7526"/>
    <w:pPr>
      <w:spacing w:after="0" w:line="240" w:lineRule="auto"/>
    </w:pPr>
    <w:rPr>
      <w:sz w:val="20"/>
      <w:szCs w:val="20"/>
    </w:rPr>
  </w:style>
  <w:style w:type="character" w:customStyle="1" w:styleId="LbjegyzetszvegChar">
    <w:name w:val="Lábjegyzetszöveg Char"/>
    <w:aliases w:val="~FootnoteText Char"/>
    <w:basedOn w:val="Bekezdsalapbettpusa"/>
    <w:link w:val="Lbjegyzetszveg"/>
    <w:uiPriority w:val="99"/>
    <w:rsid w:val="007D7526"/>
    <w:rPr>
      <w:rFonts w:ascii="Arial" w:hAnsi="Arial" w:cs="Arial"/>
      <w:sz w:val="20"/>
      <w:szCs w:val="20"/>
      <w:lang w:val="en-GB"/>
    </w:rPr>
  </w:style>
  <w:style w:type="character" w:styleId="Lbjegyzet-hivatkozs">
    <w:name w:val="footnote reference"/>
    <w:basedOn w:val="Bekezdsalapbettpusa"/>
    <w:uiPriority w:val="99"/>
    <w:unhideWhenUsed/>
    <w:rsid w:val="007D7526"/>
    <w:rPr>
      <w:vertAlign w:val="superscript"/>
    </w:rPr>
  </w:style>
  <w:style w:type="paragraph" w:customStyle="1" w:styleId="Notes">
    <w:name w:val="Notes"/>
    <w:basedOn w:val="Norml"/>
    <w:next w:val="Norml"/>
    <w:qFormat/>
    <w:rsid w:val="00B6399F"/>
    <w:pPr>
      <w:keepLines/>
      <w:spacing w:after="240" w:line="240" w:lineRule="auto"/>
    </w:pPr>
    <w:rPr>
      <w:noProof/>
      <w:sz w:val="16"/>
    </w:rPr>
  </w:style>
  <w:style w:type="character" w:customStyle="1" w:styleId="KpalrsChar">
    <w:name w:val="Képaláírás Char"/>
    <w:aliases w:val="~Caption Char"/>
    <w:basedOn w:val="Bekezdsalapbettpusa"/>
    <w:link w:val="Kpalrs"/>
    <w:uiPriority w:val="18"/>
    <w:rsid w:val="00B6399F"/>
    <w:rPr>
      <w:rFonts w:ascii="Arial" w:hAnsi="Arial" w:cs="Arial"/>
      <w:b/>
      <w:bCs/>
      <w:color w:val="4F81BD" w:themeColor="accent1"/>
      <w:sz w:val="18"/>
      <w:szCs w:val="18"/>
      <w:lang w:val="en-GB"/>
    </w:rPr>
  </w:style>
  <w:style w:type="paragraph" w:styleId="lfej">
    <w:name w:val="header"/>
    <w:basedOn w:val="Norml"/>
    <w:link w:val="lfejChar"/>
    <w:uiPriority w:val="99"/>
    <w:unhideWhenUsed/>
    <w:rsid w:val="00FE0C36"/>
    <w:pPr>
      <w:tabs>
        <w:tab w:val="center" w:pos="4536"/>
        <w:tab w:val="right" w:pos="9072"/>
      </w:tabs>
      <w:spacing w:after="0" w:line="240" w:lineRule="auto"/>
    </w:pPr>
  </w:style>
  <w:style w:type="character" w:customStyle="1" w:styleId="lfejChar">
    <w:name w:val="Élőfej Char"/>
    <w:basedOn w:val="Bekezdsalapbettpusa"/>
    <w:link w:val="lfej"/>
    <w:uiPriority w:val="99"/>
    <w:rsid w:val="00FE0C36"/>
    <w:rPr>
      <w:rFonts w:ascii="Arial" w:hAnsi="Arial" w:cs="Arial"/>
      <w:lang w:val="en-GB"/>
    </w:rPr>
  </w:style>
  <w:style w:type="paragraph" w:styleId="llb">
    <w:name w:val="footer"/>
    <w:basedOn w:val="Norml"/>
    <w:link w:val="llbChar"/>
    <w:uiPriority w:val="99"/>
    <w:unhideWhenUsed/>
    <w:rsid w:val="00FE0C36"/>
    <w:pPr>
      <w:tabs>
        <w:tab w:val="center" w:pos="4536"/>
        <w:tab w:val="right" w:pos="9072"/>
      </w:tabs>
      <w:spacing w:after="0" w:line="240" w:lineRule="auto"/>
    </w:pPr>
  </w:style>
  <w:style w:type="character" w:customStyle="1" w:styleId="llbChar">
    <w:name w:val="Élőláb Char"/>
    <w:basedOn w:val="Bekezdsalapbettpusa"/>
    <w:link w:val="llb"/>
    <w:uiPriority w:val="99"/>
    <w:rsid w:val="00FE0C36"/>
    <w:rPr>
      <w:rFonts w:ascii="Arial" w:hAnsi="Arial" w:cs="Arial"/>
      <w:lang w:val="en-GB"/>
    </w:rPr>
  </w:style>
  <w:style w:type="character" w:styleId="Hiperhivatkozs">
    <w:name w:val="Hyperlink"/>
    <w:basedOn w:val="Bekezdsalapbettpusa"/>
    <w:uiPriority w:val="99"/>
    <w:unhideWhenUsed/>
    <w:rsid w:val="00FE0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2103"/>
    <w:pPr>
      <w:spacing w:line="360" w:lineRule="auto"/>
      <w:jc w:val="both"/>
    </w:pPr>
    <w:rPr>
      <w:rFonts w:ascii="Arial" w:hAnsi="Arial" w:cs="Arial"/>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Appendix for thesis"/>
    <w:basedOn w:val="Norml"/>
    <w:next w:val="Norml"/>
    <w:uiPriority w:val="34"/>
    <w:qFormat/>
    <w:rsid w:val="001B2103"/>
    <w:pPr>
      <w:numPr>
        <w:numId w:val="1"/>
      </w:numPr>
      <w:contextualSpacing/>
    </w:pPr>
  </w:style>
  <w:style w:type="paragraph" w:styleId="Kpalrs">
    <w:name w:val="caption"/>
    <w:aliases w:val="~Caption"/>
    <w:basedOn w:val="Norml"/>
    <w:next w:val="Norml"/>
    <w:link w:val="KpalrsChar"/>
    <w:uiPriority w:val="18"/>
    <w:unhideWhenUsed/>
    <w:qFormat/>
    <w:rsid w:val="00762F21"/>
    <w:pPr>
      <w:spacing w:line="240" w:lineRule="auto"/>
    </w:pPr>
    <w:rPr>
      <w:b/>
      <w:bCs/>
      <w:color w:val="4F81BD" w:themeColor="accent1"/>
      <w:sz w:val="18"/>
      <w:szCs w:val="18"/>
    </w:rPr>
  </w:style>
  <w:style w:type="paragraph" w:styleId="Lbjegyzetszveg">
    <w:name w:val="footnote text"/>
    <w:aliases w:val="~FootnoteText"/>
    <w:basedOn w:val="Norml"/>
    <w:link w:val="LbjegyzetszvegChar"/>
    <w:uiPriority w:val="99"/>
    <w:unhideWhenUsed/>
    <w:rsid w:val="007D7526"/>
    <w:pPr>
      <w:spacing w:after="0" w:line="240" w:lineRule="auto"/>
    </w:pPr>
    <w:rPr>
      <w:sz w:val="20"/>
      <w:szCs w:val="20"/>
    </w:rPr>
  </w:style>
  <w:style w:type="character" w:customStyle="1" w:styleId="LbjegyzetszvegChar">
    <w:name w:val="Lábjegyzetszöveg Char"/>
    <w:aliases w:val="~FootnoteText Char"/>
    <w:basedOn w:val="Bekezdsalapbettpusa"/>
    <w:link w:val="Lbjegyzetszveg"/>
    <w:uiPriority w:val="99"/>
    <w:rsid w:val="007D7526"/>
    <w:rPr>
      <w:rFonts w:ascii="Arial" w:hAnsi="Arial" w:cs="Arial"/>
      <w:sz w:val="20"/>
      <w:szCs w:val="20"/>
      <w:lang w:val="en-GB"/>
    </w:rPr>
  </w:style>
  <w:style w:type="character" w:styleId="Lbjegyzet-hivatkozs">
    <w:name w:val="footnote reference"/>
    <w:basedOn w:val="Bekezdsalapbettpusa"/>
    <w:uiPriority w:val="99"/>
    <w:unhideWhenUsed/>
    <w:rsid w:val="007D7526"/>
    <w:rPr>
      <w:vertAlign w:val="superscript"/>
    </w:rPr>
  </w:style>
  <w:style w:type="paragraph" w:customStyle="1" w:styleId="Notes">
    <w:name w:val="Notes"/>
    <w:basedOn w:val="Norml"/>
    <w:next w:val="Norml"/>
    <w:qFormat/>
    <w:rsid w:val="00B6399F"/>
    <w:pPr>
      <w:keepLines/>
      <w:spacing w:after="240" w:line="240" w:lineRule="auto"/>
    </w:pPr>
    <w:rPr>
      <w:noProof/>
      <w:sz w:val="16"/>
    </w:rPr>
  </w:style>
  <w:style w:type="character" w:customStyle="1" w:styleId="KpalrsChar">
    <w:name w:val="Képaláírás Char"/>
    <w:aliases w:val="~Caption Char"/>
    <w:basedOn w:val="Bekezdsalapbettpusa"/>
    <w:link w:val="Kpalrs"/>
    <w:uiPriority w:val="18"/>
    <w:rsid w:val="00B6399F"/>
    <w:rPr>
      <w:rFonts w:ascii="Arial" w:hAnsi="Arial" w:cs="Arial"/>
      <w:b/>
      <w:bCs/>
      <w:color w:val="4F81BD" w:themeColor="accent1"/>
      <w:sz w:val="18"/>
      <w:szCs w:val="18"/>
      <w:lang w:val="en-GB"/>
    </w:rPr>
  </w:style>
  <w:style w:type="paragraph" w:styleId="lfej">
    <w:name w:val="header"/>
    <w:basedOn w:val="Norml"/>
    <w:link w:val="lfejChar"/>
    <w:uiPriority w:val="99"/>
    <w:unhideWhenUsed/>
    <w:rsid w:val="00FE0C36"/>
    <w:pPr>
      <w:tabs>
        <w:tab w:val="center" w:pos="4536"/>
        <w:tab w:val="right" w:pos="9072"/>
      </w:tabs>
      <w:spacing w:after="0" w:line="240" w:lineRule="auto"/>
    </w:pPr>
  </w:style>
  <w:style w:type="character" w:customStyle="1" w:styleId="lfejChar">
    <w:name w:val="Élőfej Char"/>
    <w:basedOn w:val="Bekezdsalapbettpusa"/>
    <w:link w:val="lfej"/>
    <w:uiPriority w:val="99"/>
    <w:rsid w:val="00FE0C36"/>
    <w:rPr>
      <w:rFonts w:ascii="Arial" w:hAnsi="Arial" w:cs="Arial"/>
      <w:lang w:val="en-GB"/>
    </w:rPr>
  </w:style>
  <w:style w:type="paragraph" w:styleId="llb">
    <w:name w:val="footer"/>
    <w:basedOn w:val="Norml"/>
    <w:link w:val="llbChar"/>
    <w:uiPriority w:val="99"/>
    <w:unhideWhenUsed/>
    <w:rsid w:val="00FE0C36"/>
    <w:pPr>
      <w:tabs>
        <w:tab w:val="center" w:pos="4536"/>
        <w:tab w:val="right" w:pos="9072"/>
      </w:tabs>
      <w:spacing w:after="0" w:line="240" w:lineRule="auto"/>
    </w:pPr>
  </w:style>
  <w:style w:type="character" w:customStyle="1" w:styleId="llbChar">
    <w:name w:val="Élőláb Char"/>
    <w:basedOn w:val="Bekezdsalapbettpusa"/>
    <w:link w:val="llb"/>
    <w:uiPriority w:val="99"/>
    <w:rsid w:val="00FE0C36"/>
    <w:rPr>
      <w:rFonts w:ascii="Arial" w:hAnsi="Arial" w:cs="Arial"/>
      <w:lang w:val="en-GB"/>
    </w:rPr>
  </w:style>
  <w:style w:type="character" w:styleId="Hiperhivatkozs">
    <w:name w:val="Hyperlink"/>
    <w:basedOn w:val="Bekezdsalapbettpusa"/>
    <w:uiPriority w:val="99"/>
    <w:unhideWhenUsed/>
    <w:rsid w:val="00FE0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i.team/wp-content/uploads/2018/03/The-impact-of-improved-transparency-on-foreign-money-transfers-for-consumers-and-SMEs_WEB.pdf" TargetMode="External"/><Relationship Id="rId26" Type="http://schemas.openxmlformats.org/officeDocument/2006/relationships/hyperlink" Target="https://assets.publishing.service.gov.uk/media/56dd710ded915d0376000008/Qualitative_report_of_findings_prepared_by_Optimisa.pdf" TargetMode="External"/><Relationship Id="rId3" Type="http://schemas.openxmlformats.org/officeDocument/2006/relationships/styles" Target="styles.xml"/><Relationship Id="rId21" Type="http://schemas.openxmlformats.org/officeDocument/2006/relationships/hyperlink" Target="https://www.fca.org.uk/publication/research/future-personal-current-account-prompts-and-alerts.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cpc.ie/business/research/market-research/mortgage-holding-switching-2016/" TargetMode="External"/><Relationship Id="rId25" Type="http://schemas.openxmlformats.org/officeDocument/2006/relationships/hyperlink" Target="https://op.europa.eu/en/publication-detail/-/publication/f96b4696-255f-11eb-9d7e-01aa75ed71a1" TargetMode="External"/><Relationship Id="rId33" Type="http://schemas.openxmlformats.org/officeDocument/2006/relationships/hyperlink" Target="https://www.fca.org.uk/publication/research/cash-savings-remedies-consumer-research.pdf" TargetMode="External"/><Relationship Id="rId2" Type="http://schemas.openxmlformats.org/officeDocument/2006/relationships/numbering" Target="numbering.xml"/><Relationship Id="rId16" Type="http://schemas.openxmlformats.org/officeDocument/2006/relationships/hyperlink" Target="https://assets.publishing.service.gov.uk/media/543560e440f0b6135800000b/TNS_BMRB_Survey_Report.pdf" TargetMode="External"/><Relationship Id="rId20" Type="http://schemas.openxmlformats.org/officeDocument/2006/relationships/hyperlink" Target="https://www.centralbank.ie/docs/default-source/publications/consumer-protection-research/mortgage-switching-research.pdf?sfvrsn=10" TargetMode="External"/><Relationship Id="rId29" Type="http://schemas.openxmlformats.org/officeDocument/2006/relationships/hyperlink" Target="https://op.europa.eu/en/publication-detail/-/publication/b86d7f2d-9e77-11e7-b92d-01aa75ed71a1/language-en/format-PDF/sourc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i.team/publications/the-stronger-nudge/" TargetMode="External"/><Relationship Id="rId32" Type="http://schemas.openxmlformats.org/officeDocument/2006/relationships/hyperlink" Target="https://www.fca.org.uk/publication/research/cash-savings-switching-box.pdf" TargetMode="External"/><Relationship Id="rId5" Type="http://schemas.openxmlformats.org/officeDocument/2006/relationships/settings" Target="settings.xml"/><Relationship Id="rId15" Type="http://schemas.openxmlformats.org/officeDocument/2006/relationships/hyperlink" Target="https://www.fca.org.uk/publication/research/personal-business-current-account-prompt-pilot-findings.pdf" TargetMode="External"/><Relationship Id="rId23" Type="http://schemas.openxmlformats.org/officeDocument/2006/relationships/hyperlink" Target="https://www.fca.org.uk/publication/market-studies/gi-add-ons-experimental-consumer-research-report.pdf" TargetMode="External"/><Relationship Id="rId28" Type="http://schemas.openxmlformats.org/officeDocument/2006/relationships/hyperlink" Target="https://www.fca.org.uk/publication/research/mortgage-switching-research.pdf" TargetMode="External"/><Relationship Id="rId10" Type="http://schemas.openxmlformats.org/officeDocument/2006/relationships/header" Target="header2.xml"/><Relationship Id="rId19" Type="http://schemas.openxmlformats.org/officeDocument/2006/relationships/hyperlink" Target="https://www.consumerfinance.gov/data-research/research-reports/know-before-you-owe-mortgage-shopping-study/" TargetMode="External"/><Relationship Id="rId31" Type="http://schemas.openxmlformats.org/officeDocument/2006/relationships/hyperlink" Target="https://ec.europa.eu/info/sites/info/files/bank_fees_2012_e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fca.org.uk/publication/research/fca-prompts-and-alerts-design-behavioural-evidence.pdf" TargetMode="External"/><Relationship Id="rId27" Type="http://schemas.openxmlformats.org/officeDocument/2006/relationships/hyperlink" Target="https://www.fca.org.uk/publication/research/consumer%20engagement%20in%20annuities%20market.pdf" TargetMode="External"/><Relationship Id="rId30" Type="http://schemas.openxmlformats.org/officeDocument/2006/relationships/hyperlink" Target="https://ec.europa.eu/info/sites/info/files/live_work_travel_in_the_eu/consumers/digitalisation_of_financial_services_-_main_report.pdf" TargetMode="External"/><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4302-7A14-4500-9362-39C1D2FA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3581</Words>
  <Characters>24709</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zita</cp:lastModifiedBy>
  <cp:revision>2</cp:revision>
  <dcterms:created xsi:type="dcterms:W3CDTF">2022-06-24T08:11:00Z</dcterms:created>
  <dcterms:modified xsi:type="dcterms:W3CDTF">2022-06-24T08:11:00Z</dcterms:modified>
</cp:coreProperties>
</file>