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17CC1" w14:textId="51848D98" w:rsidR="007F5BCC" w:rsidRPr="00CD5986" w:rsidRDefault="0017782D" w:rsidP="007F5BCC">
      <w:pPr>
        <w:spacing w:line="480" w:lineRule="auto"/>
        <w:jc w:val="both"/>
        <w:rPr>
          <w:b/>
          <w:color w:val="000000" w:themeColor="text1"/>
        </w:rPr>
      </w:pPr>
      <w:r w:rsidRPr="00CD5986">
        <w:rPr>
          <w:b/>
          <w:color w:val="000000" w:themeColor="text1"/>
        </w:rPr>
        <w:t>Supplemental Information</w:t>
      </w:r>
      <w:r w:rsidR="007F5BCC" w:rsidRPr="00CD5986">
        <w:rPr>
          <w:b/>
          <w:color w:val="000000" w:themeColor="text1"/>
        </w:rPr>
        <w:t>: Engineering Mesoporous Silica for Superior Optical and Thermal Properties</w:t>
      </w:r>
    </w:p>
    <w:p w14:paraId="011BC4D8" w14:textId="77777777" w:rsidR="007F5BCC" w:rsidRPr="00E56598" w:rsidRDefault="007F5BCC" w:rsidP="007F5BCC">
      <w:pPr>
        <w:spacing w:line="480" w:lineRule="auto"/>
        <w:jc w:val="both"/>
        <w:rPr>
          <w:b/>
          <w:color w:val="000000" w:themeColor="text1"/>
        </w:rPr>
      </w:pPr>
    </w:p>
    <w:p w14:paraId="215B45F2" w14:textId="77777777" w:rsidR="007F5BCC" w:rsidRPr="00E56598" w:rsidRDefault="007F5BCC" w:rsidP="007F5BCC">
      <w:pPr>
        <w:spacing w:line="480" w:lineRule="auto"/>
        <w:jc w:val="both"/>
        <w:rPr>
          <w:i/>
          <w:color w:val="000000" w:themeColor="text1"/>
          <w:sz w:val="22"/>
          <w:szCs w:val="22"/>
          <w:vertAlign w:val="superscript"/>
        </w:rPr>
      </w:pPr>
      <w:r w:rsidRPr="00E56598">
        <w:rPr>
          <w:i/>
          <w:color w:val="000000" w:themeColor="text1"/>
          <w:sz w:val="22"/>
          <w:szCs w:val="22"/>
        </w:rPr>
        <w:t>Danielle M. Butts</w:t>
      </w:r>
      <w:r w:rsidRPr="00E56598">
        <w:rPr>
          <w:i/>
          <w:color w:val="000000" w:themeColor="text1"/>
          <w:sz w:val="22"/>
          <w:szCs w:val="22"/>
          <w:vertAlign w:val="superscript"/>
        </w:rPr>
        <w:t>1</w:t>
      </w:r>
      <w:r w:rsidRPr="00E56598">
        <w:rPr>
          <w:i/>
          <w:color w:val="000000" w:themeColor="text1"/>
          <w:sz w:val="22"/>
          <w:szCs w:val="22"/>
        </w:rPr>
        <w:t>, Patricia E. McNeil</w:t>
      </w:r>
      <w:r w:rsidRPr="00E56598">
        <w:rPr>
          <w:i/>
          <w:color w:val="000000" w:themeColor="text1"/>
          <w:sz w:val="22"/>
          <w:szCs w:val="22"/>
          <w:vertAlign w:val="superscript"/>
        </w:rPr>
        <w:t>1</w:t>
      </w:r>
      <w:r w:rsidRPr="00E56598">
        <w:rPr>
          <w:i/>
          <w:color w:val="000000" w:themeColor="text1"/>
          <w:sz w:val="22"/>
          <w:szCs w:val="22"/>
        </w:rPr>
        <w:t>, Michal Marszewski</w:t>
      </w:r>
      <w:r w:rsidRPr="00E56598">
        <w:rPr>
          <w:i/>
          <w:color w:val="000000" w:themeColor="text1"/>
          <w:sz w:val="22"/>
          <w:szCs w:val="22"/>
          <w:vertAlign w:val="superscript"/>
        </w:rPr>
        <w:t>2</w:t>
      </w:r>
      <w:r w:rsidRPr="00E56598">
        <w:rPr>
          <w:i/>
          <w:color w:val="000000" w:themeColor="text1"/>
          <w:sz w:val="22"/>
          <w:szCs w:val="22"/>
        </w:rPr>
        <w:t>, Esther Lan</w:t>
      </w:r>
      <w:r w:rsidRPr="00E56598">
        <w:rPr>
          <w:i/>
          <w:color w:val="000000" w:themeColor="text1"/>
          <w:sz w:val="22"/>
          <w:szCs w:val="22"/>
          <w:vertAlign w:val="superscript"/>
        </w:rPr>
        <w:t>1</w:t>
      </w:r>
      <w:r w:rsidRPr="00E56598">
        <w:rPr>
          <w:i/>
          <w:color w:val="000000" w:themeColor="text1"/>
          <w:sz w:val="22"/>
          <w:szCs w:val="22"/>
        </w:rPr>
        <w:t xml:space="preserve">, </w:t>
      </w:r>
      <w:proofErr w:type="spellStart"/>
      <w:r w:rsidRPr="00E56598">
        <w:rPr>
          <w:i/>
          <w:color w:val="000000" w:themeColor="text1"/>
          <w:sz w:val="22"/>
          <w:szCs w:val="22"/>
        </w:rPr>
        <w:t>Tiphaine</w:t>
      </w:r>
      <w:proofErr w:type="spellEnd"/>
      <w:r w:rsidRPr="00E56598">
        <w:rPr>
          <w:i/>
          <w:color w:val="000000" w:themeColor="text1"/>
          <w:sz w:val="22"/>
          <w:szCs w:val="22"/>
        </w:rPr>
        <w:t xml:space="preserve"> Galy</w:t>
      </w:r>
      <w:r w:rsidRPr="00E56598">
        <w:rPr>
          <w:i/>
          <w:color w:val="000000" w:themeColor="text1"/>
          <w:sz w:val="22"/>
          <w:szCs w:val="22"/>
          <w:vertAlign w:val="superscript"/>
        </w:rPr>
        <w:t>2</w:t>
      </w:r>
      <w:r w:rsidRPr="00E56598">
        <w:rPr>
          <w:i/>
          <w:color w:val="000000" w:themeColor="text1"/>
          <w:sz w:val="22"/>
          <w:szCs w:val="22"/>
        </w:rPr>
        <w:t>,</w:t>
      </w:r>
      <w:r w:rsidRPr="00E56598">
        <w:rPr>
          <w:i/>
          <w:color w:val="000000" w:themeColor="text1"/>
          <w:sz w:val="22"/>
          <w:szCs w:val="22"/>
          <w:vertAlign w:val="superscript"/>
        </w:rPr>
        <w:t xml:space="preserve"> </w:t>
      </w:r>
      <w:r w:rsidRPr="00E56598">
        <w:rPr>
          <w:i/>
          <w:color w:val="000000" w:themeColor="text1"/>
          <w:sz w:val="22"/>
          <w:szCs w:val="22"/>
        </w:rPr>
        <w:t>Man Li</w:t>
      </w:r>
      <w:r w:rsidRPr="00E56598">
        <w:rPr>
          <w:i/>
          <w:color w:val="000000" w:themeColor="text1"/>
          <w:sz w:val="22"/>
          <w:szCs w:val="22"/>
          <w:vertAlign w:val="superscript"/>
        </w:rPr>
        <w:t>2</w:t>
      </w:r>
      <w:r w:rsidRPr="00E56598">
        <w:rPr>
          <w:i/>
          <w:color w:val="000000" w:themeColor="text1"/>
          <w:sz w:val="22"/>
          <w:szCs w:val="22"/>
        </w:rPr>
        <w:t>, Joon Sang Kang</w:t>
      </w:r>
      <w:r w:rsidRPr="00E56598">
        <w:rPr>
          <w:i/>
          <w:color w:val="000000" w:themeColor="text1"/>
          <w:sz w:val="22"/>
          <w:szCs w:val="22"/>
          <w:vertAlign w:val="superscript"/>
        </w:rPr>
        <w:t>2</w:t>
      </w:r>
      <w:r w:rsidRPr="00E56598">
        <w:rPr>
          <w:i/>
          <w:color w:val="000000" w:themeColor="text1"/>
          <w:sz w:val="22"/>
          <w:szCs w:val="22"/>
        </w:rPr>
        <w:t>,</w:t>
      </w:r>
      <w:r w:rsidRPr="00E56598">
        <w:rPr>
          <w:i/>
          <w:color w:val="000000" w:themeColor="text1"/>
          <w:sz w:val="22"/>
          <w:szCs w:val="22"/>
          <w:vertAlign w:val="superscript"/>
        </w:rPr>
        <w:t xml:space="preserve"> </w:t>
      </w:r>
      <w:r w:rsidRPr="00E56598">
        <w:rPr>
          <w:i/>
          <w:color w:val="000000" w:themeColor="text1"/>
          <w:sz w:val="22"/>
          <w:szCs w:val="22"/>
        </w:rPr>
        <w:t>David Ashby</w:t>
      </w:r>
      <w:r w:rsidRPr="00E56598">
        <w:rPr>
          <w:i/>
          <w:color w:val="000000" w:themeColor="text1"/>
          <w:sz w:val="22"/>
          <w:szCs w:val="22"/>
          <w:vertAlign w:val="superscript"/>
        </w:rPr>
        <w:t>1</w:t>
      </w:r>
      <w:r w:rsidRPr="00E56598">
        <w:rPr>
          <w:i/>
          <w:color w:val="000000" w:themeColor="text1"/>
          <w:sz w:val="22"/>
          <w:szCs w:val="22"/>
        </w:rPr>
        <w:t>, Sophia King</w:t>
      </w:r>
      <w:r w:rsidRPr="00E56598">
        <w:rPr>
          <w:i/>
          <w:color w:val="000000" w:themeColor="text1"/>
          <w:sz w:val="22"/>
          <w:szCs w:val="22"/>
          <w:vertAlign w:val="superscript"/>
        </w:rPr>
        <w:t>3</w:t>
      </w:r>
      <w:r w:rsidRPr="00E56598">
        <w:rPr>
          <w:i/>
          <w:color w:val="000000" w:themeColor="text1"/>
          <w:sz w:val="22"/>
          <w:szCs w:val="22"/>
        </w:rPr>
        <w:t>, Sarah Tolbert</w:t>
      </w:r>
      <w:r w:rsidRPr="00E56598">
        <w:rPr>
          <w:i/>
          <w:color w:val="000000" w:themeColor="text1"/>
          <w:sz w:val="22"/>
          <w:szCs w:val="22"/>
          <w:vertAlign w:val="superscript"/>
        </w:rPr>
        <w:t>1,3,4</w:t>
      </w:r>
      <w:r w:rsidRPr="00E56598">
        <w:rPr>
          <w:i/>
          <w:color w:val="000000" w:themeColor="text1"/>
          <w:sz w:val="22"/>
          <w:szCs w:val="22"/>
        </w:rPr>
        <w:t xml:space="preserve">, </w:t>
      </w:r>
      <w:proofErr w:type="spellStart"/>
      <w:r w:rsidRPr="00E56598">
        <w:rPr>
          <w:i/>
          <w:color w:val="000000" w:themeColor="text1"/>
          <w:sz w:val="22"/>
          <w:szCs w:val="22"/>
        </w:rPr>
        <w:t>Yongjie</w:t>
      </w:r>
      <w:proofErr w:type="spellEnd"/>
      <w:r w:rsidRPr="00E56598">
        <w:rPr>
          <w:i/>
          <w:color w:val="000000" w:themeColor="text1"/>
          <w:sz w:val="22"/>
          <w:szCs w:val="22"/>
        </w:rPr>
        <w:t xml:space="preserve"> Hu</w:t>
      </w:r>
      <w:r w:rsidRPr="00E56598">
        <w:rPr>
          <w:i/>
          <w:color w:val="000000" w:themeColor="text1"/>
          <w:sz w:val="22"/>
          <w:szCs w:val="22"/>
          <w:vertAlign w:val="superscript"/>
        </w:rPr>
        <w:t>2</w:t>
      </w:r>
      <w:r w:rsidRPr="00E56598">
        <w:rPr>
          <w:i/>
          <w:color w:val="000000" w:themeColor="text1"/>
          <w:sz w:val="22"/>
          <w:szCs w:val="22"/>
        </w:rPr>
        <w:t>,</w:t>
      </w:r>
      <w:r w:rsidRPr="00E56598">
        <w:rPr>
          <w:i/>
          <w:color w:val="000000" w:themeColor="text1"/>
          <w:sz w:val="22"/>
          <w:szCs w:val="22"/>
          <w:vertAlign w:val="superscript"/>
        </w:rPr>
        <w:t xml:space="preserve"> </w:t>
      </w:r>
      <w:r w:rsidRPr="00E56598">
        <w:rPr>
          <w:i/>
          <w:color w:val="000000" w:themeColor="text1"/>
          <w:sz w:val="22"/>
          <w:szCs w:val="22"/>
        </w:rPr>
        <w:t>Laurent Pilon</w:t>
      </w:r>
      <w:r w:rsidRPr="00E56598">
        <w:rPr>
          <w:i/>
          <w:color w:val="000000" w:themeColor="text1"/>
          <w:sz w:val="22"/>
          <w:szCs w:val="22"/>
          <w:vertAlign w:val="superscript"/>
        </w:rPr>
        <w:t>2</w:t>
      </w:r>
      <w:r w:rsidRPr="00E56598">
        <w:rPr>
          <w:i/>
          <w:color w:val="000000" w:themeColor="text1"/>
          <w:sz w:val="22"/>
          <w:szCs w:val="22"/>
        </w:rPr>
        <w:t>,</w:t>
      </w:r>
      <w:r w:rsidRPr="00E56598">
        <w:rPr>
          <w:i/>
          <w:color w:val="000000" w:themeColor="text1"/>
          <w:sz w:val="22"/>
          <w:szCs w:val="22"/>
          <w:vertAlign w:val="superscript"/>
        </w:rPr>
        <w:t xml:space="preserve"> </w:t>
      </w:r>
      <w:r w:rsidRPr="00E56598">
        <w:rPr>
          <w:i/>
          <w:color w:val="000000" w:themeColor="text1"/>
          <w:sz w:val="22"/>
          <w:szCs w:val="22"/>
        </w:rPr>
        <w:t>Bruce Dunn,</w:t>
      </w:r>
      <w:r w:rsidRPr="00E56598">
        <w:rPr>
          <w:i/>
          <w:color w:val="000000" w:themeColor="text1"/>
          <w:sz w:val="22"/>
          <w:szCs w:val="22"/>
          <w:vertAlign w:val="superscript"/>
        </w:rPr>
        <w:t>1,4*</w:t>
      </w:r>
    </w:p>
    <w:p w14:paraId="45972696" w14:textId="77777777" w:rsidR="007F5BCC" w:rsidRPr="00E56598" w:rsidRDefault="007F5BCC" w:rsidP="007F5BCC">
      <w:pPr>
        <w:spacing w:line="480" w:lineRule="auto"/>
        <w:jc w:val="both"/>
        <w:rPr>
          <w:sz w:val="22"/>
          <w:szCs w:val="22"/>
          <w:vertAlign w:val="superscript"/>
        </w:rPr>
      </w:pPr>
    </w:p>
    <w:p w14:paraId="52B02D62" w14:textId="77777777" w:rsidR="007F5BCC" w:rsidRPr="00E56598" w:rsidRDefault="007F5BCC" w:rsidP="007F5BCC">
      <w:pPr>
        <w:spacing w:line="480" w:lineRule="auto"/>
        <w:rPr>
          <w:sz w:val="22"/>
          <w:szCs w:val="22"/>
        </w:rPr>
      </w:pPr>
      <w:r w:rsidRPr="00E56598">
        <w:rPr>
          <w:color w:val="000000" w:themeColor="text1"/>
          <w:sz w:val="22"/>
          <w:szCs w:val="22"/>
          <w:vertAlign w:val="superscript"/>
        </w:rPr>
        <w:t>1</w:t>
      </w:r>
      <w:r w:rsidRPr="00E56598">
        <w:rPr>
          <w:color w:val="000000" w:themeColor="text1"/>
          <w:sz w:val="22"/>
          <w:szCs w:val="22"/>
        </w:rPr>
        <w:t xml:space="preserve"> </w:t>
      </w:r>
      <w:r w:rsidRPr="00E56598">
        <w:rPr>
          <w:sz w:val="22"/>
          <w:szCs w:val="22"/>
        </w:rPr>
        <w:t xml:space="preserve">Department of Materials Science and Engineering, University of California, Los Angeles, Los Angeles, </w:t>
      </w:r>
    </w:p>
    <w:p w14:paraId="4BC9E583" w14:textId="77777777" w:rsidR="007F5BCC" w:rsidRPr="00E56598" w:rsidRDefault="007F5BCC" w:rsidP="007F5BCC">
      <w:pPr>
        <w:spacing w:line="480" w:lineRule="auto"/>
        <w:rPr>
          <w:sz w:val="22"/>
          <w:szCs w:val="22"/>
        </w:rPr>
      </w:pPr>
      <w:r w:rsidRPr="00E56598">
        <w:rPr>
          <w:sz w:val="22"/>
          <w:szCs w:val="22"/>
        </w:rPr>
        <w:t xml:space="preserve">California 90095, USA </w:t>
      </w:r>
    </w:p>
    <w:p w14:paraId="1B76B56C" w14:textId="77777777" w:rsidR="007F5BCC" w:rsidRPr="00E56598" w:rsidRDefault="007F5BCC" w:rsidP="007F5BCC">
      <w:pPr>
        <w:spacing w:line="480" w:lineRule="auto"/>
        <w:rPr>
          <w:color w:val="000000" w:themeColor="text1"/>
          <w:sz w:val="22"/>
          <w:szCs w:val="22"/>
        </w:rPr>
      </w:pPr>
      <w:r w:rsidRPr="00E56598">
        <w:rPr>
          <w:sz w:val="22"/>
          <w:szCs w:val="22"/>
          <w:vertAlign w:val="superscript"/>
        </w:rPr>
        <w:t>2</w:t>
      </w:r>
      <w:r w:rsidRPr="00E56598">
        <w:rPr>
          <w:sz w:val="22"/>
          <w:szCs w:val="22"/>
        </w:rPr>
        <w:t xml:space="preserve"> Department of Mechanical and Aerospace Engineering, University of California, Los Angeles, Los Angeles, California 90095, USA</w:t>
      </w:r>
    </w:p>
    <w:p w14:paraId="341ABA1D" w14:textId="77777777" w:rsidR="007F5BCC" w:rsidRPr="00E56598" w:rsidRDefault="007F5BCC" w:rsidP="007F5BCC">
      <w:pPr>
        <w:spacing w:line="480" w:lineRule="auto"/>
        <w:rPr>
          <w:color w:val="000000" w:themeColor="text1"/>
          <w:sz w:val="22"/>
          <w:szCs w:val="22"/>
        </w:rPr>
      </w:pPr>
      <w:r w:rsidRPr="00E56598">
        <w:rPr>
          <w:sz w:val="22"/>
          <w:szCs w:val="22"/>
          <w:vertAlign w:val="superscript"/>
        </w:rPr>
        <w:t>3</w:t>
      </w:r>
      <w:r w:rsidRPr="00E56598">
        <w:rPr>
          <w:sz w:val="22"/>
          <w:szCs w:val="22"/>
        </w:rPr>
        <w:t xml:space="preserve"> Department of Chemistry and Biochemistry, University of California, Los Angeles, Los Angeles, California 90095, USA </w:t>
      </w:r>
    </w:p>
    <w:p w14:paraId="0062C820" w14:textId="77777777" w:rsidR="007F5BCC" w:rsidRPr="00E56598" w:rsidRDefault="007F5BCC" w:rsidP="007F5BCC">
      <w:pPr>
        <w:spacing w:line="480" w:lineRule="auto"/>
        <w:rPr>
          <w:color w:val="000000" w:themeColor="text1"/>
          <w:sz w:val="22"/>
          <w:szCs w:val="22"/>
        </w:rPr>
      </w:pPr>
      <w:r w:rsidRPr="00E56598">
        <w:rPr>
          <w:color w:val="000000" w:themeColor="text1"/>
          <w:sz w:val="22"/>
          <w:szCs w:val="22"/>
          <w:vertAlign w:val="superscript"/>
        </w:rPr>
        <w:t>4</w:t>
      </w:r>
      <w:r w:rsidRPr="00E56598">
        <w:rPr>
          <w:color w:val="000000" w:themeColor="text1"/>
          <w:sz w:val="22"/>
          <w:szCs w:val="22"/>
        </w:rPr>
        <w:t xml:space="preserve"> The California </w:t>
      </w:r>
      <w:proofErr w:type="spellStart"/>
      <w:r w:rsidRPr="00E56598">
        <w:rPr>
          <w:color w:val="000000" w:themeColor="text1"/>
          <w:sz w:val="22"/>
          <w:szCs w:val="22"/>
        </w:rPr>
        <w:t>NanoSystems</w:t>
      </w:r>
      <w:proofErr w:type="spellEnd"/>
      <w:r w:rsidRPr="00E56598">
        <w:rPr>
          <w:color w:val="000000" w:themeColor="text1"/>
          <w:sz w:val="22"/>
          <w:szCs w:val="22"/>
        </w:rPr>
        <w:t xml:space="preserve"> Institute, University of California, Los Angeles, Los Angeles, CA 90095, USA </w:t>
      </w:r>
    </w:p>
    <w:p w14:paraId="68A42214" w14:textId="77777777" w:rsidR="007F5BCC" w:rsidRPr="00E56598" w:rsidRDefault="007F5BCC" w:rsidP="007F5BCC">
      <w:pPr>
        <w:spacing w:line="480" w:lineRule="auto"/>
        <w:jc w:val="both"/>
        <w:outlineLvl w:val="0"/>
        <w:rPr>
          <w:rStyle w:val="Hyperlink"/>
        </w:rPr>
      </w:pPr>
      <w:r w:rsidRPr="00E56598">
        <w:rPr>
          <w:sz w:val="22"/>
          <w:szCs w:val="22"/>
          <w:vertAlign w:val="superscript"/>
        </w:rPr>
        <w:t>*</w:t>
      </w:r>
      <w:r w:rsidRPr="00E56598">
        <w:rPr>
          <w:sz w:val="22"/>
          <w:szCs w:val="22"/>
        </w:rPr>
        <w:t xml:space="preserve">Correspondence: </w:t>
      </w:r>
      <w:hyperlink r:id="rId7" w:history="1">
        <w:r w:rsidRPr="00E56598">
          <w:rPr>
            <w:rStyle w:val="Hyperlink"/>
            <w:sz w:val="22"/>
            <w:szCs w:val="22"/>
          </w:rPr>
          <w:t>bdunn@ucla.edu</w:t>
        </w:r>
      </w:hyperlink>
    </w:p>
    <w:p w14:paraId="7BBC4AC8" w14:textId="77777777" w:rsidR="007F5BCC" w:rsidRPr="00E56598" w:rsidRDefault="007F5BCC" w:rsidP="007F5BCC">
      <w:pPr>
        <w:spacing w:line="480" w:lineRule="auto"/>
        <w:jc w:val="both"/>
        <w:rPr>
          <w:color w:val="000000" w:themeColor="text1"/>
          <w:szCs w:val="22"/>
        </w:rPr>
      </w:pPr>
      <w:r w:rsidRPr="00E56598">
        <w:rPr>
          <w:b/>
          <w:color w:val="000000" w:themeColor="text1"/>
          <w:szCs w:val="22"/>
        </w:rPr>
        <w:t>Keywords</w:t>
      </w:r>
      <w:r w:rsidRPr="00E56598">
        <w:rPr>
          <w:color w:val="000000" w:themeColor="text1"/>
          <w:szCs w:val="22"/>
        </w:rPr>
        <w:t xml:space="preserve">: </w:t>
      </w:r>
      <w:proofErr w:type="spellStart"/>
      <w:r w:rsidRPr="00E56598">
        <w:rPr>
          <w:color w:val="000000" w:themeColor="text1"/>
          <w:szCs w:val="22"/>
        </w:rPr>
        <w:t>ambigel</w:t>
      </w:r>
      <w:proofErr w:type="spellEnd"/>
      <w:r w:rsidRPr="00E56598">
        <w:rPr>
          <w:color w:val="000000" w:themeColor="text1"/>
          <w:szCs w:val="22"/>
        </w:rPr>
        <w:t>; aerogel; mesoporous silica; thermal conductivity</w:t>
      </w:r>
      <w:r w:rsidRPr="00E56598">
        <w:rPr>
          <w:szCs w:val="22"/>
        </w:rPr>
        <w:t>; transparent insulation;</w:t>
      </w:r>
      <w:r w:rsidRPr="00E56598">
        <w:rPr>
          <w:color w:val="000000" w:themeColor="text1"/>
          <w:szCs w:val="22"/>
        </w:rPr>
        <w:t xml:space="preserve"> fractals</w:t>
      </w:r>
    </w:p>
    <w:p w14:paraId="3F3EF10C" w14:textId="018DCA01" w:rsidR="0017782D" w:rsidRDefault="0017782D" w:rsidP="0017782D">
      <w:pPr>
        <w:spacing w:line="480" w:lineRule="auto"/>
        <w:jc w:val="both"/>
        <w:rPr>
          <w:b/>
          <w:color w:val="000000" w:themeColor="text1"/>
          <w:szCs w:val="22"/>
        </w:rPr>
      </w:pPr>
    </w:p>
    <w:p w14:paraId="0B25E93A" w14:textId="29245A34" w:rsidR="0089353E" w:rsidRDefault="0089353E" w:rsidP="0017782D">
      <w:pPr>
        <w:spacing w:line="480" w:lineRule="auto"/>
        <w:jc w:val="both"/>
        <w:rPr>
          <w:b/>
          <w:color w:val="000000" w:themeColor="text1"/>
          <w:szCs w:val="22"/>
        </w:rPr>
      </w:pPr>
    </w:p>
    <w:p w14:paraId="72A54292" w14:textId="48F7D865" w:rsidR="003444D4" w:rsidRDefault="003444D4" w:rsidP="0017782D">
      <w:pPr>
        <w:spacing w:line="480" w:lineRule="auto"/>
        <w:jc w:val="both"/>
        <w:rPr>
          <w:b/>
          <w:color w:val="000000" w:themeColor="text1"/>
          <w:szCs w:val="22"/>
        </w:rPr>
      </w:pPr>
    </w:p>
    <w:p w14:paraId="6735702F" w14:textId="081D9E95" w:rsidR="003444D4" w:rsidRDefault="003444D4" w:rsidP="0017782D">
      <w:pPr>
        <w:spacing w:line="480" w:lineRule="auto"/>
        <w:jc w:val="both"/>
        <w:rPr>
          <w:b/>
          <w:color w:val="000000" w:themeColor="text1"/>
          <w:szCs w:val="22"/>
        </w:rPr>
      </w:pPr>
    </w:p>
    <w:p w14:paraId="735975FE" w14:textId="4A10967F" w:rsidR="003444D4" w:rsidRDefault="003444D4" w:rsidP="0017782D">
      <w:pPr>
        <w:spacing w:line="480" w:lineRule="auto"/>
        <w:jc w:val="both"/>
        <w:rPr>
          <w:b/>
          <w:color w:val="000000" w:themeColor="text1"/>
          <w:szCs w:val="22"/>
        </w:rPr>
      </w:pPr>
    </w:p>
    <w:p w14:paraId="796A5E79" w14:textId="00B74E15" w:rsidR="003444D4" w:rsidRDefault="003444D4" w:rsidP="0017782D">
      <w:pPr>
        <w:spacing w:line="480" w:lineRule="auto"/>
        <w:jc w:val="both"/>
        <w:rPr>
          <w:b/>
          <w:color w:val="000000" w:themeColor="text1"/>
          <w:szCs w:val="22"/>
        </w:rPr>
      </w:pPr>
    </w:p>
    <w:p w14:paraId="133B3481" w14:textId="77777777" w:rsidR="003444D4" w:rsidRDefault="003444D4" w:rsidP="0017782D">
      <w:pPr>
        <w:spacing w:line="480" w:lineRule="auto"/>
        <w:jc w:val="both"/>
        <w:rPr>
          <w:b/>
          <w:color w:val="000000" w:themeColor="text1"/>
          <w:szCs w:val="22"/>
        </w:rPr>
      </w:pPr>
    </w:p>
    <w:p w14:paraId="360354F3" w14:textId="2B51DC6B" w:rsidR="0089353E" w:rsidRDefault="0089353E" w:rsidP="0017782D">
      <w:pPr>
        <w:spacing w:line="480" w:lineRule="auto"/>
        <w:jc w:val="both"/>
        <w:rPr>
          <w:b/>
          <w:color w:val="000000" w:themeColor="text1"/>
          <w:szCs w:val="22"/>
        </w:rPr>
      </w:pPr>
      <w:r>
        <w:rPr>
          <w:b/>
          <w:color w:val="000000" w:themeColor="text1"/>
          <w:szCs w:val="22"/>
        </w:rPr>
        <w:lastRenderedPageBreak/>
        <w:t>Ambient drying</w:t>
      </w:r>
    </w:p>
    <w:p w14:paraId="6CB21EF7" w14:textId="17B5377C" w:rsidR="0017782D" w:rsidRPr="00E56598" w:rsidRDefault="0017782D" w:rsidP="0017782D">
      <w:pPr>
        <w:spacing w:line="480" w:lineRule="auto"/>
        <w:ind w:firstLine="720"/>
        <w:jc w:val="both"/>
        <w:rPr>
          <w:color w:val="000000" w:themeColor="text1"/>
        </w:rPr>
      </w:pPr>
      <w:r w:rsidRPr="00E56598">
        <w:rPr>
          <w:color w:val="000000" w:themeColor="text1"/>
        </w:rPr>
        <w:t>Ambient drying of silica gels is one method for obtaining mesoporous silica materials with small pore size and narrow pore size distribution.</w:t>
      </w:r>
      <w:r w:rsidR="005D7D69" w:rsidRPr="005D7D69">
        <w:rPr>
          <w:color w:val="000000"/>
          <w:vertAlign w:val="superscript"/>
        </w:rPr>
        <w:t>1</w:t>
      </w:r>
      <w:r w:rsidRPr="00E56598">
        <w:rPr>
          <w:color w:val="000000" w:themeColor="text1"/>
        </w:rPr>
        <w:t xml:space="preserve"> In contrast to aerogels, which require supercritical (typically CO</w:t>
      </w:r>
      <w:r w:rsidRPr="00E56598">
        <w:rPr>
          <w:color w:val="000000" w:themeColor="text1"/>
          <w:vertAlign w:val="subscript"/>
        </w:rPr>
        <w:t>2</w:t>
      </w:r>
      <w:r w:rsidRPr="00E56598">
        <w:rPr>
          <w:color w:val="000000" w:themeColor="text1"/>
        </w:rPr>
        <w:t xml:space="preserve">) drying techniques, and xerogels, which are dried in polar solvents, </w:t>
      </w:r>
      <w:proofErr w:type="spellStart"/>
      <w:r w:rsidRPr="00E56598">
        <w:rPr>
          <w:color w:val="000000" w:themeColor="text1"/>
        </w:rPr>
        <w:t>ambigel</w:t>
      </w:r>
      <w:proofErr w:type="spellEnd"/>
      <w:r w:rsidRPr="00E56598">
        <w:rPr>
          <w:color w:val="000000" w:themeColor="text1"/>
        </w:rPr>
        <w:t xml:space="preserve"> synthesis makes use of high vapor pressure and nonpolar drying solvents that can minimize the surface tension on the silica network. Limiting capillary forces and pore collapse in </w:t>
      </w:r>
      <w:proofErr w:type="spellStart"/>
      <w:r w:rsidRPr="00E56598">
        <w:rPr>
          <w:color w:val="000000" w:themeColor="text1"/>
        </w:rPr>
        <w:t>ambigels</w:t>
      </w:r>
      <w:proofErr w:type="spellEnd"/>
      <w:r w:rsidRPr="00E56598">
        <w:rPr>
          <w:color w:val="000000" w:themeColor="text1"/>
        </w:rPr>
        <w:t xml:space="preserve"> leads to a smaller pore size than in aerogels and a larger fraction of porosity than in xerogels.</w:t>
      </w:r>
      <w:r w:rsidR="005D7D69" w:rsidRPr="005D7D69">
        <w:rPr>
          <w:color w:val="000000"/>
          <w:vertAlign w:val="superscript"/>
        </w:rPr>
        <w:t>2–4</w:t>
      </w:r>
      <w:r w:rsidRPr="00E56598">
        <w:rPr>
          <w:color w:val="000000" w:themeColor="text1"/>
        </w:rPr>
        <w:t xml:space="preserve"> The reason that </w:t>
      </w:r>
      <w:r>
        <w:rPr>
          <w:color w:val="000000" w:themeColor="text1"/>
        </w:rPr>
        <w:t>the reduced</w:t>
      </w:r>
      <w:r w:rsidRPr="00E56598">
        <w:rPr>
          <w:color w:val="000000" w:themeColor="text1"/>
        </w:rPr>
        <w:t xml:space="preserve"> surface tension produces higher porosity can be understood by evaluati</w:t>
      </w:r>
      <w:r>
        <w:rPr>
          <w:color w:val="000000" w:themeColor="text1"/>
        </w:rPr>
        <w:t>ng</w:t>
      </w:r>
      <w:r w:rsidRPr="00E56598">
        <w:rPr>
          <w:color w:val="000000" w:themeColor="text1"/>
        </w:rPr>
        <w:t xml:space="preserve"> the Young-Laplace equation</w:t>
      </w:r>
      <w:r>
        <w:rPr>
          <w:color w:val="000000" w:themeColor="text1"/>
        </w:rPr>
        <w:t xml:space="preserve"> expressing</w:t>
      </w:r>
      <w:r w:rsidRPr="00E56598">
        <w:rPr>
          <w:color w:val="000000" w:themeColor="text1"/>
        </w:rPr>
        <w:t xml:space="preserve"> the capillary pressure </w:t>
      </w:r>
      <w:r w:rsidRPr="00E56598">
        <w:rPr>
          <w:i/>
          <w:color w:val="000000" w:themeColor="text1"/>
        </w:rPr>
        <w:t>P</w:t>
      </w:r>
      <w:r w:rsidRPr="00E56598">
        <w:rPr>
          <w:i/>
          <w:color w:val="000000" w:themeColor="text1"/>
          <w:vertAlign w:val="subscript"/>
        </w:rPr>
        <w:t>c</w:t>
      </w:r>
      <w:r w:rsidRPr="00E56598">
        <w:rPr>
          <w:color w:val="000000" w:themeColor="text1"/>
        </w:rPr>
        <w:t xml:space="preserve"> exerted by a solvent on the walls of a pore with diameter </w:t>
      </w:r>
      <w:r w:rsidRPr="00E56598">
        <w:rPr>
          <w:i/>
          <w:color w:val="000000" w:themeColor="text1"/>
        </w:rPr>
        <w:t xml:space="preserve">d </w:t>
      </w:r>
      <w:r w:rsidRPr="00E56598">
        <w:rPr>
          <w:color w:val="000000" w:themeColor="text1"/>
        </w:rPr>
        <w:t>as</w:t>
      </w:r>
    </w:p>
    <w:p w14:paraId="085AE01F" w14:textId="08BD78A4" w:rsidR="0017782D" w:rsidRPr="00E56598" w:rsidRDefault="0017782D" w:rsidP="0017782D">
      <w:pPr>
        <w:tabs>
          <w:tab w:val="center" w:pos="5040"/>
          <w:tab w:val="right" w:pos="9360"/>
        </w:tabs>
        <w:spacing w:line="480" w:lineRule="auto"/>
        <w:jc w:val="both"/>
        <w:rPr>
          <w:color w:val="000000" w:themeColor="text1"/>
        </w:rPr>
      </w:pPr>
      <w:r w:rsidRPr="00E56598">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 xml:space="preserve">4 </m:t>
            </m:r>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LV</m:t>
                </m:r>
              </m:sub>
            </m:sSub>
            <m:r>
              <w:rPr>
                <w:rFonts w:ascii="Cambria Math" w:hAnsi="Cambria Math"/>
                <w:color w:val="000000" w:themeColor="text1"/>
              </w:rPr>
              <m:t xml:space="preserve"> </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θ</m:t>
                </m:r>
              </m:e>
            </m:func>
          </m:num>
          <m:den>
            <m:r>
              <w:rPr>
                <w:rFonts w:ascii="Cambria Math" w:hAnsi="Cambria Math"/>
                <w:color w:val="000000" w:themeColor="text1"/>
              </w:rPr>
              <m:t>d</m:t>
            </m:r>
          </m:den>
        </m:f>
      </m:oMath>
      <w:r w:rsidRPr="00E56598">
        <w:rPr>
          <w:color w:val="000000" w:themeColor="text1"/>
        </w:rPr>
        <w:t>,</w:t>
      </w:r>
      <w:r w:rsidRPr="00E56598">
        <w:rPr>
          <w:color w:val="000000" w:themeColor="text1"/>
        </w:rPr>
        <w:tab/>
        <w:t>(</w:t>
      </w:r>
      <w:r w:rsidR="004561F0">
        <w:rPr>
          <w:color w:val="000000" w:themeColor="text1"/>
        </w:rPr>
        <w:t>Eqn</w:t>
      </w:r>
      <w:r w:rsidR="00CD5986">
        <w:rPr>
          <w:color w:val="000000" w:themeColor="text1"/>
        </w:rPr>
        <w:t>.</w:t>
      </w:r>
      <w:r w:rsidR="004561F0">
        <w:rPr>
          <w:color w:val="000000" w:themeColor="text1"/>
        </w:rPr>
        <w:t xml:space="preserve"> S1</w:t>
      </w:r>
      <w:r w:rsidRPr="00E56598">
        <w:rPr>
          <w:color w:val="000000" w:themeColor="text1"/>
        </w:rPr>
        <w:t>)</w:t>
      </w:r>
    </w:p>
    <w:p w14:paraId="4A347CD9" w14:textId="01AAFDB6" w:rsidR="0017782D" w:rsidRPr="0089353E" w:rsidRDefault="0017782D" w:rsidP="0017782D">
      <w:pPr>
        <w:spacing w:line="480" w:lineRule="auto"/>
        <w:jc w:val="both"/>
        <w:rPr>
          <w:noProof/>
          <w:color w:val="000000"/>
        </w:rPr>
      </w:pPr>
      <w:r w:rsidRPr="00E56598">
        <w:rPr>
          <w:color w:val="000000" w:themeColor="text1"/>
        </w:rPr>
        <w:t xml:space="preserve">where </w:t>
      </w:r>
      <w:r w:rsidRPr="00E56598">
        <w:rPr>
          <w:i/>
          <w:color w:val="000000" w:themeColor="text1"/>
        </w:rPr>
        <w:sym w:font="Symbol" w:char="F067"/>
      </w:r>
      <w:r w:rsidRPr="00E56598">
        <w:rPr>
          <w:i/>
          <w:color w:val="000000" w:themeColor="text1"/>
          <w:vertAlign w:val="subscript"/>
        </w:rPr>
        <w:t>LV</w:t>
      </w:r>
      <w:r w:rsidRPr="00E56598">
        <w:rPr>
          <w:color w:val="000000" w:themeColor="text1"/>
          <w:vertAlign w:val="subscript"/>
        </w:rPr>
        <w:t xml:space="preserve"> </w:t>
      </w:r>
      <w:r w:rsidRPr="00E56598">
        <w:rPr>
          <w:color w:val="000000" w:themeColor="text1"/>
        </w:rPr>
        <w:t xml:space="preserve">is the surface tension of the solvent/air interface and </w:t>
      </w:r>
      <w:r w:rsidRPr="00E56598">
        <w:rPr>
          <w:i/>
          <w:color w:val="000000" w:themeColor="text1"/>
        </w:rPr>
        <w:sym w:font="Symbol" w:char="F071"/>
      </w:r>
      <w:r w:rsidRPr="00E56598">
        <w:rPr>
          <w:color w:val="000000" w:themeColor="text1"/>
        </w:rPr>
        <w:t xml:space="preserve"> is the contact angle between the solvent and the pore wall.</w:t>
      </w:r>
      <w:r w:rsidR="005D7D69" w:rsidRPr="005D7D69">
        <w:rPr>
          <w:color w:val="000000"/>
          <w:vertAlign w:val="superscript"/>
        </w:rPr>
        <w:t>5</w:t>
      </w:r>
      <w:r w:rsidRPr="00E56598">
        <w:rPr>
          <w:color w:val="000000" w:themeColor="text1"/>
        </w:rPr>
        <w:t xml:space="preserve"> Thus, an organic solvent with low surface tension results in reduced capillary forces and minimal pore collapse during drying.</w:t>
      </w:r>
      <w:r w:rsidR="005D7D69" w:rsidRPr="005D7D69">
        <w:rPr>
          <w:color w:val="000000"/>
          <w:vertAlign w:val="superscript"/>
        </w:rPr>
        <w:t>6,7</w:t>
      </w:r>
      <w:r w:rsidRPr="00E56598">
        <w:rPr>
          <w:color w:val="000000" w:themeColor="text1"/>
        </w:rPr>
        <w:t xml:space="preserve"> Another consideration in creating a high porosity, monolithic, ambiently dried gel is careful regard of the sol components such as alkoxide precursors, solvent ratios, catalysts, and additives.</w:t>
      </w:r>
      <w:r w:rsidR="005D7D69" w:rsidRPr="005D7D69">
        <w:rPr>
          <w:color w:val="000000"/>
          <w:vertAlign w:val="superscript"/>
        </w:rPr>
        <w:t>8</w:t>
      </w:r>
      <w:r w:rsidRPr="00E56598">
        <w:rPr>
          <w:color w:val="000000" w:themeColor="text1"/>
        </w:rPr>
        <w:t xml:space="preserve"> The use of chemical additives to the sol, such as formamide, has been shown to produce a relatively uniform pore size distribution and to enable ambient drying without cracking.</w:t>
      </w:r>
      <w:r w:rsidR="005D7D69" w:rsidRPr="005D7D69">
        <w:rPr>
          <w:color w:val="000000"/>
          <w:vertAlign w:val="superscript"/>
        </w:rPr>
        <w:t>1,9–11</w:t>
      </w:r>
    </w:p>
    <w:p w14:paraId="5AA67AB4" w14:textId="0F797A76" w:rsidR="0017782D" w:rsidRPr="00E56598" w:rsidRDefault="0017782D" w:rsidP="0017782D">
      <w:pPr>
        <w:spacing w:line="480" w:lineRule="auto"/>
        <w:jc w:val="both"/>
        <w:rPr>
          <w:b/>
          <w:color w:val="000000" w:themeColor="text1"/>
        </w:rPr>
      </w:pPr>
    </w:p>
    <w:p w14:paraId="006FCE87" w14:textId="2B6E48CF" w:rsidR="0017782D" w:rsidRDefault="0017782D" w:rsidP="0017782D">
      <w:pPr>
        <w:spacing w:line="480" w:lineRule="auto"/>
        <w:jc w:val="both"/>
        <w:rPr>
          <w:b/>
          <w:color w:val="000000" w:themeColor="text1"/>
          <w:sz w:val="28"/>
        </w:rPr>
      </w:pPr>
    </w:p>
    <w:p w14:paraId="40EC0072" w14:textId="38D9E7B0" w:rsidR="00D97949" w:rsidRDefault="00D97949" w:rsidP="0017782D">
      <w:pPr>
        <w:spacing w:line="480" w:lineRule="auto"/>
        <w:jc w:val="both"/>
        <w:rPr>
          <w:b/>
          <w:color w:val="000000" w:themeColor="text1"/>
          <w:sz w:val="28"/>
        </w:rPr>
      </w:pPr>
    </w:p>
    <w:p w14:paraId="1A9A0F5A" w14:textId="234B9CF4" w:rsidR="00D97949" w:rsidRDefault="00D97949" w:rsidP="0017782D">
      <w:pPr>
        <w:spacing w:line="480" w:lineRule="auto"/>
        <w:jc w:val="both"/>
        <w:rPr>
          <w:b/>
          <w:color w:val="000000" w:themeColor="text1"/>
          <w:sz w:val="28"/>
        </w:rPr>
      </w:pPr>
    </w:p>
    <w:p w14:paraId="626A1365" w14:textId="77777777" w:rsidR="00D97949" w:rsidRPr="00E56598" w:rsidRDefault="00D97949" w:rsidP="0017782D">
      <w:pPr>
        <w:spacing w:line="480" w:lineRule="auto"/>
        <w:jc w:val="both"/>
        <w:rPr>
          <w:b/>
          <w:color w:val="000000" w:themeColor="text1"/>
          <w:sz w:val="28"/>
        </w:rPr>
      </w:pPr>
    </w:p>
    <w:p w14:paraId="5C52BC5A" w14:textId="77777777" w:rsidR="0017782D" w:rsidRPr="00E56598" w:rsidRDefault="0017782D" w:rsidP="0017782D">
      <w:pPr>
        <w:spacing w:line="480" w:lineRule="auto"/>
        <w:jc w:val="both"/>
        <w:rPr>
          <w:b/>
          <w:color w:val="000000" w:themeColor="text1"/>
        </w:rPr>
      </w:pPr>
      <w:r w:rsidRPr="00E56598">
        <w:rPr>
          <w:b/>
          <w:color w:val="000000" w:themeColor="text1"/>
        </w:rPr>
        <w:lastRenderedPageBreak/>
        <w:t xml:space="preserve">Thermogravimetric analysis and Fourier transform infrared spectroscopy </w:t>
      </w:r>
    </w:p>
    <w:p w14:paraId="6D10A215" w14:textId="7E163E14" w:rsidR="0017782D" w:rsidRDefault="0017782D" w:rsidP="0017782D">
      <w:pPr>
        <w:tabs>
          <w:tab w:val="left" w:pos="720"/>
        </w:tabs>
        <w:spacing w:line="480" w:lineRule="auto"/>
        <w:jc w:val="both"/>
        <w:rPr>
          <w:color w:val="000000" w:themeColor="text1"/>
        </w:rPr>
      </w:pPr>
      <w:r w:rsidRPr="00E56598">
        <w:rPr>
          <w:color w:val="000000" w:themeColor="text1"/>
        </w:rPr>
        <w:t xml:space="preserve">TGA data for pre-calcined </w:t>
      </w:r>
      <w:proofErr w:type="spellStart"/>
      <w:r w:rsidRPr="00E56598">
        <w:rPr>
          <w:color w:val="000000" w:themeColor="text1"/>
        </w:rPr>
        <w:t>ambigel</w:t>
      </w:r>
      <w:proofErr w:type="spellEnd"/>
      <w:r w:rsidRPr="00E56598">
        <w:rPr>
          <w:color w:val="000000" w:themeColor="text1"/>
        </w:rPr>
        <w:t xml:space="preserve"> samples TEOS1 and TEOS</w:t>
      </w:r>
      <w:proofErr w:type="gramStart"/>
      <w:r w:rsidRPr="00E56598">
        <w:rPr>
          <w:color w:val="000000" w:themeColor="text1"/>
        </w:rPr>
        <w:t>1</w:t>
      </w:r>
      <w:r>
        <w:rPr>
          <w:color w:val="000000" w:themeColor="text1"/>
        </w:rPr>
        <w:t>:MTES</w:t>
      </w:r>
      <w:proofErr w:type="gramEnd"/>
      <w:r w:rsidRPr="00E56598">
        <w:rPr>
          <w:color w:val="000000" w:themeColor="text1"/>
        </w:rPr>
        <w:t xml:space="preserve"> as well as non-calcined TEOS1</w:t>
      </w:r>
      <w:r>
        <w:rPr>
          <w:color w:val="000000" w:themeColor="text1"/>
        </w:rPr>
        <w:t>:MTES</w:t>
      </w:r>
      <w:r w:rsidRPr="00E56598">
        <w:rPr>
          <w:color w:val="000000" w:themeColor="text1"/>
        </w:rPr>
        <w:t xml:space="preserve">:0.5TMCS are shown in </w:t>
      </w:r>
      <w:r w:rsidRPr="00E56598">
        <w:rPr>
          <w:b/>
          <w:color w:val="000000" w:themeColor="text1"/>
        </w:rPr>
        <w:t>Figure S</w:t>
      </w:r>
      <w:r w:rsidR="008C1B0E">
        <w:rPr>
          <w:b/>
          <w:color w:val="000000" w:themeColor="text1"/>
        </w:rPr>
        <w:t>1</w:t>
      </w:r>
      <w:r w:rsidRPr="00E56598">
        <w:rPr>
          <w:color w:val="000000" w:themeColor="text1"/>
        </w:rPr>
        <w:t xml:space="preserve">. The methyl content measured by TGA is summarized in </w:t>
      </w:r>
      <w:r w:rsidRPr="00E56598">
        <w:rPr>
          <w:b/>
          <w:color w:val="000000" w:themeColor="text1"/>
        </w:rPr>
        <w:t xml:space="preserve">Table </w:t>
      </w:r>
      <w:r w:rsidR="00557D72">
        <w:rPr>
          <w:b/>
          <w:color w:val="000000" w:themeColor="text1"/>
        </w:rPr>
        <w:t>2</w:t>
      </w:r>
      <w:r w:rsidRPr="00E56598">
        <w:rPr>
          <w:color w:val="000000" w:themeColor="text1"/>
        </w:rPr>
        <w:t>. Although TEOS</w:t>
      </w:r>
      <w:proofErr w:type="gramStart"/>
      <w:r w:rsidRPr="00E56598">
        <w:rPr>
          <w:color w:val="000000" w:themeColor="text1"/>
        </w:rPr>
        <w:t>1</w:t>
      </w:r>
      <w:r>
        <w:rPr>
          <w:color w:val="000000" w:themeColor="text1"/>
        </w:rPr>
        <w:t>:MTES</w:t>
      </w:r>
      <w:proofErr w:type="gramEnd"/>
      <w:r w:rsidRPr="00E56598">
        <w:rPr>
          <w:color w:val="000000" w:themeColor="text1"/>
        </w:rPr>
        <w:t xml:space="preserve"> was pre-calcined to remove organics, some methyl groups remain on the surface and are only removed by calcination above 500°C, as indicated by TGA and FTIR. Analysis of the FTIR spectra is summarized in </w:t>
      </w:r>
      <w:r w:rsidRPr="00E56598">
        <w:rPr>
          <w:b/>
          <w:color w:val="000000" w:themeColor="text1"/>
        </w:rPr>
        <w:t>Table S</w:t>
      </w:r>
      <w:r w:rsidR="00557D72">
        <w:rPr>
          <w:b/>
          <w:color w:val="000000" w:themeColor="text1"/>
        </w:rPr>
        <w:t>1.</w:t>
      </w:r>
    </w:p>
    <w:p w14:paraId="3226FFAF" w14:textId="77777777" w:rsidR="0017782D" w:rsidRPr="00E56598" w:rsidRDefault="0017782D" w:rsidP="0017782D">
      <w:pPr>
        <w:tabs>
          <w:tab w:val="left" w:pos="3038"/>
        </w:tabs>
        <w:spacing w:line="480" w:lineRule="auto"/>
        <w:jc w:val="center"/>
        <w:rPr>
          <w:b/>
        </w:rPr>
      </w:pPr>
      <w:r w:rsidRPr="00E56598">
        <w:rPr>
          <w:b/>
          <w:noProof/>
        </w:rPr>
        <w:drawing>
          <wp:inline distT="0" distB="0" distL="0" distR="0" wp14:anchorId="532F83D2" wp14:editId="60E0ED8C">
            <wp:extent cx="4457699" cy="3343275"/>
            <wp:effectExtent l="0" t="0" r="635"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G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1192" cy="3345895"/>
                    </a:xfrm>
                    <a:prstGeom prst="rect">
                      <a:avLst/>
                    </a:prstGeom>
                  </pic:spPr>
                </pic:pic>
              </a:graphicData>
            </a:graphic>
          </wp:inline>
        </w:drawing>
      </w:r>
    </w:p>
    <w:p w14:paraId="58A46D55" w14:textId="77777777" w:rsidR="008C1B0E" w:rsidRPr="00E56598" w:rsidRDefault="008C1B0E" w:rsidP="008C1B0E">
      <w:pPr>
        <w:tabs>
          <w:tab w:val="left" w:pos="3038"/>
        </w:tabs>
        <w:jc w:val="both"/>
      </w:pPr>
      <w:r w:rsidRPr="00E56598">
        <w:rPr>
          <w:b/>
        </w:rPr>
        <w:t>Figure S</w:t>
      </w:r>
      <w:r>
        <w:rPr>
          <w:b/>
        </w:rPr>
        <w:t>1</w:t>
      </w:r>
      <w:r w:rsidRPr="00E56598">
        <w:rPr>
          <w:b/>
        </w:rPr>
        <w:t>.</w:t>
      </w:r>
      <w:r w:rsidRPr="00E56598">
        <w:t xml:space="preserve"> TGA of TEOS1, TEOS</w:t>
      </w:r>
      <w:proofErr w:type="gramStart"/>
      <w:r w:rsidRPr="00E56598">
        <w:t>1</w:t>
      </w:r>
      <w:r>
        <w:t>:MTES</w:t>
      </w:r>
      <w:proofErr w:type="gramEnd"/>
      <w:r w:rsidRPr="00E56598">
        <w:t xml:space="preserve"> pre-calcined </w:t>
      </w:r>
      <w:proofErr w:type="spellStart"/>
      <w:r w:rsidRPr="00E56598">
        <w:t>ambigel</w:t>
      </w:r>
      <w:proofErr w:type="spellEnd"/>
      <w:r>
        <w:t xml:space="preserve"> samples</w:t>
      </w:r>
      <w:r w:rsidRPr="00E56598">
        <w:t xml:space="preserve"> and non-calcined TEOS1</w:t>
      </w:r>
      <w:r>
        <w:t>:MTES</w:t>
      </w:r>
      <w:r w:rsidRPr="00E56598">
        <w:t xml:space="preserve">:0.5TMCS </w:t>
      </w:r>
      <w:proofErr w:type="spellStart"/>
      <w:r>
        <w:t>ambigel</w:t>
      </w:r>
      <w:proofErr w:type="spellEnd"/>
      <w:r>
        <w:t xml:space="preserve"> sample </w:t>
      </w:r>
      <w:r w:rsidRPr="00E56598">
        <w:t xml:space="preserve">at a ramp rate of 10 </w:t>
      </w:r>
      <w:r w:rsidRPr="00E56598">
        <w:sym w:font="Symbol" w:char="F0B0"/>
      </w:r>
      <w:r w:rsidRPr="00E56598">
        <w:t>C min</w:t>
      </w:r>
      <w:r w:rsidRPr="00E56598">
        <w:rPr>
          <w:vertAlign w:val="superscript"/>
        </w:rPr>
        <w:t xml:space="preserve">-1 </w:t>
      </w:r>
      <w:r w:rsidRPr="00E56598">
        <w:t xml:space="preserve">to 700 </w:t>
      </w:r>
      <w:r w:rsidRPr="00E56598">
        <w:sym w:font="Symbol" w:char="F0B0"/>
      </w:r>
      <w:r w:rsidRPr="00E56598">
        <w:t>C for TEOS1 and 1000</w:t>
      </w:r>
      <w:r w:rsidRPr="00E56598">
        <w:sym w:font="Symbol" w:char="F0B0"/>
      </w:r>
      <w:r w:rsidRPr="00E56598">
        <w:t>C</w:t>
      </w:r>
      <w:r w:rsidRPr="00E56598" w:rsidDel="00F41762">
        <w:t xml:space="preserve"> </w:t>
      </w:r>
      <w:r w:rsidRPr="00E56598">
        <w:t>for TEOS1</w:t>
      </w:r>
      <w:r>
        <w:t>:MTES</w:t>
      </w:r>
      <w:r w:rsidRPr="00E56598">
        <w:t xml:space="preserve"> and TEOS1</w:t>
      </w:r>
      <w:r>
        <w:t>:MTES</w:t>
      </w:r>
      <w:r w:rsidRPr="00E56598">
        <w:t xml:space="preserve">:0.5TMCS. The ~ 5 % weight loss below 150 </w:t>
      </w:r>
      <w:r w:rsidRPr="00E56598">
        <w:sym w:font="Symbol" w:char="F0B0"/>
      </w:r>
      <w:r w:rsidRPr="00E56598">
        <w:t>C in TEOS1 is due to the evaporation of physiosorbed water and highlights the hydrophilicity of the non-surface modified gels compared to the TEOS</w:t>
      </w:r>
      <w:proofErr w:type="gramStart"/>
      <w:r w:rsidRPr="00E56598">
        <w:t>1</w:t>
      </w:r>
      <w:r>
        <w:t>:MTES</w:t>
      </w:r>
      <w:proofErr w:type="gramEnd"/>
      <w:r w:rsidRPr="00E56598">
        <w:t xml:space="preserve"> and</w:t>
      </w:r>
      <w:r>
        <w:t xml:space="preserve"> </w:t>
      </w:r>
      <w:r w:rsidRPr="00E56598">
        <w:t>TEOS1</w:t>
      </w:r>
      <w:r>
        <w:t>:MTES</w:t>
      </w:r>
      <w:r w:rsidRPr="00E56598">
        <w:t xml:space="preserve">:0.5TMCS gels with surface methyl groups. The weight loss above 300 </w:t>
      </w:r>
      <w:r w:rsidRPr="00E56598">
        <w:sym w:font="Symbol" w:char="F0B0"/>
      </w:r>
      <w:r w:rsidRPr="00E56598">
        <w:t>C in TEOS</w:t>
      </w:r>
      <w:proofErr w:type="gramStart"/>
      <w:r w:rsidRPr="00E56598">
        <w:t>1</w:t>
      </w:r>
      <w:r>
        <w:t>:MTES</w:t>
      </w:r>
      <w:proofErr w:type="gramEnd"/>
      <w:r w:rsidRPr="00E56598">
        <w:t xml:space="preserve"> and TEOS1</w:t>
      </w:r>
      <w:r>
        <w:t>:MTES</w:t>
      </w:r>
      <w:r w:rsidRPr="00E56598">
        <w:t>:0.5TMCS  is attributed to the removal of remaining surface methyl groups in TEOS1</w:t>
      </w:r>
      <w:r>
        <w:t>:MTES</w:t>
      </w:r>
      <w:r w:rsidRPr="00E56598">
        <w:t xml:space="preserve"> and TEOS1</w:t>
      </w:r>
      <w:r>
        <w:t>:MTES</w:t>
      </w:r>
      <w:r w:rsidRPr="00E56598">
        <w:t xml:space="preserve">:0.5TMCS. The weight loss above 200 </w:t>
      </w:r>
      <w:r w:rsidRPr="00E56598">
        <w:sym w:font="Symbol" w:char="F0B0"/>
      </w:r>
      <w:r w:rsidRPr="00E56598">
        <w:t>C in TEOS1 can be attributed to induced crosslinking and subsequent dehydration.</w:t>
      </w:r>
    </w:p>
    <w:p w14:paraId="37032E25" w14:textId="77777777" w:rsidR="008C1B0E" w:rsidRDefault="008C1B0E" w:rsidP="008C1B0E">
      <w:pPr>
        <w:rPr>
          <w:color w:val="000000"/>
        </w:rPr>
      </w:pPr>
      <w:r>
        <w:rPr>
          <w:color w:val="000000"/>
        </w:rPr>
        <w:br w:type="page"/>
      </w:r>
    </w:p>
    <w:p w14:paraId="3F095D9F" w14:textId="77777777" w:rsidR="0017782D" w:rsidRPr="00E56598" w:rsidRDefault="0017782D" w:rsidP="0017782D">
      <w:pPr>
        <w:tabs>
          <w:tab w:val="left" w:pos="720"/>
        </w:tabs>
        <w:spacing w:line="480" w:lineRule="auto"/>
        <w:jc w:val="both"/>
        <w:rPr>
          <w:color w:val="000000"/>
        </w:rPr>
      </w:pPr>
    </w:p>
    <w:p w14:paraId="2BF623D2" w14:textId="0E5A1591" w:rsidR="00557D72" w:rsidRDefault="00557D72" w:rsidP="00557D72">
      <w:pPr>
        <w:jc w:val="both"/>
        <w:rPr>
          <w:color w:val="000000" w:themeColor="text1"/>
        </w:rPr>
      </w:pPr>
      <w:r w:rsidRPr="00E56598">
        <w:rPr>
          <w:b/>
          <w:color w:val="000000" w:themeColor="text1"/>
        </w:rPr>
        <w:t>Table S</w:t>
      </w:r>
      <w:r>
        <w:rPr>
          <w:b/>
          <w:color w:val="000000" w:themeColor="text1"/>
        </w:rPr>
        <w:t>1</w:t>
      </w:r>
      <w:r w:rsidRPr="00E56598">
        <w:rPr>
          <w:b/>
          <w:color w:val="000000" w:themeColor="text1"/>
        </w:rPr>
        <w:t xml:space="preserve">. </w:t>
      </w:r>
      <w:r w:rsidRPr="00E56598">
        <w:rPr>
          <w:color w:val="000000" w:themeColor="text1"/>
        </w:rPr>
        <w:t>Summary of observed FTIR peaks in cm</w:t>
      </w:r>
      <w:r w:rsidRPr="00E56598">
        <w:rPr>
          <w:color w:val="000000" w:themeColor="text1"/>
          <w:vertAlign w:val="superscript"/>
        </w:rPr>
        <w:t>-1</w:t>
      </w:r>
      <w:r w:rsidRPr="00E56598">
        <w:rPr>
          <w:color w:val="000000" w:themeColor="text1"/>
        </w:rPr>
        <w:t xml:space="preserve"> and attributed structural unit vibrations for TEOS1, TEOS</w:t>
      </w:r>
      <w:proofErr w:type="gramStart"/>
      <w:r>
        <w:rPr>
          <w:color w:val="000000" w:themeColor="text1"/>
        </w:rPr>
        <w:t>1:MTES</w:t>
      </w:r>
      <w:proofErr w:type="gramEnd"/>
      <w:r w:rsidRPr="00E56598">
        <w:rPr>
          <w:color w:val="000000" w:themeColor="text1"/>
        </w:rPr>
        <w:t xml:space="preserve"> and TEOS1</w:t>
      </w:r>
      <w:r>
        <w:rPr>
          <w:color w:val="000000" w:themeColor="text1"/>
        </w:rPr>
        <w:t>:MTES</w:t>
      </w:r>
      <w:r w:rsidRPr="00E56598">
        <w:rPr>
          <w:color w:val="000000" w:themeColor="text1"/>
        </w:rPr>
        <w:t>:0.5TMCS</w:t>
      </w:r>
      <w:r>
        <w:rPr>
          <w:color w:val="000000" w:themeColor="text1"/>
        </w:rPr>
        <w:t xml:space="preserve"> silica </w:t>
      </w:r>
      <w:proofErr w:type="spellStart"/>
      <w:r>
        <w:rPr>
          <w:color w:val="000000" w:themeColor="text1"/>
        </w:rPr>
        <w:t>ambigel</w:t>
      </w:r>
      <w:proofErr w:type="spellEnd"/>
      <w:r>
        <w:rPr>
          <w:color w:val="000000" w:themeColor="text1"/>
        </w:rPr>
        <w:t xml:space="preserve"> samples</w:t>
      </w:r>
      <w:r w:rsidRPr="00E56598">
        <w:rPr>
          <w:color w:val="000000" w:themeColor="text1"/>
        </w:rPr>
        <w:t>.</w:t>
      </w:r>
    </w:p>
    <w:p w14:paraId="1CC90203" w14:textId="77777777" w:rsidR="00557D72" w:rsidRDefault="00557D72" w:rsidP="00557D72">
      <w:pPr>
        <w:tabs>
          <w:tab w:val="left" w:pos="720"/>
        </w:tabs>
        <w:spacing w:line="480" w:lineRule="auto"/>
        <w:jc w:val="both"/>
        <w:rPr>
          <w:b/>
        </w:rPr>
      </w:pPr>
    </w:p>
    <w:p w14:paraId="665EF4F2" w14:textId="77777777" w:rsidR="00557D72" w:rsidRDefault="00557D72" w:rsidP="00557D72">
      <w:pPr>
        <w:tabs>
          <w:tab w:val="left" w:pos="720"/>
        </w:tabs>
        <w:spacing w:line="480" w:lineRule="auto"/>
        <w:jc w:val="both"/>
        <w:rPr>
          <w:b/>
        </w:rPr>
      </w:pPr>
    </w:p>
    <w:p w14:paraId="63E7C92B" w14:textId="77777777" w:rsidR="00557D72" w:rsidRDefault="00557D72" w:rsidP="00557D72">
      <w:pPr>
        <w:tabs>
          <w:tab w:val="left" w:pos="720"/>
        </w:tabs>
        <w:spacing w:line="480" w:lineRule="auto"/>
        <w:jc w:val="both"/>
        <w:rPr>
          <w:b/>
        </w:rPr>
      </w:pPr>
    </w:p>
    <w:p w14:paraId="4E1D6DFB" w14:textId="77777777" w:rsidR="00557D72" w:rsidRPr="00E56598" w:rsidRDefault="00557D72" w:rsidP="00557D72">
      <w:pPr>
        <w:tabs>
          <w:tab w:val="left" w:pos="720"/>
        </w:tabs>
        <w:spacing w:line="480" w:lineRule="auto"/>
        <w:jc w:val="both"/>
        <w:rPr>
          <w:b/>
        </w:rPr>
      </w:pPr>
    </w:p>
    <w:p w14:paraId="5A111D95" w14:textId="77777777" w:rsidR="00557D72" w:rsidRPr="00E56598" w:rsidRDefault="00557D72" w:rsidP="00557D72">
      <w:pPr>
        <w:tabs>
          <w:tab w:val="left" w:pos="720"/>
        </w:tabs>
        <w:spacing w:line="480" w:lineRule="auto"/>
        <w:jc w:val="both"/>
        <w:rPr>
          <w:b/>
        </w:rPr>
      </w:pPr>
    </w:p>
    <w:tbl>
      <w:tblPr>
        <w:tblpPr w:leftFromText="180" w:rightFromText="180" w:vertAnchor="page" w:horzAnchor="margin" w:tblpY="3182"/>
        <w:tblW w:w="5000" w:type="pct"/>
        <w:tblCellMar>
          <w:left w:w="0" w:type="dxa"/>
          <w:right w:w="0" w:type="dxa"/>
        </w:tblCellMar>
        <w:tblLook w:val="01E0" w:firstRow="1" w:lastRow="1" w:firstColumn="1" w:lastColumn="1" w:noHBand="0" w:noVBand="0"/>
      </w:tblPr>
      <w:tblGrid>
        <w:gridCol w:w="1176"/>
        <w:gridCol w:w="1806"/>
        <w:gridCol w:w="1883"/>
        <w:gridCol w:w="3860"/>
        <w:gridCol w:w="635"/>
      </w:tblGrid>
      <w:tr w:rsidR="00557D72" w:rsidRPr="00E56598" w14:paraId="754C54C9" w14:textId="77777777" w:rsidTr="00C10A5F">
        <w:trPr>
          <w:trHeight w:val="620"/>
        </w:trPr>
        <w:tc>
          <w:tcPr>
            <w:tcW w:w="628" w:type="pct"/>
            <w:tcBorders>
              <w:top w:val="single" w:sz="4" w:space="0" w:color="auto"/>
              <w:bottom w:val="single" w:sz="4" w:space="0" w:color="auto"/>
            </w:tcBorders>
            <w:vAlign w:val="center"/>
          </w:tcPr>
          <w:p w14:paraId="5DA8D071" w14:textId="77777777" w:rsidR="00557D72" w:rsidRPr="001F5488" w:rsidRDefault="00557D72" w:rsidP="00C10A5F">
            <w:pPr>
              <w:pStyle w:val="TableHead"/>
              <w:tabs>
                <w:tab w:val="left" w:pos="720"/>
              </w:tabs>
              <w:spacing w:line="240" w:lineRule="auto"/>
              <w:contextualSpacing/>
              <w:jc w:val="center"/>
              <w:rPr>
                <w:rFonts w:ascii="Times New Roman" w:hAnsi="Times New Roman"/>
                <w:b/>
                <w:sz w:val="22"/>
                <w:szCs w:val="22"/>
                <w:lang w:val="en-US"/>
              </w:rPr>
            </w:pPr>
            <w:r w:rsidRPr="001F5488">
              <w:rPr>
                <w:rFonts w:ascii="Times New Roman" w:hAnsi="Times New Roman"/>
                <w:b/>
                <w:sz w:val="22"/>
                <w:szCs w:val="22"/>
                <w:lang w:val="en-US"/>
              </w:rPr>
              <w:t>TEOS1</w:t>
            </w:r>
          </w:p>
        </w:tc>
        <w:tc>
          <w:tcPr>
            <w:tcW w:w="965" w:type="pct"/>
            <w:tcBorders>
              <w:top w:val="single" w:sz="4" w:space="0" w:color="auto"/>
              <w:bottom w:val="single" w:sz="4" w:space="0" w:color="auto"/>
            </w:tcBorders>
            <w:vAlign w:val="center"/>
          </w:tcPr>
          <w:p w14:paraId="30516DCC" w14:textId="77777777" w:rsidR="00557D72" w:rsidRPr="001F5488" w:rsidRDefault="00557D72" w:rsidP="00C10A5F">
            <w:pPr>
              <w:pStyle w:val="TableHead"/>
              <w:keepNext/>
              <w:keepLines/>
              <w:tabs>
                <w:tab w:val="left" w:pos="720"/>
              </w:tabs>
              <w:spacing w:before="40" w:line="240" w:lineRule="auto"/>
              <w:contextualSpacing/>
              <w:jc w:val="center"/>
              <w:outlineLvl w:val="2"/>
              <w:rPr>
                <w:rFonts w:ascii="Times New Roman" w:hAnsi="Times New Roman"/>
                <w:b/>
                <w:sz w:val="22"/>
                <w:szCs w:val="22"/>
                <w:lang w:val="en-US"/>
              </w:rPr>
            </w:pPr>
            <w:r w:rsidRPr="001F5488">
              <w:rPr>
                <w:rFonts w:ascii="Times New Roman" w:hAnsi="Times New Roman"/>
                <w:b/>
                <w:sz w:val="22"/>
                <w:szCs w:val="22"/>
                <w:lang w:val="en-US"/>
              </w:rPr>
              <w:t>TEOS</w:t>
            </w:r>
            <w:proofErr w:type="gramStart"/>
            <w:r w:rsidRPr="001F5488">
              <w:rPr>
                <w:rFonts w:ascii="Times New Roman" w:hAnsi="Times New Roman"/>
                <w:b/>
                <w:sz w:val="22"/>
                <w:szCs w:val="22"/>
                <w:lang w:val="en-US"/>
              </w:rPr>
              <w:t>1:MTES</w:t>
            </w:r>
            <w:proofErr w:type="gramEnd"/>
          </w:p>
        </w:tc>
        <w:tc>
          <w:tcPr>
            <w:tcW w:w="1006" w:type="pct"/>
            <w:tcBorders>
              <w:top w:val="single" w:sz="4" w:space="0" w:color="auto"/>
              <w:bottom w:val="single" w:sz="4" w:space="0" w:color="auto"/>
            </w:tcBorders>
            <w:vAlign w:val="center"/>
          </w:tcPr>
          <w:p w14:paraId="3EEDF06B" w14:textId="77777777" w:rsidR="00557D72" w:rsidRPr="001F5488" w:rsidRDefault="00557D72" w:rsidP="00C10A5F">
            <w:pPr>
              <w:pStyle w:val="TableHead"/>
              <w:tabs>
                <w:tab w:val="left" w:pos="720"/>
              </w:tabs>
              <w:spacing w:line="240" w:lineRule="auto"/>
              <w:contextualSpacing/>
              <w:jc w:val="center"/>
              <w:rPr>
                <w:rFonts w:ascii="Times New Roman" w:hAnsi="Times New Roman"/>
                <w:b/>
                <w:sz w:val="22"/>
                <w:szCs w:val="22"/>
                <w:vertAlign w:val="superscript"/>
                <w:lang w:val="en-US"/>
              </w:rPr>
            </w:pPr>
            <w:r w:rsidRPr="001F5488">
              <w:rPr>
                <w:rFonts w:ascii="Times New Roman" w:hAnsi="Times New Roman"/>
                <w:b/>
                <w:sz w:val="22"/>
                <w:szCs w:val="22"/>
              </w:rPr>
              <w:t>TEOS</w:t>
            </w:r>
            <w:proofErr w:type="gramStart"/>
            <w:r w:rsidRPr="001F5488">
              <w:rPr>
                <w:rFonts w:ascii="Times New Roman" w:hAnsi="Times New Roman"/>
                <w:b/>
                <w:sz w:val="22"/>
                <w:szCs w:val="22"/>
              </w:rPr>
              <w:t>1:MTES</w:t>
            </w:r>
            <w:proofErr w:type="gramEnd"/>
            <w:r w:rsidRPr="001F5488">
              <w:rPr>
                <w:rFonts w:ascii="Times New Roman" w:hAnsi="Times New Roman"/>
                <w:b/>
                <w:sz w:val="22"/>
                <w:szCs w:val="22"/>
              </w:rPr>
              <w:t xml:space="preserve">: </w:t>
            </w:r>
            <w:r w:rsidRPr="001F5488">
              <w:rPr>
                <w:rFonts w:ascii="Times New Roman" w:hAnsi="Times New Roman"/>
                <w:b/>
                <w:sz w:val="22"/>
                <w:szCs w:val="22"/>
                <w:lang w:val="en-US"/>
              </w:rPr>
              <w:t>0.5TMCS</w:t>
            </w:r>
          </w:p>
        </w:tc>
        <w:tc>
          <w:tcPr>
            <w:tcW w:w="2062" w:type="pct"/>
            <w:tcBorders>
              <w:top w:val="single" w:sz="4" w:space="0" w:color="auto"/>
              <w:bottom w:val="single" w:sz="4" w:space="0" w:color="auto"/>
            </w:tcBorders>
            <w:vAlign w:val="center"/>
          </w:tcPr>
          <w:p w14:paraId="492D1362" w14:textId="77777777" w:rsidR="00557D72" w:rsidRPr="001F5488" w:rsidRDefault="00557D72" w:rsidP="00C10A5F">
            <w:pPr>
              <w:pStyle w:val="TableHead"/>
              <w:tabs>
                <w:tab w:val="left" w:pos="720"/>
              </w:tabs>
              <w:spacing w:line="240" w:lineRule="auto"/>
              <w:contextualSpacing/>
              <w:jc w:val="center"/>
              <w:rPr>
                <w:rFonts w:ascii="Times New Roman" w:hAnsi="Times New Roman"/>
                <w:b/>
                <w:sz w:val="22"/>
                <w:szCs w:val="22"/>
                <w:lang w:val="en-US"/>
              </w:rPr>
            </w:pPr>
            <w:r w:rsidRPr="001F5488">
              <w:rPr>
                <w:rFonts w:ascii="Times New Roman" w:hAnsi="Times New Roman"/>
                <w:b/>
                <w:sz w:val="22"/>
                <w:szCs w:val="22"/>
                <w:lang w:val="en-US"/>
              </w:rPr>
              <w:t>Structural unit and type of vibration</w:t>
            </w:r>
          </w:p>
        </w:tc>
        <w:tc>
          <w:tcPr>
            <w:tcW w:w="339" w:type="pct"/>
            <w:tcBorders>
              <w:top w:val="single" w:sz="4" w:space="0" w:color="auto"/>
              <w:bottom w:val="single" w:sz="4" w:space="0" w:color="auto"/>
            </w:tcBorders>
            <w:vAlign w:val="center"/>
          </w:tcPr>
          <w:p w14:paraId="614D80A0" w14:textId="77777777" w:rsidR="00557D72" w:rsidRPr="001F5488" w:rsidRDefault="00557D72" w:rsidP="00C10A5F">
            <w:pPr>
              <w:pStyle w:val="TableHead"/>
              <w:tabs>
                <w:tab w:val="left" w:pos="720"/>
              </w:tabs>
              <w:spacing w:line="240" w:lineRule="auto"/>
              <w:contextualSpacing/>
              <w:jc w:val="center"/>
              <w:rPr>
                <w:rFonts w:ascii="Times New Roman" w:hAnsi="Times New Roman"/>
                <w:b/>
                <w:sz w:val="22"/>
                <w:szCs w:val="22"/>
                <w:lang w:val="en-US"/>
              </w:rPr>
            </w:pPr>
            <w:r w:rsidRPr="001F5488">
              <w:rPr>
                <w:rFonts w:ascii="Times New Roman" w:hAnsi="Times New Roman"/>
                <w:b/>
                <w:sz w:val="22"/>
                <w:szCs w:val="22"/>
                <w:lang w:val="en-US"/>
              </w:rPr>
              <w:t>Ref.</w:t>
            </w:r>
          </w:p>
        </w:tc>
      </w:tr>
      <w:tr w:rsidR="00557D72" w:rsidRPr="00E56598" w14:paraId="68580495" w14:textId="77777777" w:rsidTr="00C10A5F">
        <w:trPr>
          <w:trHeight w:val="161"/>
        </w:trPr>
        <w:tc>
          <w:tcPr>
            <w:tcW w:w="628" w:type="pct"/>
            <w:vAlign w:val="center"/>
          </w:tcPr>
          <w:p w14:paraId="0C5D9AFC"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color w:val="000000" w:themeColor="text1"/>
                <w:sz w:val="24"/>
                <w:szCs w:val="24"/>
                <w:lang w:val="en-US"/>
              </w:rPr>
              <w:t>460</w:t>
            </w:r>
          </w:p>
        </w:tc>
        <w:tc>
          <w:tcPr>
            <w:tcW w:w="965" w:type="pct"/>
            <w:vAlign w:val="center"/>
          </w:tcPr>
          <w:p w14:paraId="7E0F61AD" w14:textId="77777777" w:rsidR="00557D72" w:rsidRPr="00442566" w:rsidRDefault="00557D72" w:rsidP="00C10A5F">
            <w:pPr>
              <w:pStyle w:val="TableBody"/>
              <w:tabs>
                <w:tab w:val="left" w:pos="720"/>
              </w:tabs>
              <w:spacing w:line="240" w:lineRule="auto"/>
              <w:contextualSpacing/>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450</w:t>
            </w:r>
          </w:p>
        </w:tc>
        <w:tc>
          <w:tcPr>
            <w:tcW w:w="1006" w:type="pct"/>
            <w:vAlign w:val="center"/>
          </w:tcPr>
          <w:p w14:paraId="2F232987"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color w:val="000000" w:themeColor="text1"/>
                <w:sz w:val="24"/>
                <w:szCs w:val="24"/>
                <w:lang w:val="en-US"/>
              </w:rPr>
              <w:t>450</w:t>
            </w:r>
          </w:p>
        </w:tc>
        <w:tc>
          <w:tcPr>
            <w:tcW w:w="2062" w:type="pct"/>
            <w:vAlign w:val="center"/>
          </w:tcPr>
          <w:p w14:paraId="72FCE74C" w14:textId="77777777" w:rsidR="00557D72" w:rsidRPr="00442566" w:rsidRDefault="00557D72" w:rsidP="00C10A5F">
            <w:pPr>
              <w:pStyle w:val="TableBody"/>
              <w:tabs>
                <w:tab w:val="left" w:pos="720"/>
              </w:tabs>
              <w:spacing w:line="240" w:lineRule="auto"/>
              <w:contextualSpacing/>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O-Si-O deformation</w:t>
            </w:r>
          </w:p>
        </w:tc>
        <w:tc>
          <w:tcPr>
            <w:tcW w:w="339" w:type="pct"/>
            <w:vAlign w:val="center"/>
          </w:tcPr>
          <w:p w14:paraId="6B4244D8" w14:textId="4B9F4809" w:rsidR="00557D72" w:rsidRPr="00442566" w:rsidRDefault="005D7D69" w:rsidP="00C10A5F">
            <w:pPr>
              <w:pStyle w:val="TableBody"/>
              <w:tabs>
                <w:tab w:val="left" w:pos="720"/>
              </w:tabs>
              <w:spacing w:line="240" w:lineRule="auto"/>
              <w:contextualSpacing/>
              <w:jc w:val="center"/>
              <w:rPr>
                <w:rFonts w:ascii="Times New Roman" w:hAnsi="Times New Roman"/>
                <w:color w:val="000000" w:themeColor="text1"/>
                <w:sz w:val="24"/>
                <w:szCs w:val="24"/>
                <w:lang w:val="en-US"/>
              </w:rPr>
            </w:pPr>
            <w:r w:rsidRPr="005D7D69">
              <w:rPr>
                <w:rFonts w:ascii="Times New Roman" w:hAnsi="Times New Roman"/>
                <w:color w:val="000000"/>
                <w:sz w:val="20"/>
                <w:vertAlign w:val="superscript"/>
              </w:rPr>
              <w:t>12,13</w:t>
            </w:r>
          </w:p>
        </w:tc>
      </w:tr>
      <w:tr w:rsidR="00557D72" w:rsidRPr="00E56598" w14:paraId="141DC0EA" w14:textId="77777777" w:rsidTr="00C10A5F">
        <w:trPr>
          <w:trHeight w:val="15"/>
        </w:trPr>
        <w:tc>
          <w:tcPr>
            <w:tcW w:w="628" w:type="pct"/>
            <w:vAlign w:val="center"/>
          </w:tcPr>
          <w:p w14:paraId="13B4BA8C"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color w:val="000000" w:themeColor="text1"/>
                <w:sz w:val="24"/>
                <w:szCs w:val="24"/>
                <w:lang w:val="en-US"/>
              </w:rPr>
              <w:t>562</w:t>
            </w:r>
          </w:p>
        </w:tc>
        <w:tc>
          <w:tcPr>
            <w:tcW w:w="965" w:type="pct"/>
            <w:vAlign w:val="center"/>
          </w:tcPr>
          <w:p w14:paraId="17654E59" w14:textId="77777777" w:rsidR="00557D72" w:rsidRPr="00442566" w:rsidRDefault="00557D72" w:rsidP="00C10A5F">
            <w:pPr>
              <w:pStyle w:val="TableBody"/>
              <w:tabs>
                <w:tab w:val="left" w:pos="720"/>
              </w:tabs>
              <w:spacing w:line="240" w:lineRule="auto"/>
              <w:contextualSpacing/>
              <w:jc w:val="center"/>
              <w:rPr>
                <w:rFonts w:ascii="Times New Roman" w:hAnsi="Times New Roman"/>
                <w:color w:val="000000" w:themeColor="text1"/>
                <w:sz w:val="24"/>
                <w:szCs w:val="24"/>
                <w:lang w:val="en-US"/>
              </w:rPr>
            </w:pPr>
            <w:r>
              <w:rPr>
                <w:rFonts w:ascii="Times New Roman" w:hAnsi="Times New Roman"/>
                <w:sz w:val="24"/>
                <w:szCs w:val="24"/>
                <w:lang w:val="en-US"/>
              </w:rPr>
              <w:t>575</w:t>
            </w:r>
          </w:p>
        </w:tc>
        <w:tc>
          <w:tcPr>
            <w:tcW w:w="1006" w:type="pct"/>
            <w:vAlign w:val="center"/>
          </w:tcPr>
          <w:p w14:paraId="247B7CBB"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572</w:t>
            </w:r>
          </w:p>
        </w:tc>
        <w:tc>
          <w:tcPr>
            <w:tcW w:w="2062" w:type="pct"/>
            <w:vAlign w:val="center"/>
          </w:tcPr>
          <w:p w14:paraId="306CE7F4"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Si-O stretching</w:t>
            </w:r>
          </w:p>
        </w:tc>
        <w:tc>
          <w:tcPr>
            <w:tcW w:w="339" w:type="pct"/>
            <w:vAlign w:val="center"/>
          </w:tcPr>
          <w:p w14:paraId="5D0B4332" w14:textId="7FCE36F7" w:rsidR="00557D72" w:rsidRPr="00442566" w:rsidRDefault="005D7D69" w:rsidP="00C10A5F">
            <w:pPr>
              <w:pStyle w:val="TableBody"/>
              <w:tabs>
                <w:tab w:val="left" w:pos="720"/>
              </w:tabs>
              <w:spacing w:line="240" w:lineRule="auto"/>
              <w:contextualSpacing/>
              <w:jc w:val="center"/>
              <w:rPr>
                <w:rFonts w:ascii="Times New Roman" w:hAnsi="Times New Roman"/>
                <w:sz w:val="24"/>
                <w:szCs w:val="24"/>
                <w:lang w:val="en-US"/>
              </w:rPr>
            </w:pPr>
            <w:r w:rsidRPr="005D7D69">
              <w:rPr>
                <w:rFonts w:ascii="Times New Roman" w:hAnsi="Times New Roman"/>
                <w:color w:val="000000"/>
                <w:sz w:val="20"/>
                <w:vertAlign w:val="superscript"/>
              </w:rPr>
              <w:t>13</w:t>
            </w:r>
          </w:p>
        </w:tc>
      </w:tr>
      <w:tr w:rsidR="00557D72" w:rsidRPr="00E56598" w14:paraId="60CE5442" w14:textId="77777777" w:rsidTr="00C10A5F">
        <w:trPr>
          <w:trHeight w:val="15"/>
        </w:trPr>
        <w:tc>
          <w:tcPr>
            <w:tcW w:w="628" w:type="pct"/>
            <w:vAlign w:val="center"/>
          </w:tcPr>
          <w:p w14:paraId="547E8C20"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800</w:t>
            </w:r>
          </w:p>
        </w:tc>
        <w:tc>
          <w:tcPr>
            <w:tcW w:w="965" w:type="pct"/>
            <w:vAlign w:val="center"/>
          </w:tcPr>
          <w:p w14:paraId="15D28D88" w14:textId="77777777" w:rsidR="00557D72" w:rsidRPr="00442566" w:rsidRDefault="00557D72" w:rsidP="00C10A5F">
            <w:pPr>
              <w:pStyle w:val="TableBody"/>
              <w:tabs>
                <w:tab w:val="left" w:pos="720"/>
              </w:tabs>
              <w:spacing w:line="240" w:lineRule="auto"/>
              <w:contextualSpacing/>
              <w:jc w:val="center"/>
              <w:rPr>
                <w:rFonts w:ascii="Times New Roman" w:eastAsia="Times New Roman" w:hAnsi="Times New Roman"/>
                <w:color w:val="000000"/>
                <w:sz w:val="24"/>
                <w:szCs w:val="24"/>
                <w:lang w:val="en-US"/>
              </w:rPr>
            </w:pPr>
            <w:r>
              <w:rPr>
                <w:rFonts w:ascii="Times New Roman" w:hAnsi="Times New Roman"/>
                <w:sz w:val="24"/>
                <w:szCs w:val="24"/>
                <w:lang w:val="en-US"/>
              </w:rPr>
              <w:t>795</w:t>
            </w:r>
          </w:p>
        </w:tc>
        <w:tc>
          <w:tcPr>
            <w:tcW w:w="1006" w:type="pct"/>
            <w:vAlign w:val="center"/>
          </w:tcPr>
          <w:p w14:paraId="498C4F15"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776</w:t>
            </w:r>
          </w:p>
        </w:tc>
        <w:tc>
          <w:tcPr>
            <w:tcW w:w="2062" w:type="pct"/>
            <w:vAlign w:val="center"/>
          </w:tcPr>
          <w:p w14:paraId="26C2A6B5"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Si-O symmetric stretching</w:t>
            </w:r>
          </w:p>
        </w:tc>
        <w:tc>
          <w:tcPr>
            <w:tcW w:w="339" w:type="pct"/>
            <w:vAlign w:val="center"/>
          </w:tcPr>
          <w:p w14:paraId="14822B93" w14:textId="094CBDFE" w:rsidR="00557D72" w:rsidRPr="00442566" w:rsidRDefault="005D7D69" w:rsidP="00C10A5F">
            <w:pPr>
              <w:pStyle w:val="TableBody"/>
              <w:tabs>
                <w:tab w:val="left" w:pos="720"/>
              </w:tabs>
              <w:spacing w:line="240" w:lineRule="auto"/>
              <w:contextualSpacing/>
              <w:jc w:val="center"/>
              <w:rPr>
                <w:rFonts w:ascii="Times New Roman" w:hAnsi="Times New Roman"/>
                <w:sz w:val="24"/>
                <w:szCs w:val="24"/>
                <w:lang w:val="en-US"/>
              </w:rPr>
            </w:pPr>
            <w:r w:rsidRPr="005D7D69">
              <w:rPr>
                <w:rFonts w:ascii="Times New Roman" w:hAnsi="Times New Roman"/>
                <w:color w:val="000000"/>
                <w:sz w:val="20"/>
                <w:vertAlign w:val="superscript"/>
              </w:rPr>
              <w:t>13</w:t>
            </w:r>
          </w:p>
        </w:tc>
      </w:tr>
      <w:tr w:rsidR="00557D72" w:rsidRPr="00E56598" w14:paraId="37D153A3" w14:textId="77777777" w:rsidTr="00C10A5F">
        <w:trPr>
          <w:trHeight w:val="15"/>
        </w:trPr>
        <w:tc>
          <w:tcPr>
            <w:tcW w:w="628" w:type="pct"/>
            <w:vAlign w:val="center"/>
          </w:tcPr>
          <w:p w14:paraId="6683481C"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hAnsi="Times New Roman"/>
                <w:sz w:val="24"/>
                <w:szCs w:val="24"/>
                <w:lang w:val="en-US"/>
              </w:rPr>
            </w:pPr>
          </w:p>
        </w:tc>
        <w:tc>
          <w:tcPr>
            <w:tcW w:w="965" w:type="pct"/>
            <w:vAlign w:val="center"/>
          </w:tcPr>
          <w:p w14:paraId="557235BC"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eastAsia="Times New Roman" w:hAnsi="Times New Roman"/>
                <w:color w:val="000000"/>
                <w:sz w:val="24"/>
                <w:szCs w:val="24"/>
                <w:lang w:val="en-US"/>
              </w:rPr>
            </w:pPr>
          </w:p>
        </w:tc>
        <w:tc>
          <w:tcPr>
            <w:tcW w:w="1006" w:type="pct"/>
            <w:vAlign w:val="center"/>
          </w:tcPr>
          <w:p w14:paraId="198445CA"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845</w:t>
            </w:r>
          </w:p>
        </w:tc>
        <w:tc>
          <w:tcPr>
            <w:tcW w:w="2062" w:type="pct"/>
            <w:vAlign w:val="center"/>
          </w:tcPr>
          <w:p w14:paraId="02761DB8"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Si-C stretching</w:t>
            </w:r>
          </w:p>
        </w:tc>
        <w:tc>
          <w:tcPr>
            <w:tcW w:w="339" w:type="pct"/>
            <w:vAlign w:val="center"/>
          </w:tcPr>
          <w:p w14:paraId="085ECC53" w14:textId="32150FFB" w:rsidR="00557D72" w:rsidRPr="00442566" w:rsidRDefault="005D7D69" w:rsidP="00C10A5F">
            <w:pPr>
              <w:pStyle w:val="TableBody"/>
              <w:tabs>
                <w:tab w:val="left" w:pos="720"/>
              </w:tabs>
              <w:spacing w:line="240" w:lineRule="auto"/>
              <w:contextualSpacing/>
              <w:jc w:val="center"/>
              <w:rPr>
                <w:rFonts w:ascii="Times New Roman" w:hAnsi="Times New Roman"/>
                <w:sz w:val="24"/>
                <w:szCs w:val="24"/>
                <w:lang w:val="en-US"/>
              </w:rPr>
            </w:pPr>
            <w:r w:rsidRPr="005D7D69">
              <w:rPr>
                <w:rFonts w:ascii="Times New Roman" w:hAnsi="Times New Roman"/>
                <w:sz w:val="20"/>
                <w:vertAlign w:val="superscript"/>
              </w:rPr>
              <w:t>14</w:t>
            </w:r>
          </w:p>
        </w:tc>
      </w:tr>
      <w:tr w:rsidR="00557D72" w:rsidRPr="00E56598" w14:paraId="66A3EB8F" w14:textId="77777777" w:rsidTr="00C10A5F">
        <w:trPr>
          <w:trHeight w:val="191"/>
        </w:trPr>
        <w:tc>
          <w:tcPr>
            <w:tcW w:w="628" w:type="pct"/>
            <w:tcBorders>
              <w:bottom w:val="single" w:sz="4" w:space="0" w:color="000000"/>
            </w:tcBorders>
            <w:vAlign w:val="center"/>
          </w:tcPr>
          <w:p w14:paraId="7482699F"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hAnsi="Times New Roman"/>
                <w:sz w:val="24"/>
                <w:szCs w:val="24"/>
                <w:lang w:val="en-US"/>
              </w:rPr>
            </w:pPr>
          </w:p>
        </w:tc>
        <w:tc>
          <w:tcPr>
            <w:tcW w:w="965" w:type="pct"/>
            <w:tcBorders>
              <w:bottom w:val="single" w:sz="4" w:space="0" w:color="000000"/>
            </w:tcBorders>
            <w:vAlign w:val="center"/>
          </w:tcPr>
          <w:p w14:paraId="4A1AEC60" w14:textId="77777777" w:rsidR="00557D72" w:rsidRPr="00442566" w:rsidRDefault="00557D72" w:rsidP="00C10A5F">
            <w:pPr>
              <w:pStyle w:val="TableBody"/>
              <w:tabs>
                <w:tab w:val="left" w:pos="720"/>
              </w:tabs>
              <w:spacing w:line="240" w:lineRule="auto"/>
              <w:contextualSpacing/>
              <w:jc w:val="center"/>
              <w:rPr>
                <w:rFonts w:ascii="Times New Roman" w:eastAsia="Times New Roman" w:hAnsi="Times New Roman"/>
                <w:color w:val="000000"/>
                <w:sz w:val="24"/>
                <w:szCs w:val="24"/>
                <w:lang w:val="en-US"/>
              </w:rPr>
            </w:pPr>
            <w:r>
              <w:rPr>
                <w:rFonts w:ascii="Times New Roman" w:hAnsi="Times New Roman"/>
                <w:sz w:val="24"/>
                <w:szCs w:val="24"/>
                <w:lang w:val="en-US"/>
              </w:rPr>
              <w:t>955</w:t>
            </w:r>
          </w:p>
        </w:tc>
        <w:tc>
          <w:tcPr>
            <w:tcW w:w="1006" w:type="pct"/>
            <w:tcBorders>
              <w:bottom w:val="single" w:sz="4" w:space="0" w:color="000000"/>
            </w:tcBorders>
            <w:vAlign w:val="center"/>
          </w:tcPr>
          <w:p w14:paraId="05EB0335"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945</w:t>
            </w:r>
          </w:p>
        </w:tc>
        <w:tc>
          <w:tcPr>
            <w:tcW w:w="2062" w:type="pct"/>
            <w:tcBorders>
              <w:bottom w:val="single" w:sz="4" w:space="0" w:color="000000"/>
            </w:tcBorders>
            <w:vAlign w:val="center"/>
          </w:tcPr>
          <w:p w14:paraId="23E6C40C"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Si-O in-plane stretching</w:t>
            </w:r>
          </w:p>
        </w:tc>
        <w:tc>
          <w:tcPr>
            <w:tcW w:w="339" w:type="pct"/>
            <w:tcBorders>
              <w:bottom w:val="single" w:sz="4" w:space="0" w:color="000000"/>
            </w:tcBorders>
            <w:vAlign w:val="center"/>
          </w:tcPr>
          <w:p w14:paraId="66FBD840" w14:textId="18EDD393" w:rsidR="00557D72" w:rsidRPr="00442566" w:rsidRDefault="005D7D69" w:rsidP="00C10A5F">
            <w:pPr>
              <w:pStyle w:val="TableBody"/>
              <w:tabs>
                <w:tab w:val="left" w:pos="720"/>
              </w:tabs>
              <w:spacing w:line="240" w:lineRule="auto"/>
              <w:contextualSpacing/>
              <w:jc w:val="center"/>
              <w:rPr>
                <w:rFonts w:ascii="Times New Roman" w:hAnsi="Times New Roman"/>
                <w:sz w:val="24"/>
                <w:szCs w:val="24"/>
                <w:lang w:val="en-US"/>
              </w:rPr>
            </w:pPr>
            <w:r w:rsidRPr="005D7D69">
              <w:rPr>
                <w:rFonts w:ascii="Times New Roman" w:hAnsi="Times New Roman"/>
                <w:color w:val="000000"/>
                <w:sz w:val="20"/>
                <w:vertAlign w:val="superscript"/>
              </w:rPr>
              <w:t>12,14</w:t>
            </w:r>
          </w:p>
        </w:tc>
      </w:tr>
      <w:tr w:rsidR="00557D72" w:rsidRPr="00E56598" w14:paraId="2D495CEA" w14:textId="77777777" w:rsidTr="00C10A5F">
        <w:trPr>
          <w:trHeight w:val="15"/>
        </w:trPr>
        <w:tc>
          <w:tcPr>
            <w:tcW w:w="628" w:type="pct"/>
            <w:tcBorders>
              <w:top w:val="single" w:sz="4" w:space="0" w:color="000000"/>
            </w:tcBorders>
            <w:vAlign w:val="center"/>
          </w:tcPr>
          <w:p w14:paraId="3990C4C3"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1088</w:t>
            </w:r>
          </w:p>
        </w:tc>
        <w:tc>
          <w:tcPr>
            <w:tcW w:w="965" w:type="pct"/>
            <w:tcBorders>
              <w:top w:val="single" w:sz="4" w:space="0" w:color="000000"/>
            </w:tcBorders>
            <w:vAlign w:val="center"/>
          </w:tcPr>
          <w:p w14:paraId="01D93154" w14:textId="77777777" w:rsidR="00557D72" w:rsidRPr="00442566" w:rsidRDefault="00557D72" w:rsidP="00C10A5F">
            <w:pPr>
              <w:pStyle w:val="TableBody"/>
              <w:tabs>
                <w:tab w:val="left" w:pos="720"/>
              </w:tabs>
              <w:spacing w:line="240" w:lineRule="auto"/>
              <w:contextualSpacing/>
              <w:jc w:val="center"/>
              <w:rPr>
                <w:rFonts w:ascii="Times New Roman" w:hAnsi="Times New Roman"/>
                <w:color w:val="000000" w:themeColor="text1"/>
                <w:sz w:val="24"/>
                <w:szCs w:val="24"/>
                <w:lang w:val="en-US"/>
              </w:rPr>
            </w:pPr>
            <w:r>
              <w:rPr>
                <w:rFonts w:ascii="Times New Roman" w:hAnsi="Times New Roman"/>
                <w:sz w:val="24"/>
                <w:szCs w:val="24"/>
                <w:lang w:val="en-US"/>
              </w:rPr>
              <w:t>1079</w:t>
            </w:r>
          </w:p>
        </w:tc>
        <w:tc>
          <w:tcPr>
            <w:tcW w:w="1006" w:type="pct"/>
            <w:tcBorders>
              <w:top w:val="single" w:sz="4" w:space="0" w:color="000000"/>
            </w:tcBorders>
            <w:vAlign w:val="center"/>
          </w:tcPr>
          <w:p w14:paraId="044617BF"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1070</w:t>
            </w:r>
          </w:p>
        </w:tc>
        <w:tc>
          <w:tcPr>
            <w:tcW w:w="2062" w:type="pct"/>
            <w:tcBorders>
              <w:top w:val="single" w:sz="4" w:space="0" w:color="000000"/>
            </w:tcBorders>
            <w:vAlign w:val="center"/>
          </w:tcPr>
          <w:p w14:paraId="10099EA8"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fr-FR"/>
              </w:rPr>
            </w:pPr>
            <w:r>
              <w:rPr>
                <w:rFonts w:ascii="Times New Roman" w:hAnsi="Times New Roman"/>
                <w:sz w:val="24"/>
                <w:szCs w:val="24"/>
                <w:lang w:val="fr-FR"/>
              </w:rPr>
              <w:t xml:space="preserve">Si-O-Si </w:t>
            </w:r>
            <w:proofErr w:type="spellStart"/>
            <w:r>
              <w:rPr>
                <w:rFonts w:ascii="Times New Roman" w:hAnsi="Times New Roman"/>
                <w:sz w:val="24"/>
                <w:szCs w:val="24"/>
                <w:lang w:val="fr-FR"/>
              </w:rPr>
              <w:t>antisymmetric</w:t>
            </w:r>
            <w:proofErr w:type="spellEnd"/>
            <w:r>
              <w:rPr>
                <w:rFonts w:ascii="Times New Roman" w:hAnsi="Times New Roman"/>
                <w:sz w:val="24"/>
                <w:szCs w:val="24"/>
                <w:lang w:val="fr-FR"/>
              </w:rPr>
              <w:t xml:space="preserve"> stretching</w:t>
            </w:r>
          </w:p>
        </w:tc>
        <w:tc>
          <w:tcPr>
            <w:tcW w:w="339" w:type="pct"/>
            <w:tcBorders>
              <w:top w:val="single" w:sz="4" w:space="0" w:color="000000"/>
            </w:tcBorders>
            <w:vAlign w:val="center"/>
          </w:tcPr>
          <w:p w14:paraId="5C185A34" w14:textId="2F4EB715" w:rsidR="00557D72" w:rsidRPr="00894658" w:rsidRDefault="005D7D69" w:rsidP="00C10A5F">
            <w:pPr>
              <w:pStyle w:val="TableBody"/>
              <w:tabs>
                <w:tab w:val="left" w:pos="720"/>
              </w:tabs>
              <w:spacing w:line="240" w:lineRule="auto"/>
              <w:contextualSpacing/>
              <w:jc w:val="center"/>
              <w:rPr>
                <w:rFonts w:ascii="Times New Roman" w:hAnsi="Times New Roman"/>
                <w:sz w:val="20"/>
                <w:szCs w:val="20"/>
                <w:lang w:val="en-US"/>
              </w:rPr>
            </w:pPr>
            <w:r w:rsidRPr="005D7D69">
              <w:rPr>
                <w:rFonts w:ascii="Times New Roman" w:hAnsi="Times New Roman"/>
                <w:color w:val="000000"/>
                <w:sz w:val="20"/>
                <w:vertAlign w:val="superscript"/>
              </w:rPr>
              <w:t>12,13</w:t>
            </w:r>
          </w:p>
        </w:tc>
      </w:tr>
      <w:tr w:rsidR="00557D72" w:rsidRPr="00E56598" w14:paraId="392AF5E4" w14:textId="77777777" w:rsidTr="00C10A5F">
        <w:trPr>
          <w:trHeight w:val="15"/>
        </w:trPr>
        <w:tc>
          <w:tcPr>
            <w:tcW w:w="628" w:type="pct"/>
            <w:vAlign w:val="center"/>
          </w:tcPr>
          <w:p w14:paraId="727E3AE5"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1188</w:t>
            </w:r>
          </w:p>
        </w:tc>
        <w:tc>
          <w:tcPr>
            <w:tcW w:w="965" w:type="pct"/>
            <w:vAlign w:val="center"/>
          </w:tcPr>
          <w:p w14:paraId="6FA664BD" w14:textId="77777777" w:rsidR="00557D72" w:rsidRPr="00442566" w:rsidRDefault="00557D72" w:rsidP="00C10A5F">
            <w:pPr>
              <w:pStyle w:val="TableBody"/>
              <w:tabs>
                <w:tab w:val="left" w:pos="720"/>
              </w:tabs>
              <w:spacing w:line="240" w:lineRule="auto"/>
              <w:contextualSpacing/>
              <w:jc w:val="center"/>
              <w:rPr>
                <w:rFonts w:ascii="Times New Roman" w:eastAsia="Times New Roman" w:hAnsi="Times New Roman"/>
                <w:color w:val="000000"/>
                <w:sz w:val="24"/>
                <w:szCs w:val="24"/>
                <w:lang w:val="en-US"/>
              </w:rPr>
            </w:pPr>
            <w:r>
              <w:rPr>
                <w:rFonts w:ascii="Times New Roman" w:hAnsi="Times New Roman"/>
                <w:sz w:val="24"/>
                <w:szCs w:val="24"/>
                <w:lang w:val="en-US"/>
              </w:rPr>
              <w:t>1160</w:t>
            </w:r>
          </w:p>
        </w:tc>
        <w:tc>
          <w:tcPr>
            <w:tcW w:w="1006" w:type="pct"/>
            <w:vAlign w:val="center"/>
          </w:tcPr>
          <w:p w14:paraId="5D73A91C"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1151</w:t>
            </w:r>
          </w:p>
        </w:tc>
        <w:tc>
          <w:tcPr>
            <w:tcW w:w="2062" w:type="pct"/>
            <w:vAlign w:val="center"/>
          </w:tcPr>
          <w:p w14:paraId="392B7A27"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fr-FR"/>
              </w:rPr>
            </w:pPr>
            <w:r>
              <w:rPr>
                <w:rFonts w:ascii="Times New Roman" w:hAnsi="Times New Roman"/>
                <w:sz w:val="24"/>
                <w:szCs w:val="24"/>
                <w:lang w:val="fr-FR"/>
              </w:rPr>
              <w:t xml:space="preserve">Si-O-Si </w:t>
            </w:r>
            <w:proofErr w:type="spellStart"/>
            <w:r>
              <w:rPr>
                <w:rFonts w:ascii="Times New Roman" w:hAnsi="Times New Roman"/>
                <w:sz w:val="24"/>
                <w:szCs w:val="24"/>
                <w:lang w:val="fr-FR"/>
              </w:rPr>
              <w:t>antisymmetric</w:t>
            </w:r>
            <w:proofErr w:type="spellEnd"/>
            <w:r>
              <w:rPr>
                <w:rFonts w:ascii="Times New Roman" w:hAnsi="Times New Roman"/>
                <w:sz w:val="24"/>
                <w:szCs w:val="24"/>
                <w:lang w:val="fr-FR"/>
              </w:rPr>
              <w:t xml:space="preserve"> stretching</w:t>
            </w:r>
          </w:p>
        </w:tc>
        <w:tc>
          <w:tcPr>
            <w:tcW w:w="339" w:type="pct"/>
            <w:vAlign w:val="center"/>
          </w:tcPr>
          <w:p w14:paraId="53FA01FC" w14:textId="6EEDD242" w:rsidR="00557D72" w:rsidRPr="00894658" w:rsidRDefault="005D7D69" w:rsidP="00C10A5F">
            <w:pPr>
              <w:pStyle w:val="TableBody"/>
              <w:tabs>
                <w:tab w:val="left" w:pos="720"/>
              </w:tabs>
              <w:spacing w:line="240" w:lineRule="auto"/>
              <w:contextualSpacing/>
              <w:jc w:val="center"/>
              <w:rPr>
                <w:rFonts w:ascii="Times New Roman" w:hAnsi="Times New Roman"/>
                <w:sz w:val="20"/>
                <w:szCs w:val="20"/>
                <w:lang w:val="en-US"/>
              </w:rPr>
            </w:pPr>
            <w:r w:rsidRPr="005D7D69">
              <w:rPr>
                <w:rFonts w:ascii="Times New Roman" w:hAnsi="Times New Roman"/>
                <w:color w:val="000000"/>
                <w:sz w:val="20"/>
                <w:vertAlign w:val="superscript"/>
              </w:rPr>
              <w:t>5,12,14</w:t>
            </w:r>
            <w:r w:rsidR="00557D72" w:rsidRPr="00894658">
              <w:rPr>
                <w:rStyle w:val="CommentReference"/>
                <w:rFonts w:ascii="Times New Roman" w:eastAsia="Times New Roman" w:hAnsi="Times New Roman"/>
                <w:sz w:val="20"/>
                <w:szCs w:val="20"/>
                <w:lang w:val="en-US" w:eastAsia="en-US"/>
              </w:rPr>
              <w:t xml:space="preserve"> </w:t>
            </w:r>
          </w:p>
        </w:tc>
      </w:tr>
      <w:tr w:rsidR="00557D72" w:rsidRPr="00E56598" w14:paraId="4D07E2A5" w14:textId="77777777" w:rsidTr="00C10A5F">
        <w:trPr>
          <w:trHeight w:val="15"/>
        </w:trPr>
        <w:tc>
          <w:tcPr>
            <w:tcW w:w="628" w:type="pct"/>
            <w:tcBorders>
              <w:top w:val="single" w:sz="4" w:space="0" w:color="000000"/>
            </w:tcBorders>
            <w:vAlign w:val="center"/>
          </w:tcPr>
          <w:p w14:paraId="40280166"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hAnsi="Times New Roman"/>
                <w:sz w:val="24"/>
                <w:szCs w:val="24"/>
                <w:lang w:val="en-US"/>
              </w:rPr>
            </w:pPr>
          </w:p>
        </w:tc>
        <w:tc>
          <w:tcPr>
            <w:tcW w:w="965" w:type="pct"/>
            <w:tcBorders>
              <w:top w:val="single" w:sz="4" w:space="0" w:color="000000"/>
            </w:tcBorders>
            <w:vAlign w:val="center"/>
          </w:tcPr>
          <w:p w14:paraId="59CA6A2A"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1277</w:t>
            </w:r>
          </w:p>
        </w:tc>
        <w:tc>
          <w:tcPr>
            <w:tcW w:w="1006" w:type="pct"/>
            <w:tcBorders>
              <w:top w:val="single" w:sz="4" w:space="0" w:color="000000"/>
            </w:tcBorders>
            <w:vAlign w:val="center"/>
          </w:tcPr>
          <w:p w14:paraId="4557AB5E"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1275</w:t>
            </w:r>
          </w:p>
        </w:tc>
        <w:tc>
          <w:tcPr>
            <w:tcW w:w="2062" w:type="pct"/>
            <w:tcBorders>
              <w:top w:val="single" w:sz="4" w:space="0" w:color="000000"/>
            </w:tcBorders>
            <w:vAlign w:val="center"/>
          </w:tcPr>
          <w:p w14:paraId="4F561462"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C-H symmetric bending</w:t>
            </w:r>
          </w:p>
        </w:tc>
        <w:tc>
          <w:tcPr>
            <w:tcW w:w="339" w:type="pct"/>
            <w:tcBorders>
              <w:top w:val="single" w:sz="4" w:space="0" w:color="000000"/>
            </w:tcBorders>
            <w:vAlign w:val="center"/>
          </w:tcPr>
          <w:p w14:paraId="3458C846" w14:textId="7322F87E" w:rsidR="00557D72" w:rsidRPr="00894658" w:rsidRDefault="005D7D69" w:rsidP="00C10A5F">
            <w:pPr>
              <w:pStyle w:val="TableBody"/>
              <w:tabs>
                <w:tab w:val="left" w:pos="720"/>
              </w:tabs>
              <w:spacing w:line="240" w:lineRule="auto"/>
              <w:contextualSpacing/>
              <w:jc w:val="center"/>
              <w:rPr>
                <w:rFonts w:ascii="Times New Roman" w:hAnsi="Times New Roman"/>
                <w:sz w:val="20"/>
                <w:szCs w:val="20"/>
                <w:lang w:val="en-US"/>
              </w:rPr>
            </w:pPr>
            <w:r w:rsidRPr="005D7D69">
              <w:rPr>
                <w:rFonts w:ascii="Times New Roman" w:hAnsi="Times New Roman"/>
                <w:color w:val="000000"/>
                <w:sz w:val="20"/>
                <w:vertAlign w:val="superscript"/>
              </w:rPr>
              <w:t>13</w:t>
            </w:r>
          </w:p>
        </w:tc>
      </w:tr>
      <w:tr w:rsidR="00557D72" w:rsidRPr="00E56598" w14:paraId="7F721EC2" w14:textId="77777777" w:rsidTr="00C10A5F">
        <w:trPr>
          <w:trHeight w:val="382"/>
        </w:trPr>
        <w:tc>
          <w:tcPr>
            <w:tcW w:w="628" w:type="pct"/>
            <w:vAlign w:val="center"/>
          </w:tcPr>
          <w:p w14:paraId="428EBD24"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hAnsi="Times New Roman"/>
                <w:sz w:val="24"/>
                <w:szCs w:val="24"/>
                <w:lang w:val="en-US"/>
              </w:rPr>
            </w:pPr>
          </w:p>
        </w:tc>
        <w:tc>
          <w:tcPr>
            <w:tcW w:w="965" w:type="pct"/>
            <w:vAlign w:val="center"/>
          </w:tcPr>
          <w:p w14:paraId="78FAE8D0"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eastAsia="Times New Roman" w:hAnsi="Times New Roman"/>
                <w:color w:val="000000"/>
                <w:sz w:val="24"/>
                <w:szCs w:val="24"/>
                <w:lang w:val="en-US"/>
              </w:rPr>
            </w:pPr>
          </w:p>
        </w:tc>
        <w:tc>
          <w:tcPr>
            <w:tcW w:w="1006" w:type="pct"/>
            <w:vAlign w:val="center"/>
          </w:tcPr>
          <w:p w14:paraId="4CC2727E"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1384</w:t>
            </w:r>
          </w:p>
        </w:tc>
        <w:tc>
          <w:tcPr>
            <w:tcW w:w="2062" w:type="pct"/>
            <w:vAlign w:val="center"/>
          </w:tcPr>
          <w:p w14:paraId="5AAF1A39"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C-H symmetric bending</w:t>
            </w:r>
          </w:p>
        </w:tc>
        <w:tc>
          <w:tcPr>
            <w:tcW w:w="339" w:type="pct"/>
            <w:vAlign w:val="center"/>
          </w:tcPr>
          <w:p w14:paraId="0A8DDD5E" w14:textId="327BAED8" w:rsidR="00557D72" w:rsidRPr="00894658" w:rsidRDefault="005D7D69" w:rsidP="00C10A5F">
            <w:pPr>
              <w:pStyle w:val="TableBody"/>
              <w:tabs>
                <w:tab w:val="left" w:pos="720"/>
              </w:tabs>
              <w:spacing w:line="240" w:lineRule="auto"/>
              <w:contextualSpacing/>
              <w:jc w:val="center"/>
              <w:rPr>
                <w:rFonts w:ascii="Times New Roman" w:hAnsi="Times New Roman"/>
                <w:sz w:val="20"/>
                <w:szCs w:val="20"/>
                <w:lang w:val="en-US"/>
              </w:rPr>
            </w:pPr>
            <w:r w:rsidRPr="005D7D69">
              <w:rPr>
                <w:rFonts w:ascii="Times New Roman" w:hAnsi="Times New Roman"/>
                <w:color w:val="000000"/>
                <w:sz w:val="20"/>
                <w:vertAlign w:val="superscript"/>
              </w:rPr>
              <w:t>12,14</w:t>
            </w:r>
          </w:p>
        </w:tc>
      </w:tr>
      <w:tr w:rsidR="00557D72" w:rsidRPr="00E56598" w14:paraId="39E746AD" w14:textId="77777777" w:rsidTr="00C10A5F">
        <w:trPr>
          <w:trHeight w:val="15"/>
        </w:trPr>
        <w:tc>
          <w:tcPr>
            <w:tcW w:w="628" w:type="pct"/>
            <w:tcBorders>
              <w:bottom w:val="single" w:sz="4" w:space="0" w:color="000000"/>
            </w:tcBorders>
            <w:vAlign w:val="center"/>
          </w:tcPr>
          <w:p w14:paraId="581300D8"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1636</w:t>
            </w:r>
          </w:p>
        </w:tc>
        <w:tc>
          <w:tcPr>
            <w:tcW w:w="965" w:type="pct"/>
            <w:tcBorders>
              <w:bottom w:val="single" w:sz="4" w:space="0" w:color="000000"/>
            </w:tcBorders>
            <w:vAlign w:val="center"/>
          </w:tcPr>
          <w:p w14:paraId="6C144EC9" w14:textId="77777777" w:rsidR="00557D72" w:rsidRPr="00442566" w:rsidRDefault="00557D72" w:rsidP="00C10A5F">
            <w:pPr>
              <w:pStyle w:val="TableBody"/>
              <w:tabs>
                <w:tab w:val="left" w:pos="720"/>
              </w:tabs>
              <w:spacing w:line="240" w:lineRule="auto"/>
              <w:contextualSpacing/>
              <w:jc w:val="center"/>
              <w:rPr>
                <w:rFonts w:ascii="Times New Roman" w:eastAsia="Times New Roman" w:hAnsi="Times New Roman"/>
                <w:color w:val="000000"/>
                <w:sz w:val="24"/>
                <w:szCs w:val="24"/>
                <w:lang w:val="en-US"/>
              </w:rPr>
            </w:pPr>
            <w:r>
              <w:rPr>
                <w:rFonts w:ascii="Times New Roman" w:hAnsi="Times New Roman"/>
                <w:sz w:val="24"/>
                <w:szCs w:val="24"/>
                <w:lang w:val="en-US"/>
              </w:rPr>
              <w:t>1634</w:t>
            </w:r>
          </w:p>
        </w:tc>
        <w:tc>
          <w:tcPr>
            <w:tcW w:w="1006" w:type="pct"/>
            <w:tcBorders>
              <w:bottom w:val="single" w:sz="4" w:space="0" w:color="000000"/>
            </w:tcBorders>
            <w:vAlign w:val="center"/>
          </w:tcPr>
          <w:p w14:paraId="621F5992"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1633</w:t>
            </w:r>
          </w:p>
        </w:tc>
        <w:tc>
          <w:tcPr>
            <w:tcW w:w="2062" w:type="pct"/>
            <w:tcBorders>
              <w:bottom w:val="single" w:sz="4" w:space="0" w:color="000000"/>
            </w:tcBorders>
            <w:vAlign w:val="center"/>
          </w:tcPr>
          <w:p w14:paraId="67BC2D3F"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H-O-H deformation</w:t>
            </w:r>
          </w:p>
        </w:tc>
        <w:tc>
          <w:tcPr>
            <w:tcW w:w="339" w:type="pct"/>
            <w:tcBorders>
              <w:bottom w:val="single" w:sz="4" w:space="0" w:color="000000"/>
            </w:tcBorders>
            <w:vAlign w:val="center"/>
          </w:tcPr>
          <w:p w14:paraId="3920C9B7" w14:textId="1F38B583" w:rsidR="00557D72" w:rsidRPr="00894658" w:rsidRDefault="005D7D69" w:rsidP="00C10A5F">
            <w:pPr>
              <w:pStyle w:val="TableBody"/>
              <w:tabs>
                <w:tab w:val="left" w:pos="720"/>
              </w:tabs>
              <w:spacing w:line="240" w:lineRule="auto"/>
              <w:contextualSpacing/>
              <w:jc w:val="center"/>
              <w:rPr>
                <w:rFonts w:ascii="Times New Roman" w:hAnsi="Times New Roman"/>
                <w:sz w:val="20"/>
                <w:szCs w:val="20"/>
                <w:lang w:val="en-US"/>
              </w:rPr>
            </w:pPr>
            <w:r w:rsidRPr="005D7D69">
              <w:rPr>
                <w:rFonts w:ascii="Times New Roman" w:hAnsi="Times New Roman"/>
                <w:color w:val="000000"/>
                <w:sz w:val="20"/>
                <w:vertAlign w:val="superscript"/>
              </w:rPr>
              <w:t>12</w:t>
            </w:r>
          </w:p>
        </w:tc>
      </w:tr>
      <w:tr w:rsidR="00557D72" w:rsidRPr="00E56598" w14:paraId="6E7BC9E1" w14:textId="77777777" w:rsidTr="00C10A5F">
        <w:trPr>
          <w:trHeight w:val="15"/>
        </w:trPr>
        <w:tc>
          <w:tcPr>
            <w:tcW w:w="628" w:type="pct"/>
            <w:tcBorders>
              <w:top w:val="single" w:sz="4" w:space="0" w:color="000000"/>
              <w:bottom w:val="single" w:sz="4" w:space="0" w:color="000000"/>
            </w:tcBorders>
            <w:vAlign w:val="center"/>
          </w:tcPr>
          <w:p w14:paraId="788F227A"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hAnsi="Times New Roman"/>
                <w:sz w:val="24"/>
                <w:szCs w:val="24"/>
                <w:lang w:val="en-US"/>
              </w:rPr>
            </w:pPr>
          </w:p>
        </w:tc>
        <w:tc>
          <w:tcPr>
            <w:tcW w:w="965" w:type="pct"/>
            <w:tcBorders>
              <w:top w:val="single" w:sz="4" w:space="0" w:color="000000"/>
              <w:bottom w:val="single" w:sz="4" w:space="0" w:color="000000"/>
            </w:tcBorders>
            <w:vAlign w:val="center"/>
          </w:tcPr>
          <w:p w14:paraId="262A950A"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eastAsia="Times New Roman" w:hAnsi="Times New Roman"/>
                <w:color w:val="000000"/>
                <w:sz w:val="24"/>
                <w:szCs w:val="24"/>
                <w:lang w:val="en-US"/>
              </w:rPr>
            </w:pPr>
          </w:p>
        </w:tc>
        <w:tc>
          <w:tcPr>
            <w:tcW w:w="1006" w:type="pct"/>
            <w:tcBorders>
              <w:top w:val="single" w:sz="4" w:space="0" w:color="000000"/>
              <w:bottom w:val="single" w:sz="4" w:space="0" w:color="000000"/>
            </w:tcBorders>
            <w:vAlign w:val="center"/>
          </w:tcPr>
          <w:p w14:paraId="4AA457B4"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2857</w:t>
            </w:r>
          </w:p>
        </w:tc>
        <w:tc>
          <w:tcPr>
            <w:tcW w:w="2062" w:type="pct"/>
            <w:tcBorders>
              <w:top w:val="single" w:sz="4" w:space="0" w:color="000000"/>
              <w:bottom w:val="single" w:sz="4" w:space="0" w:color="000000"/>
            </w:tcBorders>
            <w:vAlign w:val="center"/>
          </w:tcPr>
          <w:p w14:paraId="1DC581A3"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C-H symmetric stretching vibration</w:t>
            </w:r>
          </w:p>
        </w:tc>
        <w:tc>
          <w:tcPr>
            <w:tcW w:w="339" w:type="pct"/>
            <w:tcBorders>
              <w:top w:val="single" w:sz="4" w:space="0" w:color="000000"/>
              <w:bottom w:val="single" w:sz="4" w:space="0" w:color="000000"/>
            </w:tcBorders>
            <w:vAlign w:val="center"/>
          </w:tcPr>
          <w:p w14:paraId="3D0B1D9C" w14:textId="6777F26C" w:rsidR="00557D72" w:rsidRPr="00894658" w:rsidRDefault="005D7D69" w:rsidP="00C10A5F">
            <w:pPr>
              <w:pStyle w:val="TableBody"/>
              <w:tabs>
                <w:tab w:val="left" w:pos="720"/>
              </w:tabs>
              <w:spacing w:line="240" w:lineRule="auto"/>
              <w:contextualSpacing/>
              <w:jc w:val="center"/>
              <w:rPr>
                <w:rFonts w:ascii="Times New Roman" w:hAnsi="Times New Roman"/>
                <w:sz w:val="20"/>
                <w:szCs w:val="20"/>
                <w:lang w:val="en-US"/>
              </w:rPr>
            </w:pPr>
            <w:r w:rsidRPr="005D7D69">
              <w:rPr>
                <w:rFonts w:ascii="Times New Roman" w:hAnsi="Times New Roman"/>
                <w:color w:val="000000"/>
                <w:sz w:val="20"/>
                <w:vertAlign w:val="superscript"/>
              </w:rPr>
              <w:t>12</w:t>
            </w:r>
          </w:p>
        </w:tc>
      </w:tr>
      <w:tr w:rsidR="00557D72" w:rsidRPr="00E56598" w14:paraId="3CE40851" w14:textId="77777777" w:rsidTr="00C10A5F">
        <w:trPr>
          <w:trHeight w:val="15"/>
        </w:trPr>
        <w:tc>
          <w:tcPr>
            <w:tcW w:w="628" w:type="pct"/>
            <w:tcBorders>
              <w:top w:val="single" w:sz="4" w:space="0" w:color="000000"/>
              <w:bottom w:val="single" w:sz="4" w:space="0" w:color="000000"/>
            </w:tcBorders>
            <w:vAlign w:val="center"/>
          </w:tcPr>
          <w:p w14:paraId="1DFC9F45"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hAnsi="Times New Roman"/>
                <w:sz w:val="24"/>
                <w:szCs w:val="24"/>
                <w:lang w:val="en-US"/>
              </w:rPr>
            </w:pPr>
          </w:p>
        </w:tc>
        <w:tc>
          <w:tcPr>
            <w:tcW w:w="965" w:type="pct"/>
            <w:tcBorders>
              <w:top w:val="single" w:sz="4" w:space="0" w:color="000000"/>
              <w:bottom w:val="single" w:sz="4" w:space="0" w:color="000000"/>
            </w:tcBorders>
            <w:vAlign w:val="center"/>
          </w:tcPr>
          <w:p w14:paraId="7F76EE82"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eastAsia="Times New Roman" w:hAnsi="Times New Roman"/>
                <w:color w:val="000000"/>
                <w:sz w:val="24"/>
                <w:szCs w:val="24"/>
                <w:lang w:val="en-US"/>
              </w:rPr>
            </w:pPr>
          </w:p>
        </w:tc>
        <w:tc>
          <w:tcPr>
            <w:tcW w:w="1006" w:type="pct"/>
            <w:tcBorders>
              <w:top w:val="single" w:sz="4" w:space="0" w:color="000000"/>
              <w:bottom w:val="single" w:sz="4" w:space="0" w:color="000000"/>
            </w:tcBorders>
            <w:vAlign w:val="center"/>
          </w:tcPr>
          <w:p w14:paraId="10A8E645"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2928</w:t>
            </w:r>
          </w:p>
        </w:tc>
        <w:tc>
          <w:tcPr>
            <w:tcW w:w="2062" w:type="pct"/>
            <w:tcBorders>
              <w:top w:val="single" w:sz="4" w:space="0" w:color="000000"/>
              <w:bottom w:val="single" w:sz="4" w:space="0" w:color="000000"/>
            </w:tcBorders>
            <w:vAlign w:val="center"/>
          </w:tcPr>
          <w:p w14:paraId="3A968E0E"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C-</w:t>
            </w:r>
            <w:proofErr w:type="gramStart"/>
            <w:r>
              <w:rPr>
                <w:rFonts w:ascii="Times New Roman" w:hAnsi="Times New Roman"/>
                <w:sz w:val="24"/>
                <w:szCs w:val="24"/>
                <w:lang w:val="en-US"/>
              </w:rPr>
              <w:t>H  antisymmetric</w:t>
            </w:r>
            <w:proofErr w:type="gramEnd"/>
            <w:r>
              <w:rPr>
                <w:rFonts w:ascii="Times New Roman" w:hAnsi="Times New Roman"/>
                <w:sz w:val="24"/>
                <w:szCs w:val="24"/>
                <w:lang w:val="en-US"/>
              </w:rPr>
              <w:t xml:space="preserve"> stretching vibration</w:t>
            </w:r>
          </w:p>
        </w:tc>
        <w:tc>
          <w:tcPr>
            <w:tcW w:w="339" w:type="pct"/>
            <w:tcBorders>
              <w:top w:val="single" w:sz="4" w:space="0" w:color="000000"/>
              <w:bottom w:val="single" w:sz="4" w:space="0" w:color="000000"/>
            </w:tcBorders>
            <w:vAlign w:val="center"/>
          </w:tcPr>
          <w:p w14:paraId="3CD47046" w14:textId="0CB99EFD" w:rsidR="00557D72" w:rsidRPr="00894658" w:rsidRDefault="005D7D69" w:rsidP="00C10A5F">
            <w:pPr>
              <w:pStyle w:val="TableBody"/>
              <w:tabs>
                <w:tab w:val="left" w:pos="720"/>
              </w:tabs>
              <w:spacing w:line="240" w:lineRule="auto"/>
              <w:contextualSpacing/>
              <w:jc w:val="center"/>
              <w:rPr>
                <w:rFonts w:ascii="Times New Roman" w:hAnsi="Times New Roman"/>
                <w:sz w:val="20"/>
                <w:szCs w:val="20"/>
                <w:lang w:val="en-US"/>
              </w:rPr>
            </w:pPr>
            <w:r w:rsidRPr="005D7D69">
              <w:rPr>
                <w:rFonts w:ascii="Times New Roman" w:hAnsi="Times New Roman"/>
                <w:color w:val="000000"/>
                <w:sz w:val="20"/>
                <w:vertAlign w:val="superscript"/>
              </w:rPr>
              <w:t>12</w:t>
            </w:r>
          </w:p>
        </w:tc>
      </w:tr>
      <w:tr w:rsidR="00557D72" w:rsidRPr="00E56598" w14:paraId="61FB5025" w14:textId="77777777" w:rsidTr="00C10A5F">
        <w:trPr>
          <w:trHeight w:val="15"/>
        </w:trPr>
        <w:tc>
          <w:tcPr>
            <w:tcW w:w="628" w:type="pct"/>
            <w:tcBorders>
              <w:top w:val="single" w:sz="4" w:space="0" w:color="000000"/>
              <w:bottom w:val="single" w:sz="4" w:space="0" w:color="000000"/>
            </w:tcBorders>
            <w:vAlign w:val="center"/>
          </w:tcPr>
          <w:p w14:paraId="131FF1EE"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hAnsi="Times New Roman"/>
                <w:sz w:val="24"/>
                <w:szCs w:val="24"/>
                <w:lang w:val="en-US"/>
              </w:rPr>
            </w:pPr>
          </w:p>
        </w:tc>
        <w:tc>
          <w:tcPr>
            <w:tcW w:w="965" w:type="pct"/>
            <w:tcBorders>
              <w:top w:val="single" w:sz="4" w:space="0" w:color="000000"/>
              <w:bottom w:val="single" w:sz="4" w:space="0" w:color="000000"/>
            </w:tcBorders>
            <w:vAlign w:val="center"/>
          </w:tcPr>
          <w:p w14:paraId="4B90FD85"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eastAsia="Times New Roman" w:hAnsi="Times New Roman"/>
                <w:color w:val="000000"/>
                <w:sz w:val="24"/>
                <w:szCs w:val="24"/>
                <w:lang w:val="en-US"/>
              </w:rPr>
            </w:pPr>
          </w:p>
        </w:tc>
        <w:tc>
          <w:tcPr>
            <w:tcW w:w="1006" w:type="pct"/>
            <w:tcBorders>
              <w:top w:val="single" w:sz="4" w:space="0" w:color="000000"/>
              <w:bottom w:val="single" w:sz="4" w:space="0" w:color="000000"/>
            </w:tcBorders>
            <w:vAlign w:val="center"/>
          </w:tcPr>
          <w:p w14:paraId="145AAACA"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2971</w:t>
            </w:r>
          </w:p>
        </w:tc>
        <w:tc>
          <w:tcPr>
            <w:tcW w:w="2062" w:type="pct"/>
            <w:tcBorders>
              <w:top w:val="single" w:sz="4" w:space="0" w:color="000000"/>
              <w:bottom w:val="single" w:sz="4" w:space="0" w:color="000000"/>
            </w:tcBorders>
            <w:vAlign w:val="center"/>
          </w:tcPr>
          <w:p w14:paraId="7556C831" w14:textId="77777777" w:rsidR="00557D72" w:rsidRPr="00442566"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C-</w:t>
            </w:r>
            <w:proofErr w:type="gramStart"/>
            <w:r>
              <w:rPr>
                <w:rFonts w:ascii="Times New Roman" w:hAnsi="Times New Roman"/>
                <w:sz w:val="24"/>
                <w:szCs w:val="24"/>
                <w:lang w:val="en-US"/>
              </w:rPr>
              <w:t>H  symmetric</w:t>
            </w:r>
            <w:proofErr w:type="gramEnd"/>
            <w:r>
              <w:rPr>
                <w:rFonts w:ascii="Times New Roman" w:hAnsi="Times New Roman"/>
                <w:sz w:val="24"/>
                <w:szCs w:val="24"/>
                <w:lang w:val="en-US"/>
              </w:rPr>
              <w:t xml:space="preserve"> stretching vibration</w:t>
            </w:r>
          </w:p>
        </w:tc>
        <w:tc>
          <w:tcPr>
            <w:tcW w:w="339" w:type="pct"/>
            <w:tcBorders>
              <w:top w:val="single" w:sz="4" w:space="0" w:color="000000"/>
              <w:bottom w:val="single" w:sz="4" w:space="0" w:color="000000"/>
            </w:tcBorders>
            <w:vAlign w:val="center"/>
          </w:tcPr>
          <w:p w14:paraId="1D4B0493" w14:textId="6A967A28" w:rsidR="00557D72" w:rsidRPr="00894658" w:rsidRDefault="005D7D69" w:rsidP="00C10A5F">
            <w:pPr>
              <w:pStyle w:val="TableBody"/>
              <w:tabs>
                <w:tab w:val="left" w:pos="720"/>
              </w:tabs>
              <w:spacing w:line="240" w:lineRule="auto"/>
              <w:contextualSpacing/>
              <w:jc w:val="center"/>
              <w:rPr>
                <w:rFonts w:ascii="Times New Roman" w:hAnsi="Times New Roman"/>
                <w:sz w:val="20"/>
                <w:szCs w:val="20"/>
                <w:lang w:val="en-US"/>
              </w:rPr>
            </w:pPr>
            <w:r w:rsidRPr="005D7D69">
              <w:rPr>
                <w:rFonts w:ascii="Times New Roman" w:hAnsi="Times New Roman"/>
                <w:color w:val="000000"/>
                <w:sz w:val="20"/>
                <w:vertAlign w:val="superscript"/>
              </w:rPr>
              <w:t>12,14</w:t>
            </w:r>
          </w:p>
        </w:tc>
      </w:tr>
      <w:tr w:rsidR="00557D72" w:rsidRPr="00E56598" w14:paraId="5A68FA11" w14:textId="77777777" w:rsidTr="00C10A5F">
        <w:trPr>
          <w:trHeight w:val="15"/>
        </w:trPr>
        <w:tc>
          <w:tcPr>
            <w:tcW w:w="628" w:type="pct"/>
            <w:tcBorders>
              <w:top w:val="single" w:sz="4" w:space="0" w:color="000000"/>
              <w:bottom w:val="single" w:sz="4" w:space="0" w:color="000000"/>
            </w:tcBorders>
            <w:vAlign w:val="center"/>
          </w:tcPr>
          <w:p w14:paraId="013E85FE"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hAnsi="Times New Roman"/>
                <w:sz w:val="24"/>
                <w:szCs w:val="24"/>
                <w:lang w:val="en-US"/>
              </w:rPr>
            </w:pPr>
            <w:r>
              <w:rPr>
                <w:rFonts w:ascii="Times New Roman" w:hAnsi="Times New Roman"/>
                <w:sz w:val="24"/>
                <w:szCs w:val="24"/>
                <w:lang w:val="en-US"/>
              </w:rPr>
              <w:t>3450</w:t>
            </w:r>
          </w:p>
        </w:tc>
        <w:tc>
          <w:tcPr>
            <w:tcW w:w="965" w:type="pct"/>
            <w:tcBorders>
              <w:top w:val="single" w:sz="4" w:space="0" w:color="000000"/>
              <w:bottom w:val="single" w:sz="4" w:space="0" w:color="000000"/>
            </w:tcBorders>
            <w:vAlign w:val="center"/>
          </w:tcPr>
          <w:p w14:paraId="56A71FFD" w14:textId="77777777" w:rsidR="00557D72" w:rsidRPr="002818E8" w:rsidRDefault="00557D72" w:rsidP="00C10A5F">
            <w:pPr>
              <w:pStyle w:val="TableBody"/>
              <w:keepNext/>
              <w:keepLines/>
              <w:tabs>
                <w:tab w:val="left" w:pos="720"/>
              </w:tabs>
              <w:spacing w:before="200" w:beforeAutospacing="1" w:after="100" w:afterAutospacing="1" w:line="240" w:lineRule="auto"/>
              <w:contextualSpacing/>
              <w:jc w:val="center"/>
              <w:outlineLvl w:val="3"/>
              <w:rPr>
                <w:rFonts w:ascii="Times New Roman" w:eastAsia="Times New Roman" w:hAnsi="Times New Roman"/>
                <w:color w:val="000000"/>
                <w:sz w:val="24"/>
                <w:szCs w:val="24"/>
                <w:lang w:val="en-US"/>
              </w:rPr>
            </w:pPr>
          </w:p>
        </w:tc>
        <w:tc>
          <w:tcPr>
            <w:tcW w:w="1006" w:type="pct"/>
            <w:tcBorders>
              <w:top w:val="single" w:sz="4" w:space="0" w:color="000000"/>
              <w:bottom w:val="single" w:sz="4" w:space="0" w:color="000000"/>
            </w:tcBorders>
            <w:vAlign w:val="center"/>
          </w:tcPr>
          <w:p w14:paraId="64830806" w14:textId="77777777" w:rsidR="00557D72" w:rsidRDefault="00557D72" w:rsidP="00C10A5F">
            <w:pPr>
              <w:pStyle w:val="TableBody"/>
              <w:tabs>
                <w:tab w:val="left" w:pos="720"/>
              </w:tabs>
              <w:spacing w:line="240" w:lineRule="auto"/>
              <w:contextualSpacing/>
              <w:jc w:val="center"/>
              <w:rPr>
                <w:rFonts w:ascii="Times New Roman" w:hAnsi="Times New Roman"/>
                <w:sz w:val="24"/>
                <w:szCs w:val="24"/>
                <w:lang w:val="en-US"/>
              </w:rPr>
            </w:pPr>
            <w:r>
              <w:rPr>
                <w:rFonts w:ascii="Times New Roman" w:hAnsi="Times New Roman"/>
                <w:sz w:val="24"/>
                <w:szCs w:val="24"/>
                <w:lang w:val="en-US"/>
              </w:rPr>
              <w:t>3450</w:t>
            </w:r>
          </w:p>
        </w:tc>
        <w:tc>
          <w:tcPr>
            <w:tcW w:w="2062" w:type="pct"/>
            <w:tcBorders>
              <w:top w:val="single" w:sz="4" w:space="0" w:color="000000"/>
              <w:bottom w:val="single" w:sz="4" w:space="0" w:color="000000"/>
            </w:tcBorders>
            <w:vAlign w:val="center"/>
          </w:tcPr>
          <w:p w14:paraId="11D7AEB1" w14:textId="77777777" w:rsidR="00557D72" w:rsidRDefault="00557D72" w:rsidP="00C10A5F">
            <w:pPr>
              <w:pStyle w:val="TableBody"/>
              <w:tabs>
                <w:tab w:val="left" w:pos="720"/>
              </w:tabs>
              <w:spacing w:line="240" w:lineRule="auto"/>
              <w:contextualSpacing/>
              <w:jc w:val="center"/>
              <w:rPr>
                <w:rFonts w:ascii="Times New Roman" w:hAnsi="Times New Roman"/>
                <w:sz w:val="24"/>
                <w:szCs w:val="24"/>
                <w:lang w:val="en-US"/>
              </w:rPr>
            </w:pPr>
            <w:proofErr w:type="spellStart"/>
            <w:r>
              <w:rPr>
                <w:rFonts w:ascii="Times New Roman" w:hAnsi="Times New Roman"/>
                <w:sz w:val="24"/>
                <w:szCs w:val="24"/>
                <w:lang w:val="en-US"/>
              </w:rPr>
              <w:t>SiO</w:t>
            </w:r>
            <w:proofErr w:type="spellEnd"/>
            <w:r>
              <w:rPr>
                <w:rFonts w:ascii="Times New Roman" w:hAnsi="Times New Roman"/>
                <w:sz w:val="24"/>
                <w:szCs w:val="24"/>
                <w:lang w:val="en-US"/>
              </w:rPr>
              <w:t xml:space="preserve">-H </w:t>
            </w:r>
            <w:proofErr w:type="gramStart"/>
            <w:r>
              <w:rPr>
                <w:rFonts w:ascii="Times New Roman" w:hAnsi="Times New Roman"/>
                <w:sz w:val="24"/>
                <w:szCs w:val="24"/>
                <w:lang w:val="en-US"/>
              </w:rPr>
              <w:t>and  H</w:t>
            </w:r>
            <w:proofErr w:type="gramEnd"/>
            <w:r>
              <w:rPr>
                <w:rFonts w:ascii="Times New Roman" w:hAnsi="Times New Roman"/>
                <w:sz w:val="24"/>
                <w:szCs w:val="24"/>
                <w:lang w:val="en-US"/>
              </w:rPr>
              <w:t>-O-H deformation</w:t>
            </w:r>
          </w:p>
        </w:tc>
        <w:tc>
          <w:tcPr>
            <w:tcW w:w="339" w:type="pct"/>
            <w:tcBorders>
              <w:top w:val="single" w:sz="4" w:space="0" w:color="000000"/>
              <w:bottom w:val="single" w:sz="4" w:space="0" w:color="000000"/>
            </w:tcBorders>
            <w:vAlign w:val="center"/>
          </w:tcPr>
          <w:p w14:paraId="1A556DFB" w14:textId="748CBB1C" w:rsidR="00557D72" w:rsidRPr="00894658" w:rsidRDefault="005D7D69" w:rsidP="00C10A5F">
            <w:pPr>
              <w:pStyle w:val="TableBody"/>
              <w:tabs>
                <w:tab w:val="left" w:pos="720"/>
              </w:tabs>
              <w:spacing w:line="240" w:lineRule="auto"/>
              <w:contextualSpacing/>
              <w:jc w:val="center"/>
              <w:rPr>
                <w:rFonts w:ascii="Times New Roman" w:hAnsi="Times New Roman"/>
                <w:color w:val="000000" w:themeColor="text1"/>
                <w:sz w:val="20"/>
                <w:szCs w:val="20"/>
                <w:lang w:val="en-US"/>
              </w:rPr>
            </w:pPr>
            <w:r w:rsidRPr="005D7D69">
              <w:rPr>
                <w:rFonts w:ascii="Times New Roman" w:hAnsi="Times New Roman"/>
                <w:color w:val="000000"/>
                <w:sz w:val="20"/>
                <w:vertAlign w:val="superscript"/>
              </w:rPr>
              <w:t>13</w:t>
            </w:r>
          </w:p>
        </w:tc>
      </w:tr>
    </w:tbl>
    <w:p w14:paraId="090B6C40" w14:textId="7F06BD75" w:rsidR="0017782D" w:rsidRDefault="0017782D" w:rsidP="0017782D">
      <w:pPr>
        <w:spacing w:line="480" w:lineRule="auto"/>
        <w:jc w:val="both"/>
        <w:rPr>
          <w:b/>
          <w:color w:val="000000" w:themeColor="text1"/>
        </w:rPr>
      </w:pPr>
    </w:p>
    <w:p w14:paraId="409F1E13" w14:textId="408F6D6E" w:rsidR="00557D72" w:rsidRDefault="00557D72">
      <w:pPr>
        <w:rPr>
          <w:b/>
          <w:color w:val="000000" w:themeColor="text1"/>
        </w:rPr>
      </w:pPr>
      <w:r>
        <w:rPr>
          <w:b/>
          <w:color w:val="000000" w:themeColor="text1"/>
        </w:rPr>
        <w:br w:type="page"/>
      </w:r>
    </w:p>
    <w:p w14:paraId="1644800F" w14:textId="77777777" w:rsidR="0017782D" w:rsidRPr="00E56598" w:rsidRDefault="0017782D" w:rsidP="0017782D">
      <w:pPr>
        <w:spacing w:line="480" w:lineRule="auto"/>
        <w:jc w:val="both"/>
        <w:rPr>
          <w:b/>
          <w:color w:val="000000" w:themeColor="text1"/>
        </w:rPr>
      </w:pPr>
      <w:r w:rsidRPr="00E56598">
        <w:rPr>
          <w:b/>
          <w:color w:val="000000" w:themeColor="text1"/>
        </w:rPr>
        <w:lastRenderedPageBreak/>
        <w:t>Color Rendering Index</w:t>
      </w:r>
    </w:p>
    <w:p w14:paraId="5CF18AC0" w14:textId="677C44EF" w:rsidR="0017782D" w:rsidRPr="00E56598" w:rsidRDefault="0017782D" w:rsidP="0017782D">
      <w:pPr>
        <w:spacing w:line="480" w:lineRule="auto"/>
        <w:ind w:firstLine="720"/>
        <w:jc w:val="both"/>
        <w:rPr>
          <w:color w:val="000000"/>
        </w:rPr>
      </w:pPr>
      <w:r w:rsidRPr="00E56598">
        <w:t xml:space="preserve">The color rendering index (CRI) was used to evaluate the quality of color appearances when viewed through the silica </w:t>
      </w:r>
      <w:proofErr w:type="spellStart"/>
      <w:r w:rsidRPr="00E56598">
        <w:t>ambigel</w:t>
      </w:r>
      <w:proofErr w:type="spellEnd"/>
      <w:r w:rsidRPr="00E56598">
        <w:t xml:space="preserve"> and aerogel slabs.</w:t>
      </w:r>
      <w:r w:rsidR="005D7D69" w:rsidRPr="005D7D69">
        <w:rPr>
          <w:vertAlign w:val="superscript"/>
        </w:rPr>
        <w:t>15,16</w:t>
      </w:r>
      <w:r w:rsidRPr="00E56598">
        <w:t xml:space="preserve"> A value close to 100 indicates that the material can accurately depict a variety of colors that are close to those seen under daylight and can relay a constant spectral transmittance. The CRI for good quality window glass is higher than 80 while an excellent quality window has a CRI &gt; 90. </w:t>
      </w:r>
      <w:r w:rsidRPr="00E56598">
        <w:rPr>
          <w:color w:val="000000" w:themeColor="text1"/>
        </w:rPr>
        <w:t>The color rendering index of the TEOS1, TEOS</w:t>
      </w:r>
      <w:proofErr w:type="gramStart"/>
      <w:r w:rsidRPr="00E56598">
        <w:rPr>
          <w:color w:val="000000" w:themeColor="text1"/>
        </w:rPr>
        <w:t>1</w:t>
      </w:r>
      <w:r>
        <w:rPr>
          <w:color w:val="000000" w:themeColor="text1"/>
        </w:rPr>
        <w:t>:MTES</w:t>
      </w:r>
      <w:proofErr w:type="gramEnd"/>
      <w:r w:rsidRPr="00E56598">
        <w:rPr>
          <w:color w:val="000000" w:themeColor="text1"/>
        </w:rPr>
        <w:t>, and TEOS1</w:t>
      </w:r>
      <w:r>
        <w:rPr>
          <w:color w:val="000000" w:themeColor="text1"/>
        </w:rPr>
        <w:t>:MTES</w:t>
      </w:r>
      <w:r w:rsidRPr="00E56598">
        <w:rPr>
          <w:color w:val="000000" w:themeColor="text1"/>
        </w:rPr>
        <w:t xml:space="preserve">:0.5TMCS were </w:t>
      </w:r>
      <w:r w:rsidRPr="00E56598">
        <w:rPr>
          <w:color w:val="222222"/>
          <w:shd w:val="clear" w:color="auto" w:fill="FFFFFF"/>
        </w:rPr>
        <w:t>systematically above 99%</w:t>
      </w:r>
      <w:r w:rsidRPr="00E56598">
        <w:rPr>
          <w:szCs w:val="20"/>
        </w:rPr>
        <w:t xml:space="preserve">, </w:t>
      </w:r>
      <w:r w:rsidRPr="00E56598">
        <w:rPr>
          <w:color w:val="222222"/>
          <w:shd w:val="clear" w:color="auto" w:fill="FFFFFF"/>
        </w:rPr>
        <w:t>respectively, confirming that color images viewed through the 0.5</w:t>
      </w:r>
      <w:r w:rsidRPr="00E56598">
        <w:rPr>
          <w:color w:val="000000" w:themeColor="text1"/>
        </w:rPr>
        <w:t>–</w:t>
      </w:r>
      <w:r w:rsidRPr="00E56598">
        <w:rPr>
          <w:color w:val="222222"/>
          <w:shd w:val="clear" w:color="auto" w:fill="FFFFFF"/>
        </w:rPr>
        <w:t xml:space="preserve">0.7 mm thick </w:t>
      </w:r>
      <w:proofErr w:type="spellStart"/>
      <w:r w:rsidRPr="00E56598">
        <w:rPr>
          <w:color w:val="222222"/>
          <w:shd w:val="clear" w:color="auto" w:fill="FFFFFF"/>
        </w:rPr>
        <w:t>ambigels</w:t>
      </w:r>
      <w:proofErr w:type="spellEnd"/>
      <w:r w:rsidRPr="00E56598">
        <w:rPr>
          <w:color w:val="222222"/>
          <w:shd w:val="clear" w:color="auto" w:fill="FFFFFF"/>
        </w:rPr>
        <w:t xml:space="preserve"> were excellent. </w:t>
      </w:r>
      <w:r w:rsidRPr="00E56598">
        <w:rPr>
          <w:color w:val="000000"/>
        </w:rPr>
        <w:t>Increasing the thickness of TEOS</w:t>
      </w:r>
      <w:proofErr w:type="gramStart"/>
      <w:r w:rsidRPr="00E56598">
        <w:rPr>
          <w:color w:val="000000"/>
        </w:rPr>
        <w:t>1</w:t>
      </w:r>
      <w:r>
        <w:rPr>
          <w:color w:val="000000"/>
        </w:rPr>
        <w:t>:MTES</w:t>
      </w:r>
      <w:proofErr w:type="gramEnd"/>
      <w:r w:rsidRPr="00E56598">
        <w:rPr>
          <w:color w:val="000000"/>
        </w:rPr>
        <w:t xml:space="preserve"> and TEOS2</w:t>
      </w:r>
      <w:r>
        <w:rPr>
          <w:color w:val="000000"/>
        </w:rPr>
        <w:t>:MTES</w:t>
      </w:r>
      <w:r w:rsidRPr="00E56598">
        <w:rPr>
          <w:color w:val="000000"/>
        </w:rPr>
        <w:t xml:space="preserve"> gels to 2.02 mm and 2.5 mm, respectively, gives transmittance values greater than 91% and haze values less than 4.5% across the entire visible spectrum (denoted TEOS1</w:t>
      </w:r>
      <w:r>
        <w:rPr>
          <w:color w:val="000000"/>
        </w:rPr>
        <w:t>:MTES</w:t>
      </w:r>
      <w:r w:rsidRPr="00E56598">
        <w:rPr>
          <w:color w:val="000000"/>
        </w:rPr>
        <w:t>:</w:t>
      </w:r>
      <w:r>
        <w:rPr>
          <w:color w:val="000000"/>
        </w:rPr>
        <w:t>THK</w:t>
      </w:r>
      <w:r w:rsidRPr="00E56598">
        <w:rPr>
          <w:color w:val="000000"/>
        </w:rPr>
        <w:t xml:space="preserve"> </w:t>
      </w:r>
      <w:proofErr w:type="spellStart"/>
      <w:r w:rsidRPr="00E56598">
        <w:rPr>
          <w:color w:val="000000"/>
        </w:rPr>
        <w:t>ambigel</w:t>
      </w:r>
      <w:proofErr w:type="spellEnd"/>
      <w:r w:rsidRPr="00E56598">
        <w:rPr>
          <w:color w:val="000000"/>
        </w:rPr>
        <w:t xml:space="preserve"> samples in Table 1). </w:t>
      </w:r>
      <w:r w:rsidRPr="00E56598">
        <w:rPr>
          <w:color w:val="222222"/>
          <w:shd w:val="clear" w:color="auto" w:fill="FFFFFF"/>
        </w:rPr>
        <w:t>Additionally, the TEOS</w:t>
      </w:r>
      <w:proofErr w:type="gramStart"/>
      <w:r w:rsidRPr="00E56598">
        <w:rPr>
          <w:color w:val="222222"/>
          <w:shd w:val="clear" w:color="auto" w:fill="FFFFFF"/>
        </w:rPr>
        <w:t>1:</w:t>
      </w:r>
      <w:r w:rsidR="001F5488">
        <w:rPr>
          <w:color w:val="222222"/>
          <w:shd w:val="clear" w:color="auto" w:fill="FFFFFF"/>
        </w:rPr>
        <w:t>MTES</w:t>
      </w:r>
      <w:proofErr w:type="gramEnd"/>
      <w:r w:rsidR="001F5488">
        <w:rPr>
          <w:color w:val="222222"/>
          <w:shd w:val="clear" w:color="auto" w:fill="FFFFFF"/>
        </w:rPr>
        <w:t>:THK</w:t>
      </w:r>
      <w:r w:rsidRPr="00E56598">
        <w:rPr>
          <w:color w:val="222222"/>
          <w:shd w:val="clear" w:color="auto" w:fill="FFFFFF"/>
        </w:rPr>
        <w:t xml:space="preserve"> </w:t>
      </w:r>
      <w:proofErr w:type="spellStart"/>
      <w:r w:rsidRPr="00E56598">
        <w:rPr>
          <w:color w:val="222222"/>
          <w:shd w:val="clear" w:color="auto" w:fill="FFFFFF"/>
        </w:rPr>
        <w:t>ambigel</w:t>
      </w:r>
      <w:proofErr w:type="spellEnd"/>
      <w:r w:rsidRPr="00E56598">
        <w:rPr>
          <w:color w:val="222222"/>
          <w:shd w:val="clear" w:color="auto" w:fill="FFFFFF"/>
        </w:rPr>
        <w:t xml:space="preserve"> sample had measured CRI of &gt; 99% confirming the excellent color rendering of images seen through gels with small pores even when the thickness is substantially increased.</w:t>
      </w:r>
      <w:r w:rsidRPr="00E56598">
        <w:rPr>
          <w:color w:val="000000"/>
        </w:rPr>
        <w:t xml:space="preserve"> The excellent optical clarity of gels can be seen qualitatively in the photographs of Figure </w:t>
      </w:r>
      <w:r>
        <w:rPr>
          <w:color w:val="000000"/>
        </w:rPr>
        <w:t>1</w:t>
      </w:r>
      <w:r w:rsidRPr="00E56598">
        <w:rPr>
          <w:color w:val="000000"/>
        </w:rPr>
        <w:t>.</w:t>
      </w:r>
    </w:p>
    <w:p w14:paraId="3964D6A5" w14:textId="6159E72B" w:rsidR="0017782D" w:rsidRDefault="0017782D" w:rsidP="0017782D">
      <w:pPr>
        <w:spacing w:line="480" w:lineRule="auto"/>
        <w:ind w:firstLine="720"/>
        <w:jc w:val="both"/>
        <w:rPr>
          <w:color w:val="000000"/>
        </w:rPr>
      </w:pPr>
    </w:p>
    <w:p w14:paraId="51064BB4" w14:textId="799309E9" w:rsidR="003444D4" w:rsidRDefault="003444D4" w:rsidP="0017782D">
      <w:pPr>
        <w:spacing w:line="480" w:lineRule="auto"/>
        <w:ind w:firstLine="720"/>
        <w:jc w:val="both"/>
        <w:rPr>
          <w:color w:val="000000"/>
        </w:rPr>
      </w:pPr>
    </w:p>
    <w:p w14:paraId="18F02177" w14:textId="4F408269" w:rsidR="003444D4" w:rsidRDefault="003444D4" w:rsidP="0017782D">
      <w:pPr>
        <w:spacing w:line="480" w:lineRule="auto"/>
        <w:ind w:firstLine="720"/>
        <w:jc w:val="both"/>
        <w:rPr>
          <w:color w:val="000000"/>
        </w:rPr>
      </w:pPr>
    </w:p>
    <w:p w14:paraId="78D7C81D" w14:textId="0924F5CD" w:rsidR="003444D4" w:rsidRDefault="003444D4" w:rsidP="0017782D">
      <w:pPr>
        <w:spacing w:line="480" w:lineRule="auto"/>
        <w:ind w:firstLine="720"/>
        <w:jc w:val="both"/>
        <w:rPr>
          <w:color w:val="000000"/>
        </w:rPr>
      </w:pPr>
    </w:p>
    <w:p w14:paraId="69F67749" w14:textId="2F4B261B" w:rsidR="003444D4" w:rsidRDefault="003444D4" w:rsidP="0017782D">
      <w:pPr>
        <w:spacing w:line="480" w:lineRule="auto"/>
        <w:ind w:firstLine="720"/>
        <w:jc w:val="both"/>
        <w:rPr>
          <w:color w:val="000000"/>
        </w:rPr>
      </w:pPr>
    </w:p>
    <w:p w14:paraId="71019393" w14:textId="64877053" w:rsidR="003444D4" w:rsidRDefault="003444D4" w:rsidP="0017782D">
      <w:pPr>
        <w:spacing w:line="480" w:lineRule="auto"/>
        <w:ind w:firstLine="720"/>
        <w:jc w:val="both"/>
        <w:rPr>
          <w:color w:val="000000"/>
        </w:rPr>
      </w:pPr>
    </w:p>
    <w:p w14:paraId="3AED1F28" w14:textId="35D116CD" w:rsidR="003444D4" w:rsidRDefault="003444D4" w:rsidP="0017782D">
      <w:pPr>
        <w:spacing w:line="480" w:lineRule="auto"/>
        <w:ind w:firstLine="720"/>
        <w:jc w:val="both"/>
        <w:rPr>
          <w:color w:val="000000"/>
        </w:rPr>
      </w:pPr>
    </w:p>
    <w:p w14:paraId="31648513" w14:textId="77777777" w:rsidR="003444D4" w:rsidRPr="00E56598" w:rsidRDefault="003444D4" w:rsidP="0017782D">
      <w:pPr>
        <w:spacing w:line="480" w:lineRule="auto"/>
        <w:ind w:firstLine="720"/>
        <w:jc w:val="both"/>
        <w:rPr>
          <w:color w:val="000000"/>
        </w:rPr>
      </w:pPr>
    </w:p>
    <w:p w14:paraId="6C8B4B2F" w14:textId="77777777" w:rsidR="0017782D" w:rsidRPr="00E56598" w:rsidRDefault="0017782D" w:rsidP="0017782D">
      <w:pPr>
        <w:shd w:val="clear" w:color="auto" w:fill="FFFFFF"/>
        <w:spacing w:line="480" w:lineRule="auto"/>
        <w:jc w:val="both"/>
        <w:rPr>
          <w:color w:val="000000"/>
        </w:rPr>
      </w:pPr>
      <w:r w:rsidRPr="00E56598">
        <w:rPr>
          <w:b/>
          <w:bCs/>
          <w:color w:val="000000"/>
        </w:rPr>
        <w:lastRenderedPageBreak/>
        <w:t xml:space="preserve">U-Value reduction of a single pane window with </w:t>
      </w:r>
      <w:proofErr w:type="spellStart"/>
      <w:r w:rsidRPr="00E56598">
        <w:rPr>
          <w:b/>
          <w:bCs/>
          <w:color w:val="000000"/>
        </w:rPr>
        <w:t>ambigel</w:t>
      </w:r>
      <w:proofErr w:type="spellEnd"/>
      <w:r w:rsidRPr="00E56598">
        <w:rPr>
          <w:b/>
          <w:bCs/>
          <w:color w:val="000000"/>
        </w:rPr>
        <w:t xml:space="preserve"> coating</w:t>
      </w:r>
    </w:p>
    <w:p w14:paraId="36D042B6" w14:textId="18148FA9" w:rsidR="0017782D" w:rsidRPr="008C1B0E" w:rsidRDefault="0017782D" w:rsidP="008C1B0E">
      <w:pPr>
        <w:shd w:val="clear" w:color="auto" w:fill="FFFFFF"/>
        <w:spacing w:line="480" w:lineRule="auto"/>
        <w:ind w:firstLine="360"/>
        <w:jc w:val="both"/>
        <w:rPr>
          <w:noProof/>
        </w:rPr>
      </w:pPr>
      <w:r w:rsidRPr="00E56598">
        <w:rPr>
          <w:color w:val="000000"/>
        </w:rPr>
        <w:t xml:space="preserve">In order to gain perspective on the practical effects of </w:t>
      </w:r>
      <w:proofErr w:type="spellStart"/>
      <w:r w:rsidRPr="00E56598">
        <w:rPr>
          <w:color w:val="000000"/>
        </w:rPr>
        <w:t>ambigels</w:t>
      </w:r>
      <w:proofErr w:type="spellEnd"/>
      <w:r w:rsidRPr="00E56598">
        <w:rPr>
          <w:color w:val="000000"/>
        </w:rPr>
        <w:t xml:space="preserve"> in window applications, the U-values of a single pane window with a low-emissivity (low-</w:t>
      </w:r>
      <w:r w:rsidRPr="00E56598">
        <w:rPr>
          <w:i/>
          <w:iCs/>
          <w:color w:val="000000"/>
        </w:rPr>
        <w:t>e</w:t>
      </w:r>
      <w:r w:rsidRPr="00E56598">
        <w:rPr>
          <w:color w:val="000000"/>
        </w:rPr>
        <w:t xml:space="preserve">) coating and a single pane retrofitted with a 3 mm thick </w:t>
      </w:r>
      <w:proofErr w:type="spellStart"/>
      <w:r w:rsidRPr="00E56598">
        <w:rPr>
          <w:color w:val="000000"/>
        </w:rPr>
        <w:t>ambigel</w:t>
      </w:r>
      <w:proofErr w:type="spellEnd"/>
      <w:r w:rsidRPr="00E56598">
        <w:rPr>
          <w:color w:val="000000"/>
        </w:rPr>
        <w:t xml:space="preserve"> slab sandwiched between a 3 mm thick glass pane and the low-</w:t>
      </w:r>
      <w:r w:rsidRPr="00E56598">
        <w:rPr>
          <w:i/>
          <w:iCs/>
          <w:color w:val="000000"/>
        </w:rPr>
        <w:t>e </w:t>
      </w:r>
      <w:r w:rsidRPr="00E56598">
        <w:rPr>
          <w:color w:val="000000"/>
        </w:rPr>
        <w:t>coating were predicted (</w:t>
      </w:r>
      <w:r w:rsidRPr="00E56598">
        <w:rPr>
          <w:b/>
          <w:bCs/>
          <w:color w:val="000000"/>
        </w:rPr>
        <w:t>Figure S</w:t>
      </w:r>
      <w:r w:rsidR="008C1B0E">
        <w:rPr>
          <w:b/>
          <w:bCs/>
          <w:color w:val="000000"/>
        </w:rPr>
        <w:t>2</w:t>
      </w:r>
      <w:r w:rsidRPr="00E56598">
        <w:rPr>
          <w:color w:val="000000"/>
        </w:rPr>
        <w:t>).</w:t>
      </w:r>
      <w:r w:rsidR="005D7D69" w:rsidRPr="005D7D69">
        <w:rPr>
          <w:color w:val="000000"/>
          <w:vertAlign w:val="superscript"/>
        </w:rPr>
        <w:t>17</w:t>
      </w:r>
      <w:r w:rsidRPr="00E56598">
        <w:rPr>
          <w:color w:val="000000"/>
        </w:rPr>
        <w:t xml:space="preserve"> The U-value of a multilayer system is the inverse of its thermal resistance and a lower U-value indicates better insulation properties.</w:t>
      </w:r>
      <w:r w:rsidR="005D7D69" w:rsidRPr="005D7D69">
        <w:rPr>
          <w:color w:val="000000"/>
          <w:vertAlign w:val="superscript"/>
        </w:rPr>
        <w:t>17</w:t>
      </w:r>
      <w:r w:rsidR="00A3168E">
        <w:rPr>
          <w:color w:val="000000"/>
        </w:rPr>
        <w:t xml:space="preserve"> </w:t>
      </w:r>
      <w:r w:rsidRPr="00E56598">
        <w:rPr>
          <w:color w:val="000000"/>
        </w:rPr>
        <w:t>Using the Window 7 software provided by LBNL</w:t>
      </w:r>
      <w:r w:rsidR="005D7D69" w:rsidRPr="005D7D69">
        <w:rPr>
          <w:color w:val="000000"/>
          <w:vertAlign w:val="superscript"/>
        </w:rPr>
        <w:t>18</w:t>
      </w:r>
      <w:r w:rsidRPr="00D80563">
        <w:rPr>
          <w:color w:val="000000"/>
        </w:rPr>
        <w:t xml:space="preserve"> </w:t>
      </w:r>
      <w:r w:rsidRPr="00E56598">
        <w:rPr>
          <w:color w:val="000000"/>
        </w:rPr>
        <w:t>and assuming NFRC100-2010 environmental conditions</w:t>
      </w:r>
      <w:r w:rsidR="005D7D69" w:rsidRPr="005D7D69">
        <w:rPr>
          <w:color w:val="000000"/>
          <w:vertAlign w:val="superscript"/>
        </w:rPr>
        <w:t>19</w:t>
      </w:r>
      <w:r w:rsidRPr="00E56598">
        <w:rPr>
          <w:color w:val="000000"/>
        </w:rPr>
        <w:t xml:space="preserve">, </w:t>
      </w:r>
      <w:r w:rsidR="008C1B0E" w:rsidRPr="004F20DE">
        <w:rPr>
          <w:color w:val="000000"/>
        </w:rPr>
        <w:t>a 6 mm thick single pane window (</w:t>
      </w:r>
      <w:r w:rsidR="008C1B0E" w:rsidRPr="004F20DE">
        <w:rPr>
          <w:color w:val="000000" w:themeColor="text1"/>
        </w:rPr>
        <w:sym w:font="Symbol" w:char="F06B"/>
      </w:r>
      <w:r w:rsidR="008C1B0E" w:rsidRPr="004F20DE">
        <w:rPr>
          <w:color w:val="000000" w:themeColor="text1"/>
          <w:vertAlign w:val="subscript"/>
        </w:rPr>
        <w:t>pane</w:t>
      </w:r>
      <w:r w:rsidR="008C1B0E" w:rsidRPr="004F20DE">
        <w:rPr>
          <w:color w:val="000000"/>
        </w:rPr>
        <w:t xml:space="preserve"> </w:t>
      </w:r>
      <w:r w:rsidR="008C1B0E" w:rsidRPr="004F20DE">
        <w:rPr>
          <w:color w:val="000000"/>
          <w:vertAlign w:val="subscript"/>
        </w:rPr>
        <w:t xml:space="preserve"> =</w:t>
      </w:r>
      <w:r w:rsidR="008C1B0E" w:rsidRPr="004F20DE">
        <w:rPr>
          <w:color w:val="000000"/>
        </w:rPr>
        <w:t xml:space="preserve"> 1 W m</w:t>
      </w:r>
      <w:r w:rsidR="008C1B0E" w:rsidRPr="004F20DE">
        <w:rPr>
          <w:color w:val="000000"/>
          <w:vertAlign w:val="superscript"/>
        </w:rPr>
        <w:t>-1</w:t>
      </w:r>
      <w:r w:rsidR="008C1B0E" w:rsidRPr="004F20DE">
        <w:rPr>
          <w:color w:val="000000"/>
        </w:rPr>
        <w:t>K</w:t>
      </w:r>
      <w:r w:rsidR="008C1B0E" w:rsidRPr="004F20DE">
        <w:rPr>
          <w:color w:val="000000"/>
          <w:vertAlign w:val="superscript"/>
        </w:rPr>
        <w:t>-1</w:t>
      </w:r>
      <w:r w:rsidR="008C1B0E" w:rsidRPr="004F20DE">
        <w:rPr>
          <w:color w:val="000000"/>
        </w:rPr>
        <w:t>) has a center-of-glass U-value of 0.608 Btu h</w:t>
      </w:r>
      <w:r w:rsidR="008C1B0E" w:rsidRPr="004F20DE">
        <w:rPr>
          <w:color w:val="000000"/>
          <w:vertAlign w:val="superscript"/>
        </w:rPr>
        <w:t>-1</w:t>
      </w:r>
      <w:r w:rsidR="008C1B0E" w:rsidRPr="004F20DE">
        <w:rPr>
          <w:color w:val="000000"/>
        </w:rPr>
        <w:t>f</w:t>
      </w:r>
      <w:r w:rsidR="008C1B0E" w:rsidRPr="004F20DE">
        <w:rPr>
          <w:color w:val="000000"/>
          <w:vertAlign w:val="superscript"/>
        </w:rPr>
        <w:t>-2°</w:t>
      </w:r>
      <w:r w:rsidR="008C1B0E" w:rsidRPr="004F20DE">
        <w:rPr>
          <w:color w:val="000000"/>
        </w:rPr>
        <w:t>F</w:t>
      </w:r>
      <w:r w:rsidR="008C1B0E" w:rsidRPr="004F20DE">
        <w:rPr>
          <w:color w:val="000000"/>
          <w:vertAlign w:val="superscript"/>
        </w:rPr>
        <w:t>-1</w:t>
      </w:r>
      <w:r w:rsidR="008C1B0E" w:rsidRPr="004F20DE">
        <w:rPr>
          <w:color w:val="000000"/>
        </w:rPr>
        <w:t xml:space="preserve"> as shown in Figure S</w:t>
      </w:r>
      <w:r w:rsidR="008C1B0E">
        <w:rPr>
          <w:color w:val="000000"/>
        </w:rPr>
        <w:t>2</w:t>
      </w:r>
      <w:r w:rsidR="008C1B0E" w:rsidRPr="004F20DE">
        <w:rPr>
          <w:color w:val="000000"/>
        </w:rPr>
        <w:t xml:space="preserve">. Replacing 3.0 mm of the single pane window with a 3.0 mm thick silica </w:t>
      </w:r>
      <w:proofErr w:type="spellStart"/>
      <w:r w:rsidR="008C1B0E" w:rsidRPr="004F20DE">
        <w:rPr>
          <w:color w:val="000000"/>
        </w:rPr>
        <w:t>ambigel</w:t>
      </w:r>
      <w:proofErr w:type="spellEnd"/>
      <w:r w:rsidR="008C1B0E" w:rsidRPr="004F20DE">
        <w:rPr>
          <w:color w:val="000000"/>
        </w:rPr>
        <w:t xml:space="preserve"> thermal barrier (</w:t>
      </w:r>
      <w:r w:rsidR="008C1B0E" w:rsidRPr="004F20DE">
        <w:rPr>
          <w:color w:val="000000" w:themeColor="text1"/>
        </w:rPr>
        <w:sym w:font="Symbol" w:char="F06B"/>
      </w:r>
      <w:r w:rsidR="008C1B0E" w:rsidRPr="004F20DE">
        <w:rPr>
          <w:color w:val="000000"/>
          <w:vertAlign w:val="subscript"/>
        </w:rPr>
        <w:t xml:space="preserve">TB </w:t>
      </w:r>
      <w:r w:rsidR="008C1B0E" w:rsidRPr="004F20DE">
        <w:rPr>
          <w:color w:val="000000"/>
        </w:rPr>
        <w:t>= 0.04 W m</w:t>
      </w:r>
      <w:r w:rsidR="008C1B0E" w:rsidRPr="004F20DE">
        <w:rPr>
          <w:color w:val="000000"/>
          <w:vertAlign w:val="superscript"/>
        </w:rPr>
        <w:t>-1</w:t>
      </w:r>
      <w:r w:rsidR="008C1B0E" w:rsidRPr="004F20DE">
        <w:rPr>
          <w:color w:val="000000"/>
        </w:rPr>
        <w:t>K</w:t>
      </w:r>
      <w:r w:rsidR="008C1B0E" w:rsidRPr="004F20DE">
        <w:rPr>
          <w:color w:val="000000"/>
          <w:vertAlign w:val="superscript"/>
        </w:rPr>
        <w:t>-1</w:t>
      </w:r>
      <w:r w:rsidR="008C1B0E" w:rsidRPr="004F20DE">
        <w:rPr>
          <w:color w:val="000000"/>
        </w:rPr>
        <w:t>) reduces the center-of-glass U-value by over 20% to 0.472 Btu h</w:t>
      </w:r>
      <w:r w:rsidR="008C1B0E" w:rsidRPr="004F20DE">
        <w:rPr>
          <w:color w:val="000000"/>
          <w:vertAlign w:val="superscript"/>
        </w:rPr>
        <w:t>-1</w:t>
      </w:r>
      <w:r w:rsidR="008C1B0E" w:rsidRPr="004F20DE">
        <w:rPr>
          <w:color w:val="000000"/>
        </w:rPr>
        <w:t>f</w:t>
      </w:r>
      <w:r w:rsidR="008C1B0E" w:rsidRPr="004F20DE">
        <w:rPr>
          <w:color w:val="000000"/>
          <w:vertAlign w:val="superscript"/>
        </w:rPr>
        <w:t>-2°</w:t>
      </w:r>
      <w:r w:rsidR="008C1B0E" w:rsidRPr="004F20DE">
        <w:rPr>
          <w:color w:val="000000"/>
        </w:rPr>
        <w:t>F</w:t>
      </w:r>
      <w:r w:rsidR="008C1B0E" w:rsidRPr="004F20DE">
        <w:rPr>
          <w:color w:val="000000"/>
          <w:vertAlign w:val="superscript"/>
        </w:rPr>
        <w:t>-1</w:t>
      </w:r>
      <w:r w:rsidR="008C1B0E" w:rsidRPr="004F20DE">
        <w:rPr>
          <w:color w:val="000000"/>
        </w:rPr>
        <w:t>.</w:t>
      </w:r>
      <w:r w:rsidR="008C1B0E" w:rsidRPr="00D86390">
        <w:rPr>
          <w:noProof/>
        </w:rPr>
        <w:t xml:space="preserve"> </w:t>
      </w:r>
    </w:p>
    <w:p w14:paraId="6E9C04AD" w14:textId="07ECF070" w:rsidR="0017782D" w:rsidRDefault="008C1B0E" w:rsidP="0017782D">
      <w:pPr>
        <w:tabs>
          <w:tab w:val="left" w:pos="3038"/>
        </w:tabs>
        <w:spacing w:line="480" w:lineRule="auto"/>
        <w:jc w:val="center"/>
        <w:rPr>
          <w:b/>
        </w:rPr>
      </w:pPr>
      <w:r w:rsidRPr="008C1B0E">
        <w:rPr>
          <w:b/>
          <w:noProof/>
        </w:rPr>
        <mc:AlternateContent>
          <mc:Choice Requires="wps">
            <w:drawing>
              <wp:anchor distT="0" distB="0" distL="114300" distR="114300" simplePos="0" relativeHeight="251659264" behindDoc="0" locked="0" layoutInCell="1" allowOverlap="1" wp14:anchorId="27D0AA4B" wp14:editId="0B21BC2B">
                <wp:simplePos x="0" y="0"/>
                <wp:positionH relativeFrom="column">
                  <wp:posOffset>0</wp:posOffset>
                </wp:positionH>
                <wp:positionV relativeFrom="paragraph">
                  <wp:posOffset>-635</wp:posOffset>
                </wp:positionV>
                <wp:extent cx="416858" cy="349624"/>
                <wp:effectExtent l="0" t="0" r="2540" b="6350"/>
                <wp:wrapNone/>
                <wp:docPr id="1" name="Text Box 1"/>
                <wp:cNvGraphicFramePr/>
                <a:graphic xmlns:a="http://schemas.openxmlformats.org/drawingml/2006/main">
                  <a:graphicData uri="http://schemas.microsoft.com/office/word/2010/wordprocessingShape">
                    <wps:wsp>
                      <wps:cNvSpPr txBox="1"/>
                      <wps:spPr>
                        <a:xfrm>
                          <a:off x="0" y="0"/>
                          <a:ext cx="416858" cy="349624"/>
                        </a:xfrm>
                        <a:prstGeom prst="rect">
                          <a:avLst/>
                        </a:prstGeom>
                        <a:solidFill>
                          <a:schemeClr val="lt1"/>
                        </a:solidFill>
                        <a:ln w="6350">
                          <a:noFill/>
                        </a:ln>
                      </wps:spPr>
                      <wps:txbx>
                        <w:txbxContent>
                          <w:p w14:paraId="6DBE896B" w14:textId="77777777" w:rsidR="00E741A9" w:rsidRDefault="00E741A9" w:rsidP="008C1B0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0AA4B" id="_x0000_t202" coordsize="21600,21600" o:spt="202" path="m,l,21600r21600,l21600,xe">
                <v:stroke joinstyle="miter"/>
                <v:path gradientshapeok="t" o:connecttype="rect"/>
              </v:shapetype>
              <v:shape id="Text Box 1" o:spid="_x0000_s1026" type="#_x0000_t202" style="position:absolute;left:0;text-align:left;margin-left:0;margin-top:-.05pt;width:32.8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" fillcolor="white [3201]" stroked="f" strokeweight=".5pt">
                <v:textbox>
                  <w:txbxContent>
                    <w:p w14:paraId="6DBE896B" w14:textId="77777777" w:rsidR="00E741A9" w:rsidRDefault="00E741A9" w:rsidP="008C1B0E">
                      <w:r>
                        <w:t>(a)</w:t>
                      </w:r>
                    </w:p>
                  </w:txbxContent>
                </v:textbox>
              </v:shape>
            </w:pict>
          </mc:Fallback>
        </mc:AlternateContent>
      </w:r>
      <w:r w:rsidRPr="008C1B0E">
        <w:rPr>
          <w:b/>
          <w:noProof/>
        </w:rPr>
        <mc:AlternateContent>
          <mc:Choice Requires="wps">
            <w:drawing>
              <wp:anchor distT="0" distB="0" distL="114300" distR="114300" simplePos="0" relativeHeight="251660288" behindDoc="0" locked="0" layoutInCell="1" allowOverlap="1" wp14:anchorId="283C6496" wp14:editId="2FEB935A">
                <wp:simplePos x="0" y="0"/>
                <wp:positionH relativeFrom="column">
                  <wp:posOffset>2971165</wp:posOffset>
                </wp:positionH>
                <wp:positionV relativeFrom="paragraph">
                  <wp:posOffset>13335</wp:posOffset>
                </wp:positionV>
                <wp:extent cx="376517" cy="335803"/>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76517" cy="335803"/>
                        </a:xfrm>
                        <a:prstGeom prst="rect">
                          <a:avLst/>
                        </a:prstGeom>
                        <a:solidFill>
                          <a:schemeClr val="lt1"/>
                        </a:solidFill>
                        <a:ln w="6350">
                          <a:noFill/>
                        </a:ln>
                      </wps:spPr>
                      <wps:txbx>
                        <w:txbxContent>
                          <w:p w14:paraId="5162B8A1" w14:textId="77777777" w:rsidR="00E741A9" w:rsidRDefault="00E741A9" w:rsidP="008C1B0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C6496" id="Text Box 4" o:spid="_x0000_s1027" type="#_x0000_t202" style="position:absolute;left:0;text-align:left;margin-left:233.95pt;margin-top:1.05pt;width:29.6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" fillcolor="white [3201]" stroked="f" strokeweight=".5pt">
                <v:textbox>
                  <w:txbxContent>
                    <w:p w14:paraId="5162B8A1" w14:textId="77777777" w:rsidR="00E741A9" w:rsidRDefault="00E741A9" w:rsidP="008C1B0E">
                      <w:r>
                        <w:t>(b)</w:t>
                      </w:r>
                    </w:p>
                  </w:txbxContent>
                </v:textbox>
              </v:shape>
            </w:pict>
          </mc:Fallback>
        </mc:AlternateContent>
      </w:r>
    </w:p>
    <w:p w14:paraId="726C4267" w14:textId="075873C9" w:rsidR="0017782D" w:rsidRPr="00E56598" w:rsidRDefault="008C1B0E" w:rsidP="0017782D">
      <w:pPr>
        <w:tabs>
          <w:tab w:val="left" w:pos="3038"/>
        </w:tabs>
        <w:jc w:val="both"/>
        <w:rPr>
          <w:b/>
        </w:rPr>
      </w:pPr>
      <w:r>
        <w:rPr>
          <w:b/>
          <w:noProof/>
        </w:rPr>
        <w:drawing>
          <wp:inline distT="0" distB="0" distL="0" distR="0" wp14:anchorId="675EAD93" wp14:editId="3635CC26">
            <wp:extent cx="5326273" cy="2750740"/>
            <wp:effectExtent l="0" t="0" r="0" b="0"/>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26273" cy="2750740"/>
                    </a:xfrm>
                    <a:prstGeom prst="rect">
                      <a:avLst/>
                    </a:prstGeom>
                  </pic:spPr>
                </pic:pic>
              </a:graphicData>
            </a:graphic>
          </wp:inline>
        </w:drawing>
      </w:r>
    </w:p>
    <w:p w14:paraId="3E3C5670" w14:textId="67095E81" w:rsidR="0017782D" w:rsidRPr="00E56598" w:rsidRDefault="0017782D" w:rsidP="0017782D">
      <w:pPr>
        <w:tabs>
          <w:tab w:val="left" w:pos="3038"/>
        </w:tabs>
        <w:jc w:val="both"/>
      </w:pPr>
      <w:r w:rsidRPr="00E56598">
        <w:rPr>
          <w:b/>
        </w:rPr>
        <w:t>Figure S</w:t>
      </w:r>
      <w:r w:rsidR="008C1B0E">
        <w:rPr>
          <w:b/>
        </w:rPr>
        <w:t>2</w:t>
      </w:r>
      <w:r w:rsidRPr="00E56598">
        <w:t xml:space="preserve">. Schematic of windows used for calculating the U-value of (a) a classic single-pane window and (b) a single-pane window with </w:t>
      </w:r>
      <w:r>
        <w:t xml:space="preserve">3.0 </w:t>
      </w:r>
      <w:r w:rsidRPr="00E56598">
        <w:t xml:space="preserve">mm thick </w:t>
      </w:r>
      <w:proofErr w:type="spellStart"/>
      <w:r w:rsidRPr="00E56598">
        <w:t>ambigel</w:t>
      </w:r>
      <w:proofErr w:type="spellEnd"/>
      <w:r w:rsidRPr="00E56598">
        <w:t xml:space="preserve"> and low-</w:t>
      </w:r>
      <w:r w:rsidRPr="00E56598">
        <w:rPr>
          <w:i/>
        </w:rPr>
        <w:t>e</w:t>
      </w:r>
      <w:r w:rsidRPr="00E56598">
        <w:t xml:space="preserve"> coating.</w:t>
      </w:r>
    </w:p>
    <w:p w14:paraId="2BCCEB9E" w14:textId="77777777" w:rsidR="0017782D" w:rsidRPr="00E56598" w:rsidRDefault="0017782D" w:rsidP="0017782D">
      <w:pPr>
        <w:tabs>
          <w:tab w:val="left" w:pos="3038"/>
        </w:tabs>
        <w:spacing w:line="480" w:lineRule="auto"/>
        <w:jc w:val="both"/>
      </w:pPr>
    </w:p>
    <w:p w14:paraId="38D697D6" w14:textId="6BA42FD2" w:rsidR="00557D72" w:rsidRPr="00557D72" w:rsidRDefault="0017782D" w:rsidP="00557D72">
      <w:pPr>
        <w:tabs>
          <w:tab w:val="left" w:pos="3038"/>
        </w:tabs>
        <w:spacing w:line="480" w:lineRule="auto"/>
        <w:jc w:val="both"/>
        <w:rPr>
          <w:b/>
        </w:rPr>
      </w:pPr>
      <w:r w:rsidRPr="00D86390">
        <w:rPr>
          <w:noProof/>
        </w:rPr>
        <w:t xml:space="preserve"> </w:t>
      </w:r>
    </w:p>
    <w:p w14:paraId="419237EA" w14:textId="0C2D16F6" w:rsidR="0017782D" w:rsidRPr="00E56598" w:rsidRDefault="0017782D" w:rsidP="0017782D">
      <w:pPr>
        <w:tabs>
          <w:tab w:val="left" w:pos="720"/>
        </w:tabs>
        <w:spacing w:line="480" w:lineRule="auto"/>
        <w:jc w:val="both"/>
        <w:rPr>
          <w:b/>
        </w:rPr>
      </w:pPr>
      <w:r w:rsidRPr="00557D72">
        <w:br w:type="page"/>
      </w:r>
      <w:r w:rsidRPr="00E56598">
        <w:rPr>
          <w:b/>
        </w:rPr>
        <w:lastRenderedPageBreak/>
        <w:t>Supplemental Experimental Procedure</w:t>
      </w:r>
    </w:p>
    <w:p w14:paraId="2177EE77" w14:textId="77777777" w:rsidR="0017782D" w:rsidRPr="00E56598" w:rsidRDefault="0017782D" w:rsidP="0017782D">
      <w:pPr>
        <w:tabs>
          <w:tab w:val="left" w:pos="720"/>
        </w:tabs>
        <w:spacing w:line="480" w:lineRule="auto"/>
        <w:jc w:val="both"/>
        <w:rPr>
          <w:b/>
        </w:rPr>
      </w:pPr>
    </w:p>
    <w:p w14:paraId="110418A2" w14:textId="135601C4" w:rsidR="0017782D" w:rsidRPr="00E56598" w:rsidRDefault="0017782D" w:rsidP="0017782D">
      <w:pPr>
        <w:tabs>
          <w:tab w:val="left" w:pos="720"/>
        </w:tabs>
        <w:spacing w:line="480" w:lineRule="auto"/>
        <w:jc w:val="both"/>
        <w:rPr>
          <w:color w:val="000000" w:themeColor="text1"/>
        </w:rPr>
      </w:pPr>
      <w:r w:rsidRPr="00E56598">
        <w:rPr>
          <w:i/>
          <w:color w:val="000000" w:themeColor="text1"/>
        </w:rPr>
        <w:t xml:space="preserve">Structural Characterization: </w:t>
      </w:r>
      <w:r w:rsidRPr="00E56598">
        <w:rPr>
          <w:color w:val="000000" w:themeColor="text1"/>
        </w:rPr>
        <w:t xml:space="preserve">Nitrogen adsorption–desorption isotherms were measured at –196 </w:t>
      </w:r>
      <w:r w:rsidRPr="00E56598">
        <w:rPr>
          <w:color w:val="000000" w:themeColor="text1"/>
        </w:rPr>
        <w:sym w:font="Symbol" w:char="F0B0"/>
      </w:r>
      <w:r w:rsidRPr="00E56598">
        <w:rPr>
          <w:color w:val="000000" w:themeColor="text1"/>
        </w:rPr>
        <w:t xml:space="preserve">C on an accelerated surface area and porosity analyzers ASAP2020 Plus and ASAP2010 manufactured by Micromeritics Instruments Corp. [Norcross, GA]. Specific surface area was calculated using the </w:t>
      </w:r>
      <w:proofErr w:type="spellStart"/>
      <w:r w:rsidRPr="00E56598">
        <w:rPr>
          <w:color w:val="000000" w:themeColor="text1"/>
        </w:rPr>
        <w:t>Brunauer</w:t>
      </w:r>
      <w:proofErr w:type="spellEnd"/>
      <w:r w:rsidRPr="00E56598">
        <w:rPr>
          <w:color w:val="000000" w:themeColor="text1"/>
        </w:rPr>
        <w:t>–Emmett–Teller method (BET) based on nitrogen adsorption data in the relative pressure range 0.05–0.2 and assuming the cross-section area of a nitrogen molecule to be 0.162 nm</w:t>
      </w:r>
      <w:r w:rsidRPr="00E56598">
        <w:rPr>
          <w:color w:val="000000" w:themeColor="text1"/>
          <w:vertAlign w:val="superscript"/>
        </w:rPr>
        <w:t>2</w:t>
      </w:r>
      <w:r w:rsidRPr="00E56598">
        <w:rPr>
          <w:color w:val="000000" w:themeColor="text1"/>
        </w:rPr>
        <w:t>.</w:t>
      </w:r>
      <w:r w:rsidR="005D7D69" w:rsidRPr="005D7D69">
        <w:rPr>
          <w:color w:val="000000"/>
          <w:vertAlign w:val="superscript"/>
        </w:rPr>
        <w:t>20,21</w:t>
      </w:r>
      <w:r w:rsidR="00AD6D79">
        <w:rPr>
          <w:color w:val="000000" w:themeColor="text1"/>
        </w:rPr>
        <w:t xml:space="preserve"> </w:t>
      </w:r>
      <w:r w:rsidRPr="00E56598">
        <w:rPr>
          <w:color w:val="000000" w:themeColor="text1"/>
        </w:rPr>
        <w:t xml:space="preserve">Total pore volume was calculated by converting the amount of nitrogen adsorbed at a relative pressure </w:t>
      </w:r>
      <w:r w:rsidRPr="00E56598">
        <w:rPr>
          <w:color w:val="000000" w:themeColor="text1"/>
        </w:rPr>
        <w:sym w:font="Symbol" w:char="F0BB"/>
      </w:r>
      <w:r w:rsidRPr="00E56598">
        <w:rPr>
          <w:color w:val="000000" w:themeColor="text1"/>
        </w:rPr>
        <w:t>0.98 to the volume of liquid nitrogen assuming the density conversion factor of 0.0015468.</w:t>
      </w:r>
      <w:r w:rsidRPr="00E56598">
        <w:rPr>
          <w:color w:val="000000"/>
          <w:vertAlign w:val="superscript"/>
        </w:rPr>
        <w:t xml:space="preserve"> </w:t>
      </w:r>
      <w:r w:rsidRPr="00E56598">
        <w:rPr>
          <w:color w:val="000000" w:themeColor="text1"/>
        </w:rPr>
        <w:t xml:space="preserve"> Pore width was estimated from the position of a peak maximum in the pore size distribution determined using the Kruk–</w:t>
      </w:r>
      <w:proofErr w:type="spellStart"/>
      <w:r w:rsidRPr="00E56598">
        <w:rPr>
          <w:color w:val="000000" w:themeColor="text1"/>
        </w:rPr>
        <w:t>Jaroniec</w:t>
      </w:r>
      <w:proofErr w:type="spellEnd"/>
      <w:r w:rsidRPr="00E56598">
        <w:rPr>
          <w:color w:val="000000" w:themeColor="text1"/>
        </w:rPr>
        <w:t>–</w:t>
      </w:r>
      <w:proofErr w:type="spellStart"/>
      <w:r w:rsidRPr="00E56598">
        <w:rPr>
          <w:color w:val="000000" w:themeColor="text1"/>
        </w:rPr>
        <w:t>Sayari</w:t>
      </w:r>
      <w:proofErr w:type="spellEnd"/>
      <w:r w:rsidRPr="00E56598">
        <w:rPr>
          <w:color w:val="000000" w:themeColor="text1"/>
        </w:rPr>
        <w:t xml:space="preserve"> (KJS) method</w:t>
      </w:r>
      <w:r w:rsidRPr="00E56598">
        <w:rPr>
          <w:color w:val="000000" w:themeColor="text1"/>
          <w:vertAlign w:val="superscript"/>
        </w:rPr>
        <w:t xml:space="preserve"> </w:t>
      </w:r>
      <w:r w:rsidRPr="00E56598">
        <w:rPr>
          <w:color w:val="000000" w:themeColor="text1"/>
        </w:rPr>
        <w:t>using (</w:t>
      </w:r>
      <w:proofErr w:type="spellStart"/>
      <w:r w:rsidRPr="00E56598">
        <w:rPr>
          <w:color w:val="000000" w:themeColor="text1"/>
        </w:rPr>
        <w:t>i</w:t>
      </w:r>
      <w:proofErr w:type="spellEnd"/>
      <w:r w:rsidRPr="00E56598">
        <w:rPr>
          <w:color w:val="000000" w:themeColor="text1"/>
        </w:rPr>
        <w:t xml:space="preserve">) the adsorption branch of nitrogen isotherm, (ii) the modified Kelvin equation calibrated for cylindrical pores up to 19 nm in diameter, and (iii) the statistical film thickness curve derived from the nitrogen adsorption isotherm measured for </w:t>
      </w:r>
      <w:proofErr w:type="spellStart"/>
      <w:r w:rsidRPr="00E56598">
        <w:rPr>
          <w:color w:val="000000" w:themeColor="text1"/>
        </w:rPr>
        <w:t>macroporous</w:t>
      </w:r>
      <w:proofErr w:type="spellEnd"/>
      <w:r w:rsidRPr="00E56598">
        <w:rPr>
          <w:color w:val="000000" w:themeColor="text1"/>
        </w:rPr>
        <w:t xml:space="preserve"> silica </w:t>
      </w:r>
      <w:proofErr w:type="spellStart"/>
      <w:r w:rsidRPr="00E56598">
        <w:rPr>
          <w:color w:val="000000" w:themeColor="text1"/>
        </w:rPr>
        <w:t>LiChrospher</w:t>
      </w:r>
      <w:proofErr w:type="spellEnd"/>
      <w:r w:rsidRPr="00E56598">
        <w:rPr>
          <w:color w:val="000000" w:themeColor="text1"/>
        </w:rPr>
        <w:t xml:space="preserve"> Si-1000.</w:t>
      </w:r>
      <w:r w:rsidRPr="0017782D">
        <w:rPr>
          <w:color w:val="000000" w:themeColor="text1"/>
        </w:rPr>
        <w:t xml:space="preserve"> </w:t>
      </w:r>
      <w:r w:rsidR="005D7D69" w:rsidRPr="005D7D69">
        <w:rPr>
          <w:color w:val="000000"/>
          <w:vertAlign w:val="superscript"/>
        </w:rPr>
        <w:t>22–24</w:t>
      </w:r>
      <w:r w:rsidRPr="00D80563">
        <w:rPr>
          <w:color w:val="000000" w:themeColor="text1"/>
        </w:rPr>
        <w:t xml:space="preserve"> </w:t>
      </w:r>
      <w:r w:rsidRPr="00E56598">
        <w:rPr>
          <w:color w:val="000000" w:themeColor="text1"/>
        </w:rPr>
        <w:t xml:space="preserve">We define </w:t>
      </w:r>
      <w:r w:rsidRPr="00656D0C">
        <w:rPr>
          <w:i/>
          <w:iCs/>
          <w:color w:val="000000" w:themeColor="text1"/>
        </w:rPr>
        <w:t>α</w:t>
      </w:r>
      <w:r w:rsidRPr="00E56598">
        <w:rPr>
          <w:color w:val="000000" w:themeColor="text1"/>
          <w:vertAlign w:val="subscript"/>
        </w:rPr>
        <w:t>s</w:t>
      </w:r>
      <w:r w:rsidRPr="00E56598">
        <w:rPr>
          <w:color w:val="000000" w:themeColor="text1"/>
        </w:rPr>
        <w:t xml:space="preserve"> as the ratio of the amount of nitrogen adsorbed on a reference material surface at a given relative pressure to the amount of nitrogen adsorbed at a reference material surface at the relative pressure p/p</w:t>
      </w:r>
      <w:r w:rsidRPr="00E56598">
        <w:rPr>
          <w:color w:val="000000" w:themeColor="text1"/>
          <w:vertAlign w:val="subscript"/>
        </w:rPr>
        <w:t>0</w:t>
      </w:r>
      <w:r w:rsidRPr="00E56598">
        <w:rPr>
          <w:color w:val="000000" w:themeColor="text1"/>
        </w:rPr>
        <w:t xml:space="preserve"> = </w:t>
      </w:r>
      <w:proofErr w:type="gramStart"/>
      <w:r w:rsidRPr="00E56598">
        <w:rPr>
          <w:color w:val="000000" w:themeColor="text1"/>
        </w:rPr>
        <w:t xml:space="preserve">0.4. </w:t>
      </w:r>
      <w:r w:rsidR="008C1B0E" w:rsidRPr="00E56598">
        <w:rPr>
          <w:color w:val="000000" w:themeColor="text1"/>
        </w:rPr>
        <w:t>.</w:t>
      </w:r>
      <w:proofErr w:type="gramEnd"/>
      <w:r w:rsidR="008C1B0E" w:rsidRPr="00E56598">
        <w:rPr>
          <w:color w:val="000000" w:themeColor="text1"/>
        </w:rPr>
        <w:t xml:space="preserve"> Micropore volume was calculated using the α</w:t>
      </w:r>
      <w:r w:rsidR="008C1B0E" w:rsidRPr="00E56598">
        <w:rPr>
          <w:color w:val="000000" w:themeColor="text1"/>
          <w:vertAlign w:val="subscript"/>
        </w:rPr>
        <w:t>s</w:t>
      </w:r>
      <w:r w:rsidR="008C1B0E" w:rsidRPr="00E56598">
        <w:rPr>
          <w:color w:val="000000" w:themeColor="text1"/>
        </w:rPr>
        <w:t xml:space="preserve"> method</w:t>
      </w:r>
      <w:r w:rsidR="008C1B0E" w:rsidRPr="00E56598">
        <w:rPr>
          <w:color w:val="000000" w:themeColor="text1"/>
          <w:vertAlign w:val="superscript"/>
        </w:rPr>
        <w:t xml:space="preserve"> </w:t>
      </w:r>
      <w:r w:rsidR="008C1B0E" w:rsidRPr="00E56598">
        <w:rPr>
          <w:color w:val="000000" w:themeColor="text1"/>
        </w:rPr>
        <w:t xml:space="preserve">in the reduced adsorption range (a) </w:t>
      </w:r>
      <w:r w:rsidR="008C1B0E" w:rsidRPr="002818E8">
        <w:rPr>
          <w:i/>
          <w:iCs/>
          <w:color w:val="000000" w:themeColor="text1"/>
        </w:rPr>
        <w:t>α</w:t>
      </w:r>
      <w:r w:rsidR="008C1B0E" w:rsidRPr="00E56598">
        <w:rPr>
          <w:color w:val="000000" w:themeColor="text1"/>
          <w:vertAlign w:val="subscript"/>
        </w:rPr>
        <w:t>s</w:t>
      </w:r>
      <w:r w:rsidR="008C1B0E" w:rsidRPr="00E56598">
        <w:rPr>
          <w:color w:val="000000" w:themeColor="text1"/>
        </w:rPr>
        <w:t xml:space="preserve"> = 0.4–0.8 for TEOS1, TEOS2, TEOS5, </w:t>
      </w:r>
      <w:r w:rsidR="008C1B0E">
        <w:rPr>
          <w:color w:val="000000" w:themeColor="text1"/>
        </w:rPr>
        <w:t xml:space="preserve">and </w:t>
      </w:r>
      <w:r w:rsidR="008C1B0E" w:rsidRPr="00E56598">
        <w:rPr>
          <w:color w:val="000000" w:themeColor="text1"/>
        </w:rPr>
        <w:t>TEOS2</w:t>
      </w:r>
      <w:r w:rsidR="008C1B0E">
        <w:rPr>
          <w:color w:val="000000" w:themeColor="text1"/>
        </w:rPr>
        <w:t>:MTES</w:t>
      </w:r>
      <w:r w:rsidR="008C1B0E" w:rsidRPr="00E56598">
        <w:rPr>
          <w:color w:val="000000" w:themeColor="text1"/>
        </w:rPr>
        <w:t xml:space="preserve">,samples, (b) </w:t>
      </w:r>
      <w:r w:rsidR="008C1B0E" w:rsidRPr="00656D0C">
        <w:rPr>
          <w:i/>
          <w:iCs/>
          <w:color w:val="000000" w:themeColor="text1"/>
        </w:rPr>
        <w:t>α</w:t>
      </w:r>
      <w:r w:rsidR="008C1B0E" w:rsidRPr="00E56598">
        <w:rPr>
          <w:color w:val="000000" w:themeColor="text1"/>
          <w:vertAlign w:val="subscript"/>
        </w:rPr>
        <w:t>s</w:t>
      </w:r>
      <w:r w:rsidR="008C1B0E" w:rsidRPr="00E56598">
        <w:rPr>
          <w:color w:val="000000" w:themeColor="text1"/>
        </w:rPr>
        <w:t xml:space="preserve"> = 0.6–1.0 for TEOS3 and TEOS4 samples, or (c) </w:t>
      </w:r>
      <w:r w:rsidR="008C1B0E" w:rsidRPr="00656D0C">
        <w:rPr>
          <w:i/>
          <w:iCs/>
          <w:color w:val="000000" w:themeColor="text1"/>
        </w:rPr>
        <w:t>α</w:t>
      </w:r>
      <w:r w:rsidR="008C1B0E" w:rsidRPr="00E56598">
        <w:rPr>
          <w:color w:val="000000" w:themeColor="text1"/>
          <w:vertAlign w:val="subscript"/>
        </w:rPr>
        <w:t>s</w:t>
      </w:r>
      <w:r w:rsidR="008C1B0E" w:rsidRPr="00E56598">
        <w:rPr>
          <w:color w:val="000000" w:themeColor="text1"/>
        </w:rPr>
        <w:t xml:space="preserve"> = 0.2–0.5 for</w:t>
      </w:r>
      <w:r w:rsidR="008C1B0E">
        <w:rPr>
          <w:color w:val="000000" w:themeColor="text1"/>
        </w:rPr>
        <w:t xml:space="preserve"> the </w:t>
      </w:r>
      <w:r w:rsidR="008C1B0E" w:rsidRPr="00E56598">
        <w:rPr>
          <w:color w:val="000000" w:themeColor="text1"/>
        </w:rPr>
        <w:t>TEOS1</w:t>
      </w:r>
      <w:r w:rsidR="008C1B0E">
        <w:rPr>
          <w:color w:val="000000" w:themeColor="text1"/>
        </w:rPr>
        <w:t>:MTES</w:t>
      </w:r>
      <w:r w:rsidR="008C1B0E" w:rsidRPr="00E56598">
        <w:rPr>
          <w:color w:val="000000" w:themeColor="text1"/>
        </w:rPr>
        <w:t xml:space="preserve"> sample) and using </w:t>
      </w:r>
      <w:proofErr w:type="spellStart"/>
      <w:r w:rsidR="008C1B0E" w:rsidRPr="00E56598">
        <w:rPr>
          <w:color w:val="000000" w:themeColor="text1"/>
        </w:rPr>
        <w:t>macroporous</w:t>
      </w:r>
      <w:proofErr w:type="spellEnd"/>
      <w:r w:rsidR="008C1B0E" w:rsidRPr="00E56598">
        <w:rPr>
          <w:color w:val="000000" w:themeColor="text1"/>
        </w:rPr>
        <w:t xml:space="preserve"> silica </w:t>
      </w:r>
      <w:proofErr w:type="spellStart"/>
      <w:r w:rsidR="008C1B0E" w:rsidRPr="00E56598">
        <w:rPr>
          <w:color w:val="000000" w:themeColor="text1"/>
        </w:rPr>
        <w:t>LiChrospher</w:t>
      </w:r>
      <w:proofErr w:type="spellEnd"/>
      <w:r w:rsidR="008C1B0E" w:rsidRPr="00E56598">
        <w:rPr>
          <w:color w:val="000000" w:themeColor="text1"/>
        </w:rPr>
        <w:t xml:space="preserve"> Si-1000 as the reference</w:t>
      </w:r>
      <w:r w:rsidRPr="00E56598">
        <w:rPr>
          <w:color w:val="000000" w:themeColor="text1"/>
        </w:rPr>
        <w:t>.</w:t>
      </w:r>
      <w:r w:rsidR="005D7D69" w:rsidRPr="005D7D69">
        <w:rPr>
          <w:color w:val="000000"/>
          <w:vertAlign w:val="superscript"/>
        </w:rPr>
        <w:t>21</w:t>
      </w:r>
      <w:r>
        <w:rPr>
          <w:color w:val="000000" w:themeColor="text1"/>
        </w:rPr>
        <w:t xml:space="preserve"> </w:t>
      </w:r>
      <w:r w:rsidRPr="00E56598">
        <w:rPr>
          <w:color w:val="000000" w:themeColor="text1"/>
        </w:rPr>
        <w:t xml:space="preserve">Mesopore volume was calculated as a difference between the total pore volume and the micropore volume. Transmission electron microscopy (TEM) images were obtained on a FEI </w:t>
      </w:r>
      <w:proofErr w:type="spellStart"/>
      <w:r w:rsidRPr="00E56598">
        <w:rPr>
          <w:color w:val="000000" w:themeColor="text1"/>
        </w:rPr>
        <w:t>Technai</w:t>
      </w:r>
      <w:proofErr w:type="spellEnd"/>
      <w:r w:rsidRPr="00E56598">
        <w:rPr>
          <w:color w:val="000000" w:themeColor="text1"/>
        </w:rPr>
        <w:t xml:space="preserve"> G2 T20 </w:t>
      </w:r>
      <w:r w:rsidRPr="00E56598">
        <w:t>[Thermo Fisher Scientific]</w:t>
      </w:r>
      <w:r w:rsidRPr="00E56598">
        <w:rPr>
          <w:color w:val="000000" w:themeColor="text1"/>
        </w:rPr>
        <w:t xml:space="preserve">. </w:t>
      </w:r>
      <w:proofErr w:type="spellStart"/>
      <w:r w:rsidRPr="00E56598">
        <w:rPr>
          <w:color w:val="000000" w:themeColor="text1"/>
        </w:rPr>
        <w:lastRenderedPageBreak/>
        <w:t>Ambigel</w:t>
      </w:r>
      <w:proofErr w:type="spellEnd"/>
      <w:r w:rsidRPr="00E56598">
        <w:rPr>
          <w:color w:val="000000" w:themeColor="text1"/>
        </w:rPr>
        <w:t xml:space="preserve"> fractal dimensions </w:t>
      </w:r>
      <w:r w:rsidRPr="00E56598">
        <w:rPr>
          <w:i/>
          <w:color w:val="000000" w:themeColor="text1"/>
        </w:rPr>
        <w:t>D</w:t>
      </w:r>
      <w:r w:rsidRPr="00E56598">
        <w:rPr>
          <w:color w:val="000000" w:themeColor="text1"/>
        </w:rPr>
        <w:t xml:space="preserve"> were calculated from the adsorption isotherms using the Frenkel-Halsey-Hill method as </w:t>
      </w:r>
      <w:r w:rsidR="005D7D69" w:rsidRPr="005D7D69">
        <w:rPr>
          <w:color w:val="000000"/>
          <w:vertAlign w:val="superscript"/>
        </w:rPr>
        <w:t>25</w:t>
      </w:r>
    </w:p>
    <w:p w14:paraId="6531CAAD" w14:textId="03E58B9C" w:rsidR="0017782D" w:rsidRPr="002818E8" w:rsidRDefault="0017782D" w:rsidP="0017782D">
      <w:pPr>
        <w:tabs>
          <w:tab w:val="left" w:pos="720"/>
          <w:tab w:val="center" w:pos="5040"/>
          <w:tab w:val="right" w:pos="9270"/>
        </w:tabs>
        <w:spacing w:line="480" w:lineRule="auto"/>
        <w:jc w:val="both"/>
        <w:rPr>
          <w:i/>
          <w:iCs/>
          <w:color w:val="000000" w:themeColor="text1"/>
        </w:rPr>
      </w:pPr>
      <w:r w:rsidRPr="002818E8">
        <w:rPr>
          <w:i/>
          <w:iCs/>
          <w:color w:val="000000" w:themeColor="text1"/>
        </w:rPr>
        <w:tab/>
      </w:r>
      <w:r w:rsidRPr="002818E8">
        <w:rPr>
          <w:i/>
          <w:iCs/>
          <w:color w:val="000000" w:themeColor="text1"/>
        </w:rPr>
        <w:tab/>
      </w:r>
      <m:oMath>
        <m:func>
          <m:funcPr>
            <m:ctrlPr>
              <w:rPr>
                <w:rFonts w:ascii="Cambria Math" w:hAnsi="Cambria Math"/>
                <w:i/>
                <w:iCs/>
                <w:color w:val="000000" w:themeColor="text1"/>
              </w:rPr>
            </m:ctrlPr>
          </m:funcPr>
          <m:fName>
            <m:r>
              <w:rPr>
                <w:rFonts w:ascii="Cambria Math" w:hAnsi="Cambria Math"/>
                <w:color w:val="000000" w:themeColor="text1"/>
              </w:rPr>
              <m:t>ln</m:t>
            </m:r>
          </m:fName>
          <m:e>
            <m:r>
              <w:rPr>
                <w:rFonts w:ascii="Cambria Math" w:hAnsi="Cambria Math" w:cs="STIXGeneral-Regular"/>
                <w:color w:val="000000" w:themeColor="text1"/>
              </w:rPr>
              <m:t>n</m:t>
            </m:r>
            <m:r>
              <w:rPr>
                <w:rFonts w:ascii="Cambria Math" w:hAnsi="Cambria Math"/>
                <w:color w:val="000000" w:themeColor="text1"/>
              </w:rPr>
              <m:t xml:space="preserve"> </m:t>
            </m:r>
          </m:e>
        </m:func>
        <m:r>
          <w:rPr>
            <w:rFonts w:ascii="Cambria Math" w:hAnsi="Cambria Math"/>
            <w:color w:val="000000" w:themeColor="text1"/>
          </w:rPr>
          <m:t>=</m:t>
        </m:r>
        <m:r>
          <w:rPr>
            <w:rFonts w:ascii="Cambria Math" w:hAnsi="Cambria Math" w:cs="STIXGeneral-Regular"/>
            <w:color w:val="000000" w:themeColor="text1"/>
          </w:rPr>
          <m:t>const</m:t>
        </m:r>
        <m:r>
          <w:rPr>
            <w:rFonts w:ascii="Cambria Math" w:hAnsi="Cambria Math"/>
            <w:color w:val="000000" w:themeColor="text1"/>
          </w:rPr>
          <m:t>-</m:t>
        </m:r>
        <m:d>
          <m:dPr>
            <m:ctrlPr>
              <w:rPr>
                <w:rFonts w:ascii="Cambria Math" w:hAnsi="Cambria Math"/>
                <w:i/>
                <w:iCs/>
                <w:color w:val="000000" w:themeColor="text1"/>
              </w:rPr>
            </m:ctrlPr>
          </m:dPr>
          <m:e>
            <m:r>
              <w:rPr>
                <w:rFonts w:ascii="Cambria Math" w:hAnsi="Cambria Math"/>
                <w:color w:val="000000" w:themeColor="text1"/>
              </w:rPr>
              <m:t>3-</m:t>
            </m:r>
            <m:r>
              <w:rPr>
                <w:rFonts w:ascii="Cambria Math" w:hAnsi="Cambria Math" w:cs="STIXGeneral-Regular"/>
                <w:color w:val="000000" w:themeColor="text1"/>
              </w:rPr>
              <m:t>D</m:t>
            </m:r>
          </m:e>
        </m:d>
        <m:r>
          <w:rPr>
            <w:rFonts w:ascii="Cambria Math" w:hAnsi="Cambria Math"/>
            <w:color w:val="000000" w:themeColor="text1"/>
          </w:rPr>
          <m:t>ln</m:t>
        </m:r>
        <m:r>
          <w:rPr>
            <w:rFonts w:ascii="Cambria Math" w:hAnsi="Cambria Math" w:cs="Monaco"/>
            <w:color w:val="000000" w:themeColor="text1"/>
          </w:rPr>
          <m:t>⁡</m:t>
        </m:r>
        <m:d>
          <m:dPr>
            <m:ctrlPr>
              <w:rPr>
                <w:rFonts w:ascii="Cambria Math" w:hAnsi="Cambria Math"/>
                <w:i/>
                <w:iCs/>
                <w:color w:val="000000" w:themeColor="text1"/>
              </w:rPr>
            </m:ctrlPr>
          </m:dPr>
          <m:e>
            <m:r>
              <w:rPr>
                <w:rFonts w:ascii="Cambria Math" w:hAnsi="Cambria Math" w:cs="STIXGeneral-Regular"/>
                <w:color w:val="000000" w:themeColor="text1"/>
              </w:rPr>
              <m:t>RT</m:t>
            </m:r>
            <m:func>
              <m:funcPr>
                <m:ctrlPr>
                  <w:rPr>
                    <w:rFonts w:ascii="Cambria Math" w:hAnsi="Cambria Math"/>
                    <w:i/>
                    <w:iCs/>
                    <w:color w:val="000000" w:themeColor="text1"/>
                  </w:rPr>
                </m:ctrlPr>
              </m:funcPr>
              <m:fName>
                <m:r>
                  <w:rPr>
                    <w:rFonts w:ascii="Cambria Math" w:hAnsi="Cambria Math"/>
                    <w:color w:val="000000" w:themeColor="text1"/>
                  </w:rPr>
                  <m:t>ln</m:t>
                </m:r>
              </m:fName>
              <m:e>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s="STIXGeneral-Regular"/>
                            <w:color w:val="000000" w:themeColor="text1"/>
                          </w:rPr>
                          <m:t>P</m:t>
                        </m:r>
                      </m:e>
                      <m:sub>
                        <m:r>
                          <w:rPr>
                            <w:rFonts w:ascii="Cambria Math" w:hAnsi="Cambria Math" w:cs="STIXGeneral-Regular"/>
                            <w:color w:val="000000" w:themeColor="text1"/>
                          </w:rPr>
                          <m:t>o</m:t>
                        </m:r>
                      </m:sub>
                    </m:sSub>
                  </m:num>
                  <m:den>
                    <m:r>
                      <w:rPr>
                        <w:rFonts w:ascii="Cambria Math" w:hAnsi="Cambria Math" w:cs="STIXGeneral-Regular"/>
                        <w:color w:val="000000" w:themeColor="text1"/>
                      </w:rPr>
                      <m:t>P</m:t>
                    </m:r>
                  </m:den>
                </m:f>
              </m:e>
            </m:func>
          </m:e>
        </m:d>
      </m:oMath>
      <w:r w:rsidRPr="002818E8">
        <w:rPr>
          <w:i/>
          <w:iCs/>
          <w:color w:val="000000" w:themeColor="text1"/>
        </w:rPr>
        <w:t xml:space="preserve"> </w:t>
      </w:r>
      <w:r w:rsidRPr="002818E8">
        <w:rPr>
          <w:i/>
          <w:iCs/>
          <w:color w:val="000000" w:themeColor="text1"/>
        </w:rPr>
        <w:tab/>
      </w:r>
      <w:r w:rsidRPr="001E1E43">
        <w:rPr>
          <w:color w:val="000000" w:themeColor="text1"/>
        </w:rPr>
        <w:t>(</w:t>
      </w:r>
      <w:r w:rsidRPr="001E1E43">
        <w:t xml:space="preserve">Eqn. </w:t>
      </w:r>
      <w:r w:rsidRPr="001E1E43">
        <w:rPr>
          <w:color w:val="000000" w:themeColor="text1"/>
        </w:rPr>
        <w:t>S</w:t>
      </w:r>
      <w:r w:rsidR="004561F0">
        <w:rPr>
          <w:color w:val="000000" w:themeColor="text1"/>
        </w:rPr>
        <w:t>2</w:t>
      </w:r>
      <w:r w:rsidRPr="001E1E43">
        <w:rPr>
          <w:color w:val="000000" w:themeColor="text1"/>
        </w:rPr>
        <w:t>)</w:t>
      </w:r>
    </w:p>
    <w:p w14:paraId="42394828" w14:textId="77777777" w:rsidR="0017782D" w:rsidRPr="00E56598" w:rsidRDefault="0017782D" w:rsidP="0017782D">
      <w:pPr>
        <w:tabs>
          <w:tab w:val="left" w:pos="720"/>
          <w:tab w:val="center" w:pos="5040"/>
          <w:tab w:val="right" w:pos="9270"/>
        </w:tabs>
        <w:spacing w:line="480" w:lineRule="auto"/>
        <w:jc w:val="both"/>
        <w:rPr>
          <w:color w:val="000000" w:themeColor="text1"/>
        </w:rPr>
      </w:pPr>
      <w:r w:rsidRPr="00E56598">
        <w:rPr>
          <w:color w:val="000000" w:themeColor="text1"/>
        </w:rPr>
        <w:t xml:space="preserve">where </w:t>
      </w:r>
      <w:r w:rsidRPr="00E56598">
        <w:rPr>
          <w:i/>
          <w:color w:val="000000" w:themeColor="text1"/>
        </w:rPr>
        <w:t>n</w:t>
      </w:r>
      <w:r w:rsidRPr="00E56598">
        <w:rPr>
          <w:color w:val="000000" w:themeColor="text1"/>
        </w:rPr>
        <w:t xml:space="preserve"> is the quantity of N</w:t>
      </w:r>
      <w:r w:rsidRPr="00E56598">
        <w:rPr>
          <w:color w:val="000000" w:themeColor="text1"/>
          <w:vertAlign w:val="subscript"/>
        </w:rPr>
        <w:t>2</w:t>
      </w:r>
      <w:r w:rsidRPr="00E56598">
        <w:rPr>
          <w:color w:val="000000" w:themeColor="text1"/>
        </w:rPr>
        <w:t xml:space="preserve"> gas adsorbed in cm</w:t>
      </w:r>
      <w:r w:rsidRPr="00E56598">
        <w:rPr>
          <w:color w:val="000000" w:themeColor="text1"/>
          <w:vertAlign w:val="superscript"/>
        </w:rPr>
        <w:t>3</w:t>
      </w:r>
      <w:r w:rsidRPr="00E56598">
        <w:rPr>
          <w:color w:val="000000" w:themeColor="text1"/>
        </w:rPr>
        <w:t xml:space="preserve"> STP g</w:t>
      </w:r>
      <w:r w:rsidRPr="00E56598">
        <w:rPr>
          <w:color w:val="000000" w:themeColor="text1"/>
          <w:vertAlign w:val="superscript"/>
        </w:rPr>
        <w:t>-1</w:t>
      </w:r>
      <w:r w:rsidRPr="00E56598">
        <w:rPr>
          <w:color w:val="000000" w:themeColor="text1"/>
        </w:rPr>
        <w:t xml:space="preserve">, and </w:t>
      </w:r>
      <w:r w:rsidRPr="00E56598">
        <w:rPr>
          <w:i/>
          <w:color w:val="000000" w:themeColor="text1"/>
        </w:rPr>
        <w:t>P</w:t>
      </w:r>
      <w:r w:rsidRPr="00E56598">
        <w:rPr>
          <w:color w:val="000000" w:themeColor="text1"/>
        </w:rPr>
        <w:t xml:space="preserve"> is the pressure and </w:t>
      </w:r>
      <w:r w:rsidRPr="00E56598">
        <w:rPr>
          <w:i/>
          <w:color w:val="000000" w:themeColor="text1"/>
        </w:rPr>
        <w:t>P</w:t>
      </w:r>
      <w:r w:rsidRPr="00E56598">
        <w:rPr>
          <w:i/>
          <w:color w:val="000000" w:themeColor="text1"/>
          <w:vertAlign w:val="subscript"/>
        </w:rPr>
        <w:t>o</w:t>
      </w:r>
      <w:r w:rsidRPr="00E56598">
        <w:rPr>
          <w:color w:val="000000" w:themeColor="text1"/>
        </w:rPr>
        <w:t xml:space="preserve"> </w:t>
      </w:r>
      <w:proofErr w:type="gramStart"/>
      <w:r w:rsidRPr="00E56598">
        <w:rPr>
          <w:color w:val="000000" w:themeColor="text1"/>
        </w:rPr>
        <w:t>is</w:t>
      </w:r>
      <w:proofErr w:type="gramEnd"/>
      <w:r w:rsidRPr="00E56598">
        <w:rPr>
          <w:color w:val="000000" w:themeColor="text1"/>
        </w:rPr>
        <w:t xml:space="preserve"> the saturation vapor pressure.  </w:t>
      </w:r>
    </w:p>
    <w:p w14:paraId="2A92034B" w14:textId="77777777" w:rsidR="0017782D" w:rsidRPr="00E56598" w:rsidRDefault="0017782D" w:rsidP="0017782D">
      <w:pPr>
        <w:spacing w:line="480" w:lineRule="auto"/>
        <w:jc w:val="both"/>
      </w:pPr>
      <w:r w:rsidRPr="00E56598">
        <w:rPr>
          <w:i/>
        </w:rPr>
        <w:t xml:space="preserve">Optical Measurements: </w:t>
      </w:r>
      <w:r w:rsidRPr="00E56598">
        <w:t xml:space="preserve">The normal-hemispherical transmittance </w:t>
      </w:r>
      <m:oMath>
        <m:sSub>
          <m:sSubPr>
            <m:ctrlPr>
              <w:rPr>
                <w:rFonts w:ascii="Cambria Math" w:hAnsi="Cambria Math"/>
                <w:i/>
              </w:rPr>
            </m:ctrlPr>
          </m:sSubPr>
          <m:e>
            <m:r>
              <w:rPr>
                <w:rFonts w:ascii="STIXGeneral-Regular" w:hAnsi="STIXGeneral-Regular" w:cs="STIXGeneral-Regular"/>
              </w:rPr>
              <m:t>T</m:t>
            </m:r>
          </m:e>
          <m:sub>
            <m:r>
              <w:rPr>
                <w:rFonts w:ascii="STIXGeneral-Regular" w:hAnsi="STIXGeneral-Regular" w:cs="STIXGeneral-Regular"/>
              </w:rPr>
              <m:t>n</m:t>
            </m:r>
            <m:r>
              <w:rPr>
                <w:rFonts w:ascii="Lucida Sans Unicode" w:hAnsi="Lucida Sans Unicode" w:cs="Lucida Sans Unicode"/>
              </w:rPr>
              <m:t>h</m:t>
            </m:r>
            <m:r>
              <w:rPr>
                <w:rFonts w:ascii="Cambria Math" w:hAnsi="Cambria Math"/>
              </w:rPr>
              <m:t>,</m:t>
            </m:r>
            <m:r>
              <w:rPr>
                <w:rFonts w:ascii="STIXGeneral-Regular" w:hAnsi="STIXGeneral-Regular" w:cs="STIXGeneral-Regular"/>
              </w:rPr>
              <m:t>λ</m:t>
            </m:r>
          </m:sub>
        </m:sSub>
      </m:oMath>
      <w:r w:rsidRPr="00E56598">
        <w:t xml:space="preserve"> and the diffuse transmittance </w:t>
      </w:r>
      <m:oMath>
        <m:sSub>
          <m:sSubPr>
            <m:ctrlPr>
              <w:rPr>
                <w:rFonts w:ascii="Cambria Math" w:hAnsi="Cambria Math"/>
                <w:i/>
              </w:rPr>
            </m:ctrlPr>
          </m:sSubPr>
          <m:e>
            <m:r>
              <w:rPr>
                <w:rFonts w:ascii="STIXGeneral-Regular" w:hAnsi="STIXGeneral-Regular" w:cs="STIXGeneral-Regular"/>
              </w:rPr>
              <m:t>T</m:t>
            </m:r>
          </m:e>
          <m:sub>
            <m:r>
              <w:rPr>
                <w:rFonts w:ascii="STIXGeneral-Regular" w:hAnsi="STIXGeneral-Regular" w:cs="STIXGeneral-Regular"/>
              </w:rPr>
              <m:t>d</m:t>
            </m:r>
            <m:r>
              <w:rPr>
                <w:rFonts w:ascii="Cambria Math" w:hAnsi="Cambria Math"/>
              </w:rPr>
              <m:t>,</m:t>
            </m:r>
            <m:r>
              <w:rPr>
                <w:rFonts w:ascii="STIXGeneral-Regular" w:hAnsi="STIXGeneral-Regular" w:cs="STIXGeneral-Regular"/>
              </w:rPr>
              <m:t>λ</m:t>
            </m:r>
          </m:sub>
        </m:sSub>
      </m:oMath>
      <w:r w:rsidRPr="00E56598">
        <w:t xml:space="preserve">  were measured with a double-beam UV-Vis spectrometer (3101-PC Shimadzu, Kyoto, Japan) and an integrating sphere with an internal diameter of 60 mm (ISR 3100 Shimadzu, Kyoto, Japan). The normal-hemispherical transmitted signal </w:t>
      </w:r>
      <m:oMath>
        <m:sSub>
          <m:sSubPr>
            <m:ctrlPr>
              <w:rPr>
                <w:rFonts w:ascii="Cambria Math" w:hAnsi="Cambria Math"/>
                <w:i/>
              </w:rPr>
            </m:ctrlPr>
          </m:sSubPr>
          <m:e>
            <m:r>
              <w:rPr>
                <w:rFonts w:ascii="STIXGeneral-Regular" w:hAnsi="STIXGeneral-Regular" w:cs="STIXGeneral-Regular"/>
              </w:rPr>
              <m:t>S</m:t>
            </m:r>
          </m:e>
          <m:sub>
            <m:r>
              <w:rPr>
                <w:rFonts w:ascii="STIXGeneral-Regular" w:hAnsi="STIXGeneral-Regular" w:cs="STIXGeneral-Regular"/>
              </w:rPr>
              <m:t>n</m:t>
            </m:r>
            <m:r>
              <w:rPr>
                <w:rFonts w:ascii="Lucida Sans Unicode" w:hAnsi="Lucida Sans Unicode" w:cs="Lucida Sans Unicode"/>
              </w:rPr>
              <m:t>h</m:t>
            </m:r>
            <m:r>
              <w:rPr>
                <w:rFonts w:ascii="Cambria Math" w:hAnsi="Cambria Math"/>
              </w:rPr>
              <m:t>,</m:t>
            </m:r>
            <m:r>
              <w:rPr>
                <w:rFonts w:ascii="STIXGeneral-Regular" w:hAnsi="STIXGeneral-Regular" w:cs="STIXGeneral-Regular"/>
              </w:rPr>
              <m:t>λ</m:t>
            </m:r>
          </m:sub>
        </m:sSub>
      </m:oMath>
      <w:r w:rsidRPr="00E56598">
        <w:t xml:space="preserve"> was measured and corrected for the reference signal </w:t>
      </w:r>
      <m:oMath>
        <m:sSub>
          <m:sSubPr>
            <m:ctrlPr>
              <w:rPr>
                <w:rFonts w:ascii="Cambria Math" w:hAnsi="Cambria Math"/>
                <w:i/>
              </w:rPr>
            </m:ctrlPr>
          </m:sSubPr>
          <m:e>
            <m:r>
              <w:rPr>
                <w:rFonts w:ascii="STIXGeneral-Regular" w:hAnsi="STIXGeneral-Regular" w:cs="STIXGeneral-Regular"/>
              </w:rPr>
              <m:t>B</m:t>
            </m:r>
          </m:e>
          <m:sub>
            <m:r>
              <w:rPr>
                <w:rFonts w:ascii="STIXGeneral-Regular" w:hAnsi="STIXGeneral-Regular" w:cs="STIXGeneral-Regular"/>
              </w:rPr>
              <m:t>λ</m:t>
            </m:r>
          </m:sub>
        </m:sSub>
      </m:oMath>
      <w:r w:rsidRPr="00E56598">
        <w:t xml:space="preserve">  and the dark signal </w:t>
      </w:r>
      <m:oMath>
        <m:sSub>
          <m:sSubPr>
            <m:ctrlPr>
              <w:rPr>
                <w:rFonts w:ascii="Cambria Math" w:hAnsi="Cambria Math"/>
                <w:i/>
              </w:rPr>
            </m:ctrlPr>
          </m:sSubPr>
          <m:e>
            <m:r>
              <w:rPr>
                <w:rFonts w:ascii="STIXGeneral-Regular" w:hAnsi="STIXGeneral-Regular" w:cs="STIXGeneral-Regular"/>
              </w:rPr>
              <m:t>D</m:t>
            </m:r>
          </m:e>
          <m:sub>
            <m:r>
              <w:rPr>
                <w:rFonts w:ascii="STIXGeneral-Regular" w:hAnsi="STIXGeneral-Regular" w:cs="STIXGeneral-Regular"/>
              </w:rPr>
              <m:t>λ</m:t>
            </m:r>
          </m:sub>
        </m:sSub>
      </m:oMath>
      <w:r w:rsidRPr="00E56598">
        <w:t xml:space="preserve"> according to </w:t>
      </w:r>
    </w:p>
    <w:p w14:paraId="3E952924" w14:textId="0BF981C2" w:rsidR="0017782D" w:rsidRPr="00E56598" w:rsidRDefault="0017782D" w:rsidP="0017782D">
      <w:pPr>
        <w:tabs>
          <w:tab w:val="center" w:pos="0"/>
          <w:tab w:val="center" w:pos="4770"/>
          <w:tab w:val="right" w:pos="9360"/>
        </w:tabs>
        <w:spacing w:line="480" w:lineRule="auto"/>
        <w:jc w:val="both"/>
      </w:pPr>
      <w:r w:rsidRPr="00E56598">
        <w:tab/>
      </w:r>
      <m:oMath>
        <m:r>
          <w:rPr>
            <w:rFonts w:ascii="Cambria Math" w:hAnsi="Cambria Math"/>
          </w:rPr>
          <m:t xml:space="preserve"> </m:t>
        </m:r>
        <m:sSub>
          <m:sSubPr>
            <m:ctrlPr>
              <w:rPr>
                <w:rFonts w:ascii="Cambria Math" w:hAnsi="Cambria Math"/>
                <w:i/>
              </w:rPr>
            </m:ctrlPr>
          </m:sSubPr>
          <m:e>
            <m:r>
              <w:rPr>
                <w:rFonts w:ascii="STIXGeneral-Regular" w:hAnsi="STIXGeneral-Regular" w:cs="STIXGeneral-Regular"/>
              </w:rPr>
              <m:t>T</m:t>
            </m:r>
          </m:e>
          <m:sub>
            <m:r>
              <w:rPr>
                <w:rFonts w:ascii="STIXGeneral-Regular" w:hAnsi="STIXGeneral-Regular" w:cs="STIXGeneral-Regular"/>
              </w:rPr>
              <m:t>n</m:t>
            </m:r>
            <m:r>
              <w:rPr>
                <w:rFonts w:ascii="Lucida Sans Unicode" w:hAnsi="Lucida Sans Unicode" w:cs="Lucida Sans Unicode"/>
              </w:rPr>
              <m:t>h</m:t>
            </m:r>
            <m:r>
              <w:rPr>
                <w:rFonts w:ascii="Cambria Math" w:hAnsi="Cambria Math"/>
              </w:rPr>
              <m:t>,</m:t>
            </m:r>
            <m:r>
              <w:rPr>
                <w:rFonts w:ascii="STIXGeneral-Regular" w:hAnsi="STIXGeneral-Regular" w:cs="STIXGeneral-Regular"/>
              </w:rPr>
              <m:t>λ</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STIXGeneral-Regular" w:hAnsi="STIXGeneral-Regular" w:cs="STIXGeneral-Regular"/>
                  </w:rPr>
                  <m:t>S</m:t>
                </m:r>
              </m:e>
              <m:sub>
                <m:r>
                  <w:rPr>
                    <w:rFonts w:ascii="STIXGeneral-Regular" w:hAnsi="STIXGeneral-Regular" w:cs="STIXGeneral-Regular"/>
                  </w:rPr>
                  <m:t>n</m:t>
                </m:r>
                <m:r>
                  <w:rPr>
                    <w:rFonts w:ascii="Lucida Sans Unicode" w:hAnsi="Lucida Sans Unicode" w:cs="Lucida Sans Unicode"/>
                  </w:rPr>
                  <m:t>h</m:t>
                </m:r>
                <m:r>
                  <w:rPr>
                    <w:rFonts w:ascii="Cambria Math" w:hAnsi="Cambria Math"/>
                  </w:rPr>
                  <m:t>,</m:t>
                </m:r>
                <m:r>
                  <w:rPr>
                    <w:rFonts w:ascii="STIXGeneral-Regular" w:hAnsi="STIXGeneral-Regular" w:cs="STIXGeneral-Regular"/>
                  </w:rPr>
                  <m:t>λ</m:t>
                </m:r>
              </m:sub>
            </m:sSub>
            <m:r>
              <m:rPr>
                <m:sty m:val="p"/>
              </m:rPr>
              <w:rPr>
                <w:rFonts w:ascii="Cambria Math" w:hAnsi="Cambria Math"/>
              </w:rPr>
              <m:t>-</m:t>
            </m:r>
            <m:sSub>
              <m:sSubPr>
                <m:ctrlPr>
                  <w:rPr>
                    <w:rFonts w:ascii="Cambria Math" w:hAnsi="Cambria Math"/>
                    <w:i/>
                  </w:rPr>
                </m:ctrlPr>
              </m:sSubPr>
              <m:e>
                <m:r>
                  <w:rPr>
                    <w:rFonts w:ascii="STIXGeneral-Regular" w:hAnsi="STIXGeneral-Regular" w:cs="STIXGeneral-Regular"/>
                  </w:rPr>
                  <m:t>D</m:t>
                </m:r>
              </m:e>
              <m:sub>
                <m:r>
                  <w:rPr>
                    <w:rFonts w:ascii="STIXGeneral-Regular" w:hAnsi="STIXGeneral-Regular" w:cs="STIXGeneral-Regular"/>
                  </w:rPr>
                  <m:t>λ</m:t>
                </m:r>
              </m:sub>
            </m:sSub>
            <m:r>
              <m:rPr>
                <m:sty m:val="p"/>
              </m:rPr>
              <w:rPr>
                <w:rFonts w:ascii="Cambria Math" w:hAnsi="Cambria Math"/>
              </w:rPr>
              <m:t xml:space="preserve"> </m:t>
            </m:r>
          </m:num>
          <m:den>
            <m:sSub>
              <m:sSubPr>
                <m:ctrlPr>
                  <w:rPr>
                    <w:rFonts w:ascii="Cambria Math" w:hAnsi="Cambria Math"/>
                    <w:i/>
                  </w:rPr>
                </m:ctrlPr>
              </m:sSubPr>
              <m:e>
                <m:r>
                  <w:rPr>
                    <w:rFonts w:ascii="STIXGeneral-Regular" w:hAnsi="STIXGeneral-Regular" w:cs="STIXGeneral-Regular"/>
                  </w:rPr>
                  <m:t>B</m:t>
                </m:r>
              </m:e>
              <m:sub>
                <m:r>
                  <w:rPr>
                    <w:rFonts w:ascii="STIXGeneral-Regular" w:hAnsi="STIXGeneral-Regular" w:cs="STIXGeneral-Regular"/>
                  </w:rPr>
                  <m:t>λ</m:t>
                </m:r>
              </m:sub>
            </m:sSub>
            <m:r>
              <m:rPr>
                <m:sty m:val="p"/>
              </m:rPr>
              <w:rPr>
                <w:rFonts w:ascii="Cambria Math" w:hAnsi="Cambria Math"/>
              </w:rPr>
              <m:t>-</m:t>
            </m:r>
            <m:sSub>
              <m:sSubPr>
                <m:ctrlPr>
                  <w:rPr>
                    <w:rFonts w:ascii="Cambria Math" w:hAnsi="Cambria Math"/>
                    <w:i/>
                  </w:rPr>
                </m:ctrlPr>
              </m:sSubPr>
              <m:e>
                <m:r>
                  <w:rPr>
                    <w:rFonts w:ascii="STIXGeneral-Regular" w:hAnsi="STIXGeneral-Regular" w:cs="STIXGeneral-Regular"/>
                  </w:rPr>
                  <m:t>D</m:t>
                </m:r>
              </m:e>
              <m:sub>
                <m:r>
                  <w:rPr>
                    <w:rFonts w:ascii="STIXGeneral-Regular" w:hAnsi="STIXGeneral-Regular" w:cs="STIXGeneral-Regular"/>
                  </w:rPr>
                  <m:t>λ</m:t>
                </m:r>
              </m:sub>
            </m:sSub>
            <m:r>
              <m:rPr>
                <m:sty m:val="p"/>
              </m:rPr>
              <w:rPr>
                <w:rFonts w:ascii="Cambria Math" w:hAnsi="Cambria Math"/>
              </w:rPr>
              <m:t xml:space="preserve">  </m:t>
            </m:r>
          </m:den>
        </m:f>
      </m:oMath>
      <w:r w:rsidRPr="00E56598">
        <w:rPr>
          <w:rFonts w:eastAsiaTheme="minorEastAsia"/>
        </w:rPr>
        <w:t xml:space="preserve"> </w:t>
      </w:r>
      <w:r w:rsidRPr="00E56598">
        <w:tab/>
      </w:r>
      <w:r w:rsidRPr="00E56598">
        <w:rPr>
          <w:rFonts w:eastAsiaTheme="minorEastAsia"/>
        </w:rPr>
        <w:t>(</w:t>
      </w:r>
      <w:r>
        <w:t xml:space="preserve">Eqn. </w:t>
      </w:r>
      <w:r w:rsidRPr="00E56598">
        <w:rPr>
          <w:rFonts w:eastAsiaTheme="minorEastAsia"/>
        </w:rPr>
        <w:t>S</w:t>
      </w:r>
      <w:r w:rsidR="004561F0">
        <w:rPr>
          <w:rFonts w:eastAsiaTheme="minorEastAsia"/>
        </w:rPr>
        <w:t>3</w:t>
      </w:r>
      <w:r w:rsidRPr="00E56598">
        <w:rPr>
          <w:rFonts w:eastAsiaTheme="minorEastAsia"/>
        </w:rPr>
        <w:t>)</w:t>
      </w:r>
    </w:p>
    <w:p w14:paraId="7B581C32" w14:textId="77777777" w:rsidR="0017782D" w:rsidRPr="00E56598" w:rsidRDefault="0017782D" w:rsidP="0017782D">
      <w:pPr>
        <w:spacing w:line="480" w:lineRule="auto"/>
        <w:jc w:val="both"/>
      </w:pPr>
      <w:r w:rsidRPr="00E56598">
        <w:t xml:space="preserve">The dark signal </w:t>
      </w:r>
      <m:oMath>
        <m:sSub>
          <m:sSubPr>
            <m:ctrlPr>
              <w:rPr>
                <w:rFonts w:ascii="Cambria Math" w:hAnsi="Cambria Math"/>
                <w:i/>
              </w:rPr>
            </m:ctrlPr>
          </m:sSubPr>
          <m:e>
            <m:r>
              <w:rPr>
                <w:rFonts w:ascii="STIXGeneral-Regular" w:hAnsi="STIXGeneral-Regular" w:cs="STIXGeneral-Regular"/>
              </w:rPr>
              <m:t>D</m:t>
            </m:r>
          </m:e>
          <m:sub>
            <m:r>
              <w:rPr>
                <w:rFonts w:ascii="STIXGeneral-Regular" w:hAnsi="STIXGeneral-Regular" w:cs="STIXGeneral-Regular"/>
              </w:rPr>
              <m:t>λ</m:t>
            </m:r>
          </m:sub>
        </m:sSub>
      </m:oMath>
      <w:r w:rsidRPr="00E56598">
        <w:t xml:space="preserve"> was collected when no light entered the integrating sphere while the reference signal </w:t>
      </w:r>
      <m:oMath>
        <m:sSub>
          <m:sSubPr>
            <m:ctrlPr>
              <w:rPr>
                <w:rFonts w:ascii="Cambria Math" w:hAnsi="Cambria Math"/>
                <w:i/>
              </w:rPr>
            </m:ctrlPr>
          </m:sSubPr>
          <m:e>
            <m:r>
              <w:rPr>
                <w:rFonts w:ascii="STIXGeneral-Regular" w:hAnsi="STIXGeneral-Regular" w:cs="STIXGeneral-Regular"/>
              </w:rPr>
              <m:t>B</m:t>
            </m:r>
          </m:e>
          <m:sub>
            <m:r>
              <w:rPr>
                <w:rFonts w:ascii="STIXGeneral-Regular" w:hAnsi="STIXGeneral-Regular" w:cs="STIXGeneral-Regular"/>
              </w:rPr>
              <m:t>λ</m:t>
            </m:r>
          </m:sub>
        </m:sSub>
      </m:oMath>
      <w:r w:rsidRPr="00E56598">
        <w:t xml:space="preserve"> was measured in the same configuration as for </w:t>
      </w:r>
      <m:oMath>
        <m:sSub>
          <m:sSubPr>
            <m:ctrlPr>
              <w:rPr>
                <w:rFonts w:ascii="Cambria Math" w:hAnsi="Cambria Math"/>
                <w:i/>
              </w:rPr>
            </m:ctrlPr>
          </m:sSubPr>
          <m:e>
            <m:r>
              <w:rPr>
                <w:rFonts w:ascii="STIXGeneral-Regular" w:hAnsi="STIXGeneral-Regular" w:cs="STIXGeneral-Regular"/>
              </w:rPr>
              <m:t>S</m:t>
            </m:r>
          </m:e>
          <m:sub>
            <m:r>
              <w:rPr>
                <w:rFonts w:ascii="STIXGeneral-Regular" w:hAnsi="STIXGeneral-Regular" w:cs="STIXGeneral-Regular"/>
              </w:rPr>
              <m:t>n</m:t>
            </m:r>
            <m:r>
              <w:rPr>
                <w:rFonts w:ascii="Lucida Sans Unicode" w:hAnsi="Lucida Sans Unicode" w:cs="Lucida Sans Unicode"/>
              </w:rPr>
              <m:t>h</m:t>
            </m:r>
            <m:r>
              <w:rPr>
                <w:rFonts w:ascii="Cambria Math" w:hAnsi="Cambria Math"/>
              </w:rPr>
              <m:t>,</m:t>
            </m:r>
            <m:r>
              <w:rPr>
                <w:rFonts w:ascii="STIXGeneral-Regular" w:hAnsi="STIXGeneral-Regular" w:cs="STIXGeneral-Regular"/>
              </w:rPr>
              <m:t>λ</m:t>
            </m:r>
          </m:sub>
        </m:sSub>
      </m:oMath>
      <w:r w:rsidRPr="00E56598">
        <w:t xml:space="preserve">  but without a sample present. </w:t>
      </w:r>
    </w:p>
    <w:p w14:paraId="7E3EAD5C" w14:textId="5E5B946C" w:rsidR="0017782D" w:rsidRPr="00E56598" w:rsidRDefault="0017782D" w:rsidP="0017782D">
      <w:pPr>
        <w:spacing w:line="480" w:lineRule="auto"/>
        <w:jc w:val="both"/>
      </w:pPr>
      <w:r w:rsidRPr="00E56598">
        <w:t xml:space="preserve">The diffuse transmitted signal </w:t>
      </w:r>
      <m:oMath>
        <m:sSub>
          <m:sSubPr>
            <m:ctrlPr>
              <w:rPr>
                <w:rFonts w:ascii="Cambria Math" w:hAnsi="Cambria Math"/>
                <w:i/>
              </w:rPr>
            </m:ctrlPr>
          </m:sSubPr>
          <m:e>
            <m:r>
              <w:rPr>
                <w:rFonts w:ascii="STIXGeneral-Regular" w:hAnsi="STIXGeneral-Regular" w:cs="STIXGeneral-Regular"/>
              </w:rPr>
              <m:t>S</m:t>
            </m:r>
          </m:e>
          <m:sub>
            <m:r>
              <w:rPr>
                <w:rFonts w:ascii="STIXGeneral-Regular" w:hAnsi="STIXGeneral-Regular" w:cs="STIXGeneral-Regular"/>
              </w:rPr>
              <m:t>d</m:t>
            </m:r>
            <m:r>
              <w:rPr>
                <w:rFonts w:ascii="Cambria Math" w:hAnsi="Cambria Math"/>
              </w:rPr>
              <m:t>,</m:t>
            </m:r>
            <m:r>
              <w:rPr>
                <w:rFonts w:ascii="STIXGeneral-Regular" w:hAnsi="STIXGeneral-Regular" w:cs="STIXGeneral-Regular"/>
              </w:rPr>
              <m:t>λ</m:t>
            </m:r>
          </m:sub>
        </m:sSub>
      </m:oMath>
      <w:r w:rsidRPr="00E56598">
        <w:t xml:space="preserve"> represents the fraction of light that is scattered and transmitted by the sample. It was measured by removing the highly reflecting plate facing the sample in the integrating sphere so that the </w:t>
      </w:r>
      <w:proofErr w:type="spellStart"/>
      <w:r w:rsidRPr="00E56598">
        <w:t>unscattered</w:t>
      </w:r>
      <w:proofErr w:type="spellEnd"/>
      <w:r w:rsidRPr="00E56598">
        <w:t xml:space="preserve"> light left the integrating sphere. Finally, the visible transmittance is defined as the spectral transmittance of the total fenestration system weighted by the photopic response of the eye according to</w:t>
      </w:r>
      <w:r w:rsidR="005D7D69" w:rsidRPr="005D7D69">
        <w:rPr>
          <w:vertAlign w:val="superscript"/>
        </w:rPr>
        <w:t>26</w:t>
      </w:r>
    </w:p>
    <w:p w14:paraId="458DA4B9" w14:textId="089C66D9" w:rsidR="0017782D" w:rsidRPr="00E56598" w:rsidRDefault="0017782D" w:rsidP="0017782D">
      <w:pPr>
        <w:tabs>
          <w:tab w:val="center" w:pos="4680"/>
          <w:tab w:val="right" w:pos="9360"/>
        </w:tabs>
        <w:spacing w:line="480" w:lineRule="auto"/>
        <w:jc w:val="both"/>
      </w:pPr>
      <w:r w:rsidRPr="00E56598">
        <w:rPr>
          <w:iCs/>
        </w:rPr>
        <w:tab/>
      </w:r>
      <m:oMath>
        <m:sSub>
          <m:sSubPr>
            <m:ctrlPr>
              <w:rPr>
                <w:rFonts w:ascii="Cambria Math" w:hAnsi="Cambria Math"/>
                <w:i/>
                <w:iCs/>
              </w:rPr>
            </m:ctrlPr>
          </m:sSubPr>
          <m:e>
            <m:r>
              <w:rPr>
                <w:rFonts w:ascii="STIXGeneral-Regular" w:hAnsi="STIXGeneral-Regular" w:cs="STIXGeneral-Regular"/>
              </w:rPr>
              <m:t>T</m:t>
            </m:r>
          </m:e>
          <m:sub>
            <m:r>
              <w:rPr>
                <w:rFonts w:ascii="STIXGeneral-Regular" w:hAnsi="STIXGeneral-Regular" w:cs="STIXGeneral-Regular"/>
              </w:rPr>
              <m:t>vis</m:t>
            </m:r>
          </m:sub>
        </m:sSub>
      </m:oMath>
      <w:r w:rsidRPr="00E56598">
        <w:t xml:space="preserve"> </w:t>
      </w:r>
      <m:oMath>
        <m:r>
          <w:rPr>
            <w:rFonts w:ascii="Cambria Math" w:hAnsi="Cambria Math"/>
          </w:rPr>
          <m:t>= </m:t>
        </m:r>
        <m:f>
          <m:fPr>
            <m:ctrlPr>
              <w:rPr>
                <w:rFonts w:ascii="Cambria Math" w:hAnsi="Cambria Math"/>
                <w:i/>
                <w:iCs/>
              </w:rPr>
            </m:ctrlPr>
          </m:fPr>
          <m:num>
            <m:nary>
              <m:naryPr>
                <m:limLoc m:val="undOvr"/>
                <m:ctrlPr>
                  <w:rPr>
                    <w:rFonts w:ascii="Cambria Math" w:hAnsi="Cambria Math"/>
                    <w:i/>
                    <w:iCs/>
                  </w:rPr>
                </m:ctrlPr>
              </m:naryPr>
              <m:sub>
                <m:r>
                  <w:rPr>
                    <w:rFonts w:ascii="Cambria Math" w:hAnsi="Cambria Math"/>
                  </w:rPr>
                  <m:t>380</m:t>
                </m:r>
              </m:sub>
              <m:sup>
                <m:r>
                  <w:rPr>
                    <w:rFonts w:ascii="Cambria Math" w:hAnsi="Cambria Math"/>
                  </w:rPr>
                  <m:t>780</m:t>
                </m:r>
              </m:sup>
              <m:e>
                <m:r>
                  <w:rPr>
                    <w:rFonts w:ascii="STIXGeneral-Regular" w:hAnsi="STIXGeneral-Regular" w:cs="STIXGeneral-Regular"/>
                  </w:rPr>
                  <m:t>V</m:t>
                </m:r>
                <m:r>
                  <w:rPr>
                    <w:rFonts w:ascii="Cambria Math" w:hAnsi="Cambria Math"/>
                  </w:rPr>
                  <m:t>(</m:t>
                </m:r>
                <m:r>
                  <w:rPr>
                    <w:rFonts w:ascii="STIXGeneral-Regular" w:hAnsi="STIXGeneral-Regular" w:cs="STIXGeneral-Regular"/>
                    <w:lang w:val="el-GR"/>
                  </w:rPr>
                  <m:t>λ</m:t>
                </m:r>
                <m:r>
                  <w:rPr>
                    <w:rFonts w:ascii="Cambria Math" w:hAnsi="Cambria Math"/>
                  </w:rPr>
                  <m:t>)</m:t>
                </m:r>
                <m:sSub>
                  <m:sSubPr>
                    <m:ctrlPr>
                      <w:rPr>
                        <w:rFonts w:ascii="Cambria Math" w:hAnsi="Cambria Math"/>
                        <w:i/>
                        <w:iCs/>
                      </w:rPr>
                    </m:ctrlPr>
                  </m:sSubPr>
                  <m:e>
                    <m:r>
                      <w:rPr>
                        <w:rFonts w:ascii="STIXGeneral-Regular" w:hAnsi="STIXGeneral-Regular" w:cs="STIXGeneral-Regular"/>
                      </w:rPr>
                      <m:t>T</m:t>
                    </m:r>
                  </m:e>
                  <m:sub>
                    <m:r>
                      <w:rPr>
                        <w:rFonts w:ascii="STIXGeneral-Regular" w:hAnsi="STIXGeneral-Regular" w:cs="STIXGeneral-Regular"/>
                        <w:lang w:val="el-GR"/>
                      </w:rPr>
                      <m:t>λ</m:t>
                    </m:r>
                  </m:sub>
                </m:sSub>
                <m:r>
                  <w:rPr>
                    <w:rFonts w:ascii="STIXGeneral-Regular" w:hAnsi="STIXGeneral-Regular" w:cs="STIXGeneral-Regular"/>
                  </w:rPr>
                  <m:t>d</m:t>
                </m:r>
                <m:r>
                  <w:rPr>
                    <w:rFonts w:ascii="STIXGeneral-Regular" w:hAnsi="STIXGeneral-Regular" w:cs="STIXGeneral-Regular"/>
                    <w:lang w:val="el-GR"/>
                  </w:rPr>
                  <m:t>λ</m:t>
                </m:r>
              </m:e>
            </m:nary>
          </m:num>
          <m:den>
            <m:nary>
              <m:naryPr>
                <m:limLoc m:val="undOvr"/>
                <m:ctrlPr>
                  <w:rPr>
                    <w:rFonts w:ascii="Cambria Math" w:hAnsi="Cambria Math"/>
                    <w:i/>
                    <w:iCs/>
                  </w:rPr>
                </m:ctrlPr>
              </m:naryPr>
              <m:sub>
                <m:r>
                  <w:rPr>
                    <w:rFonts w:ascii="Cambria Math" w:hAnsi="Cambria Math"/>
                  </w:rPr>
                  <m:t>380</m:t>
                </m:r>
              </m:sub>
              <m:sup>
                <m:r>
                  <w:rPr>
                    <w:rFonts w:ascii="Cambria Math" w:hAnsi="Cambria Math"/>
                  </w:rPr>
                  <m:t>780</m:t>
                </m:r>
              </m:sup>
              <m:e>
                <m:r>
                  <w:rPr>
                    <w:rFonts w:ascii="STIXGeneral-Regular" w:hAnsi="STIXGeneral-Regular" w:cs="STIXGeneral-Regular"/>
                  </w:rPr>
                  <m:t>V</m:t>
                </m:r>
                <m:d>
                  <m:dPr>
                    <m:ctrlPr>
                      <w:rPr>
                        <w:rFonts w:ascii="Cambria Math" w:hAnsi="Cambria Math"/>
                        <w:i/>
                        <w:iCs/>
                      </w:rPr>
                    </m:ctrlPr>
                  </m:dPr>
                  <m:e>
                    <m:r>
                      <w:rPr>
                        <w:rFonts w:ascii="STIXGeneral-Regular" w:hAnsi="STIXGeneral-Regular" w:cs="STIXGeneral-Regular"/>
                        <w:lang w:val="el-GR"/>
                      </w:rPr>
                      <m:t>λ</m:t>
                    </m:r>
                  </m:e>
                </m:d>
                <m:r>
                  <w:rPr>
                    <w:rFonts w:ascii="STIXGeneral-Regular" w:hAnsi="STIXGeneral-Regular" w:cs="STIXGeneral-Regular"/>
                  </w:rPr>
                  <m:t>d</m:t>
                </m:r>
                <m:r>
                  <w:rPr>
                    <w:rFonts w:ascii="STIXGeneral-Regular" w:hAnsi="STIXGeneral-Regular" w:cs="STIXGeneral-Regular"/>
                    <w:lang w:val="el-GR"/>
                  </w:rPr>
                  <m:t>λ</m:t>
                </m:r>
              </m:e>
            </m:nary>
          </m:den>
        </m:f>
      </m:oMath>
      <w:r w:rsidRPr="00E56598">
        <w:rPr>
          <w:iCs/>
        </w:rPr>
        <w:tab/>
        <w:t>(</w:t>
      </w:r>
      <w:r>
        <w:t xml:space="preserve">Eqn. </w:t>
      </w:r>
      <w:r w:rsidRPr="00E56598">
        <w:rPr>
          <w:iCs/>
        </w:rPr>
        <w:t>S</w:t>
      </w:r>
      <w:r w:rsidR="004561F0">
        <w:rPr>
          <w:iCs/>
        </w:rPr>
        <w:t>4</w:t>
      </w:r>
      <w:r w:rsidRPr="00E56598">
        <w:rPr>
          <w:iCs/>
        </w:rPr>
        <w:t>)</w:t>
      </w:r>
    </w:p>
    <w:p w14:paraId="65F52240" w14:textId="0AA990CB" w:rsidR="0017782D" w:rsidRPr="00E56598" w:rsidRDefault="0017782D" w:rsidP="0017782D">
      <w:pPr>
        <w:spacing w:line="480" w:lineRule="auto"/>
        <w:jc w:val="both"/>
      </w:pPr>
      <w:r w:rsidRPr="00E56598">
        <w:t xml:space="preserve">where </w:t>
      </w:r>
      <m:oMath>
        <m:r>
          <w:rPr>
            <w:rFonts w:ascii="STIXGeneral-Regular" w:hAnsi="STIXGeneral-Regular" w:cs="STIXGeneral-Regular"/>
          </w:rPr>
          <m:t>V</m:t>
        </m:r>
        <m:r>
          <w:rPr>
            <w:rFonts w:ascii="Cambria Math" w:hAnsi="Cambria Math"/>
          </w:rPr>
          <m:t>(</m:t>
        </m:r>
        <m:r>
          <w:rPr>
            <w:rFonts w:ascii="STIXGeneral-Regular" w:hAnsi="STIXGeneral-Regular" w:cs="STIXGeneral-Regular"/>
            <w:lang w:val="el-GR"/>
          </w:rPr>
          <m:t>λ</m:t>
        </m:r>
        <m:r>
          <w:rPr>
            <w:rFonts w:ascii="Cambria Math" w:hAnsi="Cambria Math"/>
          </w:rPr>
          <m:t>)</m:t>
        </m:r>
      </m:oMath>
      <w:r w:rsidRPr="00E56598">
        <w:t xml:space="preserve"> is the photopic spectral luminous efficiency function of the human eye, i.e., the function representing the wavelength-dependent sensitivity of the eye during daytime.</w:t>
      </w:r>
      <w:r w:rsidR="005D7D69" w:rsidRPr="005D7D69">
        <w:rPr>
          <w:vertAlign w:val="superscript"/>
        </w:rPr>
        <w:t>27</w:t>
      </w:r>
    </w:p>
    <w:p w14:paraId="082FD150" w14:textId="77777777" w:rsidR="0017782D" w:rsidRPr="00E56598" w:rsidRDefault="0017782D" w:rsidP="0017782D">
      <w:pPr>
        <w:spacing w:line="480" w:lineRule="auto"/>
        <w:jc w:val="both"/>
      </w:pPr>
    </w:p>
    <w:p w14:paraId="2D7D984B" w14:textId="77777777" w:rsidR="0017782D" w:rsidRPr="00E56598" w:rsidRDefault="0017782D" w:rsidP="0017782D">
      <w:pPr>
        <w:spacing w:line="480" w:lineRule="auto"/>
        <w:jc w:val="both"/>
      </w:pPr>
      <w:r w:rsidRPr="00E56598">
        <w:lastRenderedPageBreak/>
        <w:t xml:space="preserve">The spectral haze </w:t>
      </w:r>
      <m:oMath>
        <m:sSub>
          <m:sSubPr>
            <m:ctrlPr>
              <w:rPr>
                <w:rFonts w:ascii="Cambria Math" w:hAnsi="Cambria Math"/>
                <w:i/>
              </w:rPr>
            </m:ctrlPr>
          </m:sSubPr>
          <m:e>
            <m:r>
              <w:rPr>
                <w:rFonts w:ascii="Lucida Sans Unicode" w:hAnsi="Lucida Sans Unicode" w:cs="Lucida Sans Unicode"/>
              </w:rPr>
              <m:t>h</m:t>
            </m:r>
          </m:e>
          <m:sub>
            <m:r>
              <w:rPr>
                <w:rFonts w:ascii="STIXGeneral-Regular" w:hAnsi="STIXGeneral-Regular" w:cs="STIXGeneral-Regular"/>
              </w:rPr>
              <m:t>λ</m:t>
            </m:r>
          </m:sub>
        </m:sSub>
      </m:oMath>
      <w:r w:rsidRPr="00E56598">
        <w:rPr>
          <w:rFonts w:eastAsiaTheme="minorEastAsia"/>
        </w:rPr>
        <w:t xml:space="preserve"> in the visible </w:t>
      </w:r>
      <w:r w:rsidRPr="00E56598">
        <w:t>was computed according to ASTM D1003-11 as</w:t>
      </w:r>
    </w:p>
    <w:p w14:paraId="464851DB" w14:textId="05D60C07" w:rsidR="0017782D" w:rsidRPr="00E56598" w:rsidRDefault="0017782D" w:rsidP="0017782D">
      <w:pPr>
        <w:tabs>
          <w:tab w:val="center" w:pos="5040"/>
          <w:tab w:val="right" w:pos="9360"/>
        </w:tabs>
        <w:spacing w:line="480" w:lineRule="auto"/>
        <w:jc w:val="both"/>
      </w:pPr>
      <w:r w:rsidRPr="00E56598">
        <w:tab/>
      </w:r>
      <m:oMath>
        <m:sSub>
          <m:sSubPr>
            <m:ctrlPr>
              <w:rPr>
                <w:rFonts w:ascii="Cambria Math" w:hAnsi="Cambria Math"/>
                <w:i/>
              </w:rPr>
            </m:ctrlPr>
          </m:sSubPr>
          <m:e>
            <m:r>
              <w:rPr>
                <w:rFonts w:ascii="Lucida Sans Unicode" w:hAnsi="Lucida Sans Unicode" w:cs="Lucida Sans Unicode"/>
              </w:rPr>
              <m:t>h</m:t>
            </m:r>
          </m:e>
          <m:sub>
            <m:r>
              <w:rPr>
                <w:rFonts w:ascii="STIXGeneral-Regular" w:hAnsi="STIXGeneral-Regular" w:cs="STIXGeneral-Regular"/>
              </w:rPr>
              <m:t>λ</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STIXGeneral-Regular" w:hAnsi="STIXGeneral-Regular" w:cs="STIXGeneral-Regular"/>
                  </w:rPr>
                  <m:t>S</m:t>
                </m:r>
              </m:e>
              <m:sub>
                <m:r>
                  <w:rPr>
                    <w:rFonts w:ascii="STIXGeneral-Regular" w:hAnsi="STIXGeneral-Regular" w:cs="STIXGeneral-Regular"/>
                  </w:rPr>
                  <m:t>d</m:t>
                </m:r>
                <m:r>
                  <w:rPr>
                    <w:rFonts w:ascii="Cambria Math" w:hAnsi="Cambria Math"/>
                  </w:rPr>
                  <m:t>,</m:t>
                </m:r>
                <m:r>
                  <w:rPr>
                    <w:rFonts w:ascii="STIXGeneral-Regular" w:hAnsi="STIXGeneral-Regular" w:cs="STIXGeneral-Regular"/>
                  </w:rPr>
                  <m:t>λ</m:t>
                </m:r>
              </m:sub>
            </m:sSub>
            <m:r>
              <m:rPr>
                <m:sty m:val="p"/>
              </m:rPr>
              <w:rPr>
                <w:rFonts w:ascii="Cambria Math" w:hAnsi="Cambria Math"/>
              </w:rPr>
              <m:t xml:space="preserve"> </m:t>
            </m:r>
          </m:num>
          <m:den>
            <m:sSub>
              <m:sSubPr>
                <m:ctrlPr>
                  <w:rPr>
                    <w:rFonts w:ascii="Cambria Math" w:hAnsi="Cambria Math"/>
                    <w:i/>
                  </w:rPr>
                </m:ctrlPr>
              </m:sSubPr>
              <m:e>
                <m:r>
                  <w:rPr>
                    <w:rFonts w:ascii="STIXGeneral-Regular" w:hAnsi="STIXGeneral-Regular" w:cs="STIXGeneral-Regular"/>
                  </w:rPr>
                  <m:t>S</m:t>
                </m:r>
              </m:e>
              <m:sub>
                <m:r>
                  <w:rPr>
                    <w:rFonts w:ascii="STIXGeneral-Regular" w:hAnsi="STIXGeneral-Regular" w:cs="STIXGeneral-Regular"/>
                  </w:rPr>
                  <m:t>n</m:t>
                </m:r>
                <m:r>
                  <w:rPr>
                    <w:rFonts w:ascii="Lucida Sans Unicode" w:hAnsi="Lucida Sans Unicode" w:cs="Lucida Sans Unicode"/>
                  </w:rPr>
                  <m:t>h</m:t>
                </m:r>
                <m:r>
                  <w:rPr>
                    <w:rFonts w:ascii="Cambria Math" w:hAnsi="Cambria Math"/>
                  </w:rPr>
                  <m:t>,</m:t>
                </m:r>
                <m:r>
                  <w:rPr>
                    <w:rFonts w:ascii="STIXGeneral-Regular" w:hAnsi="STIXGeneral-Regular" w:cs="STIXGeneral-Regular"/>
                  </w:rPr>
                  <m:t>λ</m:t>
                </m:r>
              </m:sub>
            </m:sSub>
            <m:r>
              <m:rPr>
                <m:sty m:val="p"/>
              </m:rPr>
              <w:rPr>
                <w:rFonts w:ascii="Cambria Math" w:hAnsi="Cambria Math"/>
              </w:rPr>
              <m:t xml:space="preserve"> </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STIXGeneral-Regular" w:hAnsi="STIXGeneral-Regular" w:cs="STIXGeneral-Regular"/>
                  </w:rPr>
                  <m:t>M</m:t>
                </m:r>
              </m:e>
              <m:sub>
                <m:r>
                  <w:rPr>
                    <w:rFonts w:ascii="STIXGeneral-Regular" w:hAnsi="STIXGeneral-Regular" w:cs="STIXGeneral-Regular"/>
                  </w:rPr>
                  <m:t>λ</m:t>
                </m:r>
              </m:sub>
            </m:sSub>
            <m:r>
              <m:rPr>
                <m:sty m:val="p"/>
              </m:rPr>
              <w:rPr>
                <w:rFonts w:ascii="Cambria Math" w:hAnsi="Cambria Math"/>
              </w:rPr>
              <m:t xml:space="preserve"> </m:t>
            </m:r>
          </m:num>
          <m:den>
            <m:sSub>
              <m:sSubPr>
                <m:ctrlPr>
                  <w:rPr>
                    <w:rFonts w:ascii="Cambria Math" w:hAnsi="Cambria Math"/>
                    <w:i/>
                  </w:rPr>
                </m:ctrlPr>
              </m:sSubPr>
              <m:e>
                <m:r>
                  <w:rPr>
                    <w:rFonts w:ascii="STIXGeneral-Regular" w:hAnsi="STIXGeneral-Regular" w:cs="STIXGeneral-Regular"/>
                  </w:rPr>
                  <m:t>B</m:t>
                </m:r>
              </m:e>
              <m:sub>
                <m:r>
                  <w:rPr>
                    <w:rFonts w:ascii="STIXGeneral-Regular" w:hAnsi="STIXGeneral-Regular" w:cs="STIXGeneral-Regular"/>
                  </w:rPr>
                  <m:t>λ</m:t>
                </m:r>
              </m:sub>
            </m:sSub>
            <m:r>
              <m:rPr>
                <m:sty m:val="p"/>
              </m:rPr>
              <w:rPr>
                <w:rFonts w:ascii="Cambria Math" w:hAnsi="Cambria Math"/>
              </w:rPr>
              <m:t xml:space="preserve"> </m:t>
            </m:r>
          </m:den>
        </m:f>
        <m:r>
          <m:rPr>
            <m:sty m:val="p"/>
          </m:rPr>
          <w:rPr>
            <w:rFonts w:ascii="Cambria Math" w:hAnsi="Cambria Math"/>
          </w:rPr>
          <m:t xml:space="preserve"> </m:t>
        </m:r>
      </m:oMath>
      <w:r w:rsidRPr="00E56598">
        <w:tab/>
      </w:r>
      <w:r w:rsidRPr="00E56598">
        <w:rPr>
          <w:rFonts w:eastAsiaTheme="minorEastAsia"/>
        </w:rPr>
        <w:t>(</w:t>
      </w:r>
      <w:r>
        <w:t xml:space="preserve">Eqn. </w:t>
      </w:r>
      <w:r w:rsidRPr="00E56598">
        <w:rPr>
          <w:rFonts w:eastAsiaTheme="minorEastAsia"/>
        </w:rPr>
        <w:t>S</w:t>
      </w:r>
      <w:r w:rsidR="004561F0">
        <w:rPr>
          <w:rFonts w:eastAsiaTheme="minorEastAsia"/>
        </w:rPr>
        <w:t>5</w:t>
      </w:r>
      <w:r w:rsidRPr="00E56598">
        <w:rPr>
          <w:rFonts w:eastAsiaTheme="minorEastAsia"/>
        </w:rPr>
        <w:t>)</w:t>
      </w:r>
    </w:p>
    <w:p w14:paraId="5F792BE1" w14:textId="77777777" w:rsidR="0017782D" w:rsidRPr="00E56598" w:rsidRDefault="0017782D" w:rsidP="0017782D">
      <w:pPr>
        <w:spacing w:line="480" w:lineRule="auto"/>
        <w:jc w:val="both"/>
      </w:pPr>
      <w:r w:rsidRPr="00E56598">
        <w:t xml:space="preserve">where </w:t>
      </w:r>
      <m:oMath>
        <m:sSub>
          <m:sSubPr>
            <m:ctrlPr>
              <w:rPr>
                <w:rFonts w:ascii="Cambria Math" w:hAnsi="Cambria Math"/>
                <w:i/>
              </w:rPr>
            </m:ctrlPr>
          </m:sSubPr>
          <m:e>
            <m:r>
              <w:rPr>
                <w:rFonts w:ascii="STIXGeneral-Regular" w:hAnsi="STIXGeneral-Regular" w:cs="STIXGeneral-Regular"/>
              </w:rPr>
              <m:t>M</m:t>
            </m:r>
          </m:e>
          <m:sub>
            <m:r>
              <w:rPr>
                <w:rFonts w:ascii="STIXGeneral-Regular" w:hAnsi="STIXGeneral-Regular" w:cs="STIXGeneral-Regular"/>
              </w:rPr>
              <m:t>λ</m:t>
            </m:r>
          </m:sub>
        </m:sSub>
      </m:oMath>
      <w:r w:rsidRPr="00E56598">
        <w:t xml:space="preserve">  is the signal measured in the same configuration as for </w:t>
      </w:r>
      <m:oMath>
        <m:sSub>
          <m:sSubPr>
            <m:ctrlPr>
              <w:rPr>
                <w:rFonts w:ascii="Cambria Math" w:hAnsi="Cambria Math"/>
                <w:i/>
              </w:rPr>
            </m:ctrlPr>
          </m:sSubPr>
          <m:e>
            <m:r>
              <w:rPr>
                <w:rFonts w:ascii="STIXGeneral-Regular" w:hAnsi="STIXGeneral-Regular" w:cs="STIXGeneral-Regular"/>
              </w:rPr>
              <m:t>S</m:t>
            </m:r>
          </m:e>
          <m:sub>
            <m:r>
              <w:rPr>
                <w:rFonts w:ascii="STIXGeneral-Regular" w:hAnsi="STIXGeneral-Regular" w:cs="STIXGeneral-Regular"/>
              </w:rPr>
              <m:t>d</m:t>
            </m:r>
            <m:r>
              <w:rPr>
                <w:rFonts w:ascii="Cambria Math" w:hAnsi="Cambria Math"/>
              </w:rPr>
              <m:t>,</m:t>
            </m:r>
            <m:r>
              <w:rPr>
                <w:rFonts w:ascii="STIXGeneral-Regular" w:hAnsi="STIXGeneral-Regular" w:cs="STIXGeneral-Regular"/>
              </w:rPr>
              <m:t>λ</m:t>
            </m:r>
          </m:sub>
        </m:sSub>
      </m:oMath>
      <w:r w:rsidRPr="00E56598">
        <w:t xml:space="preserve"> but without a sample </w:t>
      </w:r>
      <w:proofErr w:type="gramStart"/>
      <w:r w:rsidRPr="00E56598">
        <w:t>present.</w:t>
      </w:r>
      <w:proofErr w:type="gramEnd"/>
      <w:r w:rsidRPr="00E56598">
        <w:t xml:space="preserve"> Here also, one can define the visible haze</w:t>
      </w:r>
    </w:p>
    <w:p w14:paraId="4695311A" w14:textId="0BC2231C" w:rsidR="0017782D" w:rsidRPr="00E56598" w:rsidRDefault="0017782D" w:rsidP="0017782D">
      <w:pPr>
        <w:tabs>
          <w:tab w:val="center" w:pos="4680"/>
          <w:tab w:val="right" w:pos="9360"/>
        </w:tabs>
        <w:spacing w:line="480" w:lineRule="auto"/>
        <w:jc w:val="both"/>
      </w:pPr>
      <w:r w:rsidRPr="00E56598">
        <w:rPr>
          <w:iCs/>
        </w:rPr>
        <w:tab/>
      </w:r>
      <m:oMath>
        <m:sSub>
          <m:sSubPr>
            <m:ctrlPr>
              <w:rPr>
                <w:rFonts w:ascii="Cambria Math" w:hAnsi="Cambria Math"/>
                <w:i/>
                <w:iCs/>
              </w:rPr>
            </m:ctrlPr>
          </m:sSubPr>
          <m:e>
            <m:r>
              <w:rPr>
                <w:rFonts w:ascii="Lucida Sans Unicode" w:hAnsi="Lucida Sans Unicode" w:cs="Lucida Sans Unicode"/>
              </w:rPr>
              <m:t>h</m:t>
            </m:r>
          </m:e>
          <m:sub>
            <m:r>
              <w:rPr>
                <w:rFonts w:ascii="STIXGeneral-Regular" w:hAnsi="STIXGeneral-Regular" w:cs="STIXGeneral-Regular"/>
              </w:rPr>
              <m:t>vis</m:t>
            </m:r>
          </m:sub>
        </m:sSub>
      </m:oMath>
      <w:r w:rsidRPr="00E56598">
        <w:t xml:space="preserve"> </w:t>
      </w:r>
      <m:oMath>
        <m:r>
          <w:rPr>
            <w:rFonts w:ascii="Cambria Math" w:hAnsi="Cambria Math"/>
          </w:rPr>
          <m:t>= </m:t>
        </m:r>
        <m:f>
          <m:fPr>
            <m:ctrlPr>
              <w:rPr>
                <w:rFonts w:ascii="Cambria Math" w:hAnsi="Cambria Math"/>
                <w:i/>
                <w:iCs/>
              </w:rPr>
            </m:ctrlPr>
          </m:fPr>
          <m:num>
            <m:nary>
              <m:naryPr>
                <m:limLoc m:val="undOvr"/>
                <m:ctrlPr>
                  <w:rPr>
                    <w:rFonts w:ascii="Cambria Math" w:hAnsi="Cambria Math"/>
                    <w:i/>
                    <w:iCs/>
                  </w:rPr>
                </m:ctrlPr>
              </m:naryPr>
              <m:sub>
                <m:r>
                  <w:rPr>
                    <w:rFonts w:ascii="Cambria Math" w:hAnsi="Cambria Math"/>
                  </w:rPr>
                  <m:t>380</m:t>
                </m:r>
              </m:sub>
              <m:sup>
                <m:r>
                  <w:rPr>
                    <w:rFonts w:ascii="Cambria Math" w:hAnsi="Cambria Math"/>
                  </w:rPr>
                  <m:t>780</m:t>
                </m:r>
              </m:sup>
              <m:e>
                <m:r>
                  <w:rPr>
                    <w:rFonts w:ascii="STIXGeneral-Regular" w:hAnsi="STIXGeneral-Regular" w:cs="STIXGeneral-Regular"/>
                  </w:rPr>
                  <m:t>V</m:t>
                </m:r>
                <m:r>
                  <w:rPr>
                    <w:rFonts w:ascii="Cambria Math" w:hAnsi="Cambria Math"/>
                  </w:rPr>
                  <m:t>(</m:t>
                </m:r>
                <m:r>
                  <w:rPr>
                    <w:rFonts w:ascii="STIXGeneral-Regular" w:hAnsi="STIXGeneral-Regular" w:cs="STIXGeneral-Regular"/>
                    <w:lang w:val="el-GR"/>
                  </w:rPr>
                  <m:t>λ</m:t>
                </m:r>
                <m:r>
                  <w:rPr>
                    <w:rFonts w:ascii="Cambria Math" w:hAnsi="Cambria Math"/>
                  </w:rPr>
                  <m:t>)</m:t>
                </m:r>
                <m:sSub>
                  <m:sSubPr>
                    <m:ctrlPr>
                      <w:rPr>
                        <w:rFonts w:ascii="Cambria Math" w:hAnsi="Cambria Math"/>
                        <w:i/>
                        <w:iCs/>
                      </w:rPr>
                    </m:ctrlPr>
                  </m:sSubPr>
                  <m:e>
                    <m:r>
                      <w:rPr>
                        <w:rFonts w:ascii="Lucida Sans Unicode" w:hAnsi="Lucida Sans Unicode" w:cs="Lucida Sans Unicode"/>
                      </w:rPr>
                      <m:t>h</m:t>
                    </m:r>
                  </m:e>
                  <m:sub>
                    <m:r>
                      <w:rPr>
                        <w:rFonts w:ascii="STIXGeneral-Regular" w:hAnsi="STIXGeneral-Regular" w:cs="STIXGeneral-Regular"/>
                        <w:lang w:val="el-GR"/>
                      </w:rPr>
                      <m:t>λ</m:t>
                    </m:r>
                  </m:sub>
                </m:sSub>
                <m:r>
                  <w:rPr>
                    <w:rFonts w:ascii="STIXGeneral-Regular" w:hAnsi="STIXGeneral-Regular" w:cs="STIXGeneral-Regular"/>
                  </w:rPr>
                  <m:t>d</m:t>
                </m:r>
                <m:r>
                  <w:rPr>
                    <w:rFonts w:ascii="STIXGeneral-Regular" w:hAnsi="STIXGeneral-Regular" w:cs="STIXGeneral-Regular"/>
                    <w:lang w:val="el-GR"/>
                  </w:rPr>
                  <m:t>λ</m:t>
                </m:r>
              </m:e>
            </m:nary>
          </m:num>
          <m:den>
            <m:nary>
              <m:naryPr>
                <m:limLoc m:val="undOvr"/>
                <m:ctrlPr>
                  <w:rPr>
                    <w:rFonts w:ascii="Cambria Math" w:hAnsi="Cambria Math"/>
                    <w:i/>
                    <w:iCs/>
                  </w:rPr>
                </m:ctrlPr>
              </m:naryPr>
              <m:sub>
                <m:r>
                  <w:rPr>
                    <w:rFonts w:ascii="Cambria Math" w:hAnsi="Cambria Math"/>
                  </w:rPr>
                  <m:t>380</m:t>
                </m:r>
              </m:sub>
              <m:sup>
                <m:r>
                  <w:rPr>
                    <w:rFonts w:ascii="Cambria Math" w:hAnsi="Cambria Math"/>
                  </w:rPr>
                  <m:t>780</m:t>
                </m:r>
              </m:sup>
              <m:e>
                <m:r>
                  <w:rPr>
                    <w:rFonts w:ascii="STIXGeneral-Regular" w:hAnsi="STIXGeneral-Regular" w:cs="STIXGeneral-Regular"/>
                  </w:rPr>
                  <m:t>V</m:t>
                </m:r>
                <m:d>
                  <m:dPr>
                    <m:ctrlPr>
                      <w:rPr>
                        <w:rFonts w:ascii="Cambria Math" w:hAnsi="Cambria Math"/>
                        <w:i/>
                        <w:iCs/>
                      </w:rPr>
                    </m:ctrlPr>
                  </m:dPr>
                  <m:e>
                    <m:r>
                      <w:rPr>
                        <w:rFonts w:ascii="STIXGeneral-Regular" w:hAnsi="STIXGeneral-Regular" w:cs="STIXGeneral-Regular"/>
                        <w:lang w:val="el-GR"/>
                      </w:rPr>
                      <m:t>λ</m:t>
                    </m:r>
                  </m:e>
                </m:d>
                <m:r>
                  <w:rPr>
                    <w:rFonts w:ascii="STIXGeneral-Regular" w:hAnsi="STIXGeneral-Regular" w:cs="STIXGeneral-Regular"/>
                  </w:rPr>
                  <m:t>d</m:t>
                </m:r>
                <m:r>
                  <w:rPr>
                    <w:rFonts w:ascii="STIXGeneral-Regular" w:hAnsi="STIXGeneral-Regular" w:cs="STIXGeneral-Regular"/>
                    <w:lang w:val="el-GR"/>
                  </w:rPr>
                  <m:t>λ</m:t>
                </m:r>
              </m:e>
            </m:nary>
          </m:den>
        </m:f>
      </m:oMath>
      <w:r w:rsidRPr="00E56598">
        <w:rPr>
          <w:iCs/>
        </w:rPr>
        <w:tab/>
        <w:t>(</w:t>
      </w:r>
      <w:r>
        <w:t xml:space="preserve">Eqn. </w:t>
      </w:r>
      <w:r w:rsidRPr="00E56598">
        <w:rPr>
          <w:iCs/>
        </w:rPr>
        <w:t>S</w:t>
      </w:r>
      <w:r w:rsidR="004561F0">
        <w:rPr>
          <w:iCs/>
        </w:rPr>
        <w:t>6</w:t>
      </w:r>
      <w:r w:rsidRPr="00E56598">
        <w:rPr>
          <w:iCs/>
        </w:rPr>
        <w:t>)</w:t>
      </w:r>
    </w:p>
    <w:p w14:paraId="64898E88" w14:textId="312AAB2E" w:rsidR="0017782D" w:rsidRPr="00E56598" w:rsidRDefault="0017782D" w:rsidP="0017782D">
      <w:pPr>
        <w:spacing w:line="480" w:lineRule="auto"/>
        <w:ind w:firstLine="720"/>
        <w:jc w:val="both"/>
      </w:pPr>
      <w:r w:rsidRPr="00E56598">
        <w:t xml:space="preserve">The color rendering index </w:t>
      </w:r>
      <m:oMath>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a</m:t>
            </m:r>
          </m:sub>
        </m:sSub>
      </m:oMath>
      <w:r w:rsidRPr="00E56598">
        <w:t xml:space="preserve"> measures the color difference before and after transmission through the sample for eight different colors. The source of transmitted light is the illuminant </w:t>
      </w:r>
      <m:oMath>
        <m:sSub>
          <m:sSubPr>
            <m:ctrlPr>
              <w:rPr>
                <w:rFonts w:ascii="Cambria Math" w:hAnsi="Cambria Math"/>
                <w:i/>
              </w:rPr>
            </m:ctrlPr>
          </m:sSubPr>
          <m:e>
            <m:r>
              <w:rPr>
                <w:rFonts w:ascii="STIXGeneral-Regular" w:hAnsi="STIXGeneral-Regular" w:cs="STIXGeneral-Regular"/>
              </w:rPr>
              <m:t>D</m:t>
            </m:r>
          </m:e>
          <m:sub>
            <m:r>
              <w:rPr>
                <w:rFonts w:ascii="Cambria Math" w:hAnsi="Cambria Math"/>
              </w:rPr>
              <m:t>65</m:t>
            </m:r>
          </m:sub>
        </m:sSub>
      </m:oMath>
      <w:r w:rsidRPr="00E56598">
        <w:t xml:space="preserve">, which is a CIE (International Commission on Illumination) standard illuminant reproducing average midday light. The color rendering index was </w:t>
      </w:r>
      <w:r w:rsidRPr="00A36664">
        <w:t xml:space="preserve">expressed </w:t>
      </w:r>
      <w:r w:rsidRPr="002818E8">
        <w:t>as</w:t>
      </w:r>
      <w:r w:rsidR="005D7D69" w:rsidRPr="005D7D69">
        <w:rPr>
          <w:vertAlign w:val="superscript"/>
        </w:rPr>
        <w:t>28</w:t>
      </w:r>
    </w:p>
    <w:p w14:paraId="0C2DDA51" w14:textId="1EFE58CE" w:rsidR="0017782D" w:rsidRPr="00E56598" w:rsidRDefault="0017782D" w:rsidP="0017782D">
      <w:pPr>
        <w:tabs>
          <w:tab w:val="center" w:pos="4950"/>
          <w:tab w:val="right" w:pos="9360"/>
        </w:tabs>
        <w:spacing w:line="480" w:lineRule="auto"/>
        <w:jc w:val="both"/>
      </w:pPr>
      <w:r w:rsidRPr="00E56598">
        <w:tab/>
      </w:r>
      <m:oMath>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a</m:t>
            </m:r>
          </m:sub>
        </m:sSub>
        <m:r>
          <w:rPr>
            <w:rFonts w:ascii="Cambria Math" w:hAnsi="Cambria Math"/>
          </w:rPr>
          <m:t>=</m:t>
        </m:r>
        <m:f>
          <m:fPr>
            <m:ctrlPr>
              <w:rPr>
                <w:rFonts w:ascii="Cambria Math" w:hAnsi="Cambria Math"/>
                <w:i/>
              </w:rPr>
            </m:ctrlPr>
          </m:fPr>
          <m:num>
            <m:r>
              <w:rPr>
                <w:rFonts w:ascii="Cambria Math" w:hAnsi="Cambria Math"/>
              </w:rPr>
              <m:t>1</m:t>
            </m:r>
          </m:num>
          <m:den>
            <m:r>
              <w:rPr>
                <w:rFonts w:ascii="STIXGeneral-Regular" w:hAnsi="STIXGeneral-Regular" w:cs="STIXGeneral-Regular"/>
              </w:rPr>
              <m:t>i</m:t>
            </m:r>
          </m:den>
        </m:f>
        <m:d>
          <m:dPr>
            <m:begChr m:val="["/>
            <m:endChr m:val="]"/>
            <m:ctrlPr>
              <w:rPr>
                <w:rFonts w:ascii="Cambria Math" w:hAnsi="Cambria Math"/>
                <w:i/>
              </w:rPr>
            </m:ctrlPr>
          </m:dPr>
          <m:e>
            <m:sSub>
              <m:sSubPr>
                <m:ctrlPr>
                  <w:rPr>
                    <w:rFonts w:ascii="Cambria Math" w:hAnsi="Cambria Math"/>
                    <w:i/>
                  </w:rPr>
                </m:ctrlPr>
              </m:sSubPr>
              <m:e>
                <m:r>
                  <w:rPr>
                    <w:rFonts w:ascii="STIXGeneral-Regular" w:hAnsi="STIXGeneral-Regular" w:cs="STIXGeneral-Regular"/>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STIXGeneral-Regular" w:hAnsi="STIXGeneral-Regular" w:cs="STIXGeneral-Regular"/>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i</m:t>
                </m:r>
              </m:sub>
            </m:sSub>
          </m:e>
        </m:d>
      </m:oMath>
      <w:r w:rsidRPr="00E56598">
        <w:rPr>
          <w:rFonts w:eastAsiaTheme="minorEastAsia"/>
        </w:rPr>
        <w:tab/>
        <w:t>(</w:t>
      </w:r>
      <w:r>
        <w:t xml:space="preserve">Eqn. </w:t>
      </w:r>
      <w:r w:rsidRPr="00E56598">
        <w:rPr>
          <w:rFonts w:eastAsiaTheme="minorEastAsia"/>
        </w:rPr>
        <w:t>S</w:t>
      </w:r>
      <w:r w:rsidR="004561F0">
        <w:rPr>
          <w:rFonts w:eastAsiaTheme="minorEastAsia"/>
        </w:rPr>
        <w:t>7</w:t>
      </w:r>
      <w:r w:rsidRPr="00E56598">
        <w:rPr>
          <w:rFonts w:eastAsiaTheme="minorEastAsia"/>
        </w:rPr>
        <w:t>)</w:t>
      </w:r>
    </w:p>
    <w:p w14:paraId="561CFFE9" w14:textId="6F9FEE9E" w:rsidR="0017782D" w:rsidRPr="00E56598" w:rsidRDefault="0017782D" w:rsidP="0017782D">
      <w:pPr>
        <w:spacing w:line="480" w:lineRule="auto"/>
        <w:jc w:val="both"/>
      </w:pPr>
      <w:r w:rsidRPr="00E56598">
        <w:t xml:space="preserve">where </w:t>
      </w:r>
      <m:oMath>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i</m:t>
            </m:r>
          </m:sub>
        </m:sSub>
      </m:oMath>
      <w:r w:rsidRPr="00E56598">
        <w:t xml:space="preserve"> is the special color rendering index of the </w:t>
      </w:r>
      <w:proofErr w:type="spellStart"/>
      <w:r w:rsidRPr="00E56598">
        <w:t>i</w:t>
      </w:r>
      <w:r w:rsidRPr="00E56598">
        <w:rPr>
          <w:vertAlign w:val="superscript"/>
        </w:rPr>
        <w:t>th</w:t>
      </w:r>
      <w:proofErr w:type="spellEnd"/>
      <w:r w:rsidRPr="00E56598">
        <w:t xml:space="preserve"> test </w:t>
      </w:r>
      <w:proofErr w:type="gramStart"/>
      <w:r w:rsidRPr="00E56598">
        <w:t>color.</w:t>
      </w:r>
      <w:proofErr w:type="gramEnd"/>
      <w:r w:rsidRPr="00E56598">
        <w:t xml:space="preserve"> For each test color, the special color rendering index </w:t>
      </w:r>
      <m:oMath>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i</m:t>
            </m:r>
          </m:sub>
        </m:sSub>
      </m:oMath>
      <w:r w:rsidRPr="00E56598">
        <w:t xml:space="preserve"> was </w:t>
      </w:r>
      <w:r w:rsidRPr="00A36664">
        <w:t xml:space="preserve">expressed </w:t>
      </w:r>
      <w:r w:rsidRPr="002818E8">
        <w:t>as</w:t>
      </w:r>
      <w:r w:rsidR="005D7D69" w:rsidRPr="005D7D69">
        <w:rPr>
          <w:vertAlign w:val="superscript"/>
        </w:rPr>
        <w:t>28</w:t>
      </w:r>
    </w:p>
    <w:p w14:paraId="3192671C" w14:textId="3A3D82F4" w:rsidR="0017782D" w:rsidRPr="00E56598" w:rsidRDefault="0017782D" w:rsidP="0017782D">
      <w:pPr>
        <w:tabs>
          <w:tab w:val="center" w:pos="5040"/>
          <w:tab w:val="right" w:pos="9360"/>
        </w:tabs>
        <w:spacing w:line="480" w:lineRule="auto"/>
        <w:jc w:val="both"/>
      </w:pPr>
      <w:r w:rsidRPr="00E56598">
        <w:tab/>
      </w:r>
      <m:oMath>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i</m:t>
            </m:r>
          </m:sub>
        </m:sSub>
        <m:r>
          <w:rPr>
            <w:rFonts w:ascii="Cambria Math" w:hAnsi="Cambria Math"/>
          </w:rPr>
          <m:t>=100-4.6∆</m:t>
        </m:r>
        <m:sSub>
          <m:sSubPr>
            <m:ctrlPr>
              <w:rPr>
                <w:rFonts w:ascii="Cambria Math" w:hAnsi="Cambria Math"/>
                <w:i/>
              </w:rPr>
            </m:ctrlPr>
          </m:sSubPr>
          <m:e>
            <m:r>
              <w:rPr>
                <w:rFonts w:ascii="STIXGeneral-Regular" w:hAnsi="STIXGeneral-Regular" w:cs="STIXGeneral-Regular"/>
              </w:rPr>
              <m:t>E</m:t>
            </m:r>
          </m:e>
          <m:sub>
            <m:r>
              <w:rPr>
                <w:rFonts w:ascii="STIXGeneral-Regular" w:hAnsi="STIXGeneral-Regular" w:cs="STIXGeneral-Regular"/>
              </w:rPr>
              <m:t>i</m:t>
            </m:r>
          </m:sub>
        </m:sSub>
      </m:oMath>
      <w:r w:rsidRPr="00E56598">
        <w:rPr>
          <w:rFonts w:eastAsiaTheme="minorEastAsia"/>
        </w:rPr>
        <w:tab/>
        <w:t>(</w:t>
      </w:r>
      <w:r>
        <w:t xml:space="preserve">Eqn. </w:t>
      </w:r>
      <w:r w:rsidRPr="00E56598">
        <w:rPr>
          <w:rFonts w:eastAsiaTheme="minorEastAsia"/>
        </w:rPr>
        <w:t>S</w:t>
      </w:r>
      <w:r w:rsidR="004561F0">
        <w:rPr>
          <w:rFonts w:eastAsiaTheme="minorEastAsia"/>
        </w:rPr>
        <w:t>8</w:t>
      </w:r>
      <w:r w:rsidRPr="00E56598">
        <w:rPr>
          <w:rFonts w:eastAsiaTheme="minorEastAsia"/>
        </w:rPr>
        <w:t>)</w:t>
      </w:r>
    </w:p>
    <w:p w14:paraId="588A725D" w14:textId="2E5C0A23" w:rsidR="0017782D" w:rsidRPr="00E56598" w:rsidRDefault="0017782D" w:rsidP="0017782D">
      <w:pPr>
        <w:spacing w:line="480" w:lineRule="auto"/>
        <w:jc w:val="both"/>
      </w:pPr>
      <w:r w:rsidRPr="00E56598">
        <w:t xml:space="preserve">where </w:t>
      </w:r>
      <m:oMath>
        <m:r>
          <w:rPr>
            <w:rFonts w:ascii="Cambria Math" w:hAnsi="Cambria Math"/>
          </w:rPr>
          <m:t>∆</m:t>
        </m:r>
        <m:sSub>
          <m:sSubPr>
            <m:ctrlPr>
              <w:rPr>
                <w:rFonts w:ascii="Cambria Math" w:hAnsi="Cambria Math"/>
                <w:i/>
              </w:rPr>
            </m:ctrlPr>
          </m:sSubPr>
          <m:e>
            <m:r>
              <w:rPr>
                <w:rFonts w:ascii="STIXGeneral-Regular" w:hAnsi="STIXGeneral-Regular" w:cs="STIXGeneral-Regular"/>
              </w:rPr>
              <m:t>E</m:t>
            </m:r>
          </m:e>
          <m:sub>
            <m:r>
              <w:rPr>
                <w:rFonts w:ascii="STIXGeneral-Regular" w:hAnsi="STIXGeneral-Regular" w:cs="STIXGeneral-Regular"/>
              </w:rPr>
              <m:t>i</m:t>
            </m:r>
          </m:sub>
        </m:sSub>
      </m:oMath>
      <w:r w:rsidRPr="00E56598">
        <w:t xml:space="preserve"> is the geometrical distance in the CIE 1964 uniform chromaticity space between the color perceived without the glass and with the glass. It was expressed according to the trichromatic coordinates in the CIE 1964 space domain namely </w:t>
      </w:r>
      <m:oMath>
        <m:sSubSup>
          <m:sSubSupPr>
            <m:ctrlPr>
              <w:rPr>
                <w:rFonts w:ascii="Cambria Math" w:hAnsi="Cambria Math"/>
                <w:i/>
              </w:rPr>
            </m:ctrlPr>
          </m:sSubSupPr>
          <m:e>
            <m:r>
              <w:rPr>
                <w:rFonts w:ascii="STIXGeneral-Regular" w:hAnsi="STIXGeneral-Regular" w:cs="STIXGeneral-Regular"/>
              </w:rPr>
              <m:t>W</m:t>
            </m:r>
          </m:e>
          <m:sub>
            <m:r>
              <w:rPr>
                <w:rFonts w:ascii="STIXGeneral-Regular" w:hAnsi="STIXGeneral-Regular" w:cs="STIXGeneral-Regular"/>
              </w:rPr>
              <m:t>i</m:t>
            </m:r>
          </m:sub>
          <m:sup>
            <m:r>
              <w:rPr>
                <w:rFonts w:ascii="Lucida Sans Unicode" w:hAnsi="Lucida Sans Unicode" w:cs="Lucida Sans Unicode"/>
              </w:rPr>
              <m:t>*</m:t>
            </m:r>
          </m:sup>
        </m:sSubSup>
      </m:oMath>
      <w:r w:rsidRPr="00E56598">
        <w:t xml:space="preserve">, </w:t>
      </w:r>
      <m:oMath>
        <m:sSubSup>
          <m:sSubSupPr>
            <m:ctrlPr>
              <w:rPr>
                <w:rFonts w:ascii="Cambria Math" w:hAnsi="Cambria Math"/>
                <w:i/>
              </w:rPr>
            </m:ctrlPr>
          </m:sSubSupPr>
          <m:e>
            <m:r>
              <w:rPr>
                <w:rFonts w:ascii="STIXGeneral-Regular" w:hAnsi="STIXGeneral-Regular" w:cs="STIXGeneral-Regular"/>
              </w:rPr>
              <m:t>u</m:t>
            </m:r>
          </m:e>
          <m:sub>
            <m:r>
              <w:rPr>
                <w:rFonts w:ascii="STIXGeneral-Regular" w:hAnsi="STIXGeneral-Regular" w:cs="STIXGeneral-Regular"/>
              </w:rPr>
              <m:t>i</m:t>
            </m:r>
          </m:sub>
          <m:sup>
            <m:r>
              <w:rPr>
                <w:rFonts w:ascii="Lucida Sans Unicode" w:hAnsi="Lucida Sans Unicode" w:cs="Lucida Sans Unicode"/>
              </w:rPr>
              <m:t>*</m:t>
            </m:r>
          </m:sup>
        </m:sSubSup>
      </m:oMath>
      <w:r w:rsidRPr="00E56598">
        <w:t xml:space="preserve">, and </w:t>
      </w:r>
      <m:oMath>
        <m:sSubSup>
          <m:sSubSupPr>
            <m:ctrlPr>
              <w:rPr>
                <w:rFonts w:ascii="Cambria Math" w:hAnsi="Cambria Math"/>
                <w:i/>
              </w:rPr>
            </m:ctrlPr>
          </m:sSubSupPr>
          <m:e>
            <m:r>
              <w:rPr>
                <w:rFonts w:ascii="STIXGeneral-Regular" w:hAnsi="STIXGeneral-Regular" w:cs="STIXGeneral-Regular"/>
              </w:rPr>
              <m:t>v</m:t>
            </m:r>
          </m:e>
          <m:sub>
            <m:r>
              <w:rPr>
                <w:rFonts w:ascii="STIXGeneral-Regular" w:hAnsi="STIXGeneral-Regular" w:cs="STIXGeneral-Regular"/>
              </w:rPr>
              <m:t>i</m:t>
            </m:r>
          </m:sub>
          <m:sup>
            <m:r>
              <w:rPr>
                <w:rFonts w:ascii="Lucida Sans Unicode" w:hAnsi="Lucida Sans Unicode" w:cs="Lucida Sans Unicode"/>
              </w:rPr>
              <m:t>*</m:t>
            </m:r>
          </m:sup>
        </m:sSubSup>
      </m:oMath>
      <w:r w:rsidRPr="00E56598">
        <w:t>, as</w:t>
      </w:r>
      <w:r w:rsidR="005D7D69" w:rsidRPr="005D7D69">
        <w:rPr>
          <w:vertAlign w:val="superscript"/>
        </w:rPr>
        <w:t>28</w:t>
      </w:r>
    </w:p>
    <w:p w14:paraId="525247C7" w14:textId="72DA56F0" w:rsidR="0017782D" w:rsidRPr="00E56598" w:rsidRDefault="0017782D" w:rsidP="0017782D">
      <w:pPr>
        <w:tabs>
          <w:tab w:val="center" w:pos="5040"/>
          <w:tab w:val="right" w:pos="9360"/>
        </w:tabs>
        <w:spacing w:line="480" w:lineRule="auto"/>
        <w:jc w:val="both"/>
        <w:rPr>
          <w:rFonts w:eastAsiaTheme="minorEastAsia"/>
        </w:rPr>
      </w:pPr>
      <w:r w:rsidRPr="00E56598">
        <w:tab/>
      </w:r>
      <m:oMath>
        <m:r>
          <w:rPr>
            <w:rFonts w:ascii="Cambria Math" w:hAnsi="Cambria Math"/>
          </w:rPr>
          <m:t>∆</m:t>
        </m:r>
        <m:sSub>
          <m:sSubPr>
            <m:ctrlPr>
              <w:rPr>
                <w:rFonts w:ascii="Cambria Math" w:hAnsi="Cambria Math"/>
                <w:i/>
              </w:rPr>
            </m:ctrlPr>
          </m:sSubPr>
          <m:e>
            <m:r>
              <w:rPr>
                <w:rFonts w:ascii="STIXGeneral-Regular" w:hAnsi="STIXGeneral-Regular" w:cs="STIXGeneral-Regular"/>
              </w:rPr>
              <m:t>E</m:t>
            </m:r>
          </m:e>
          <m:sub>
            <m:r>
              <w:rPr>
                <w:rFonts w:ascii="STIXGeneral-Regular" w:hAnsi="STIXGeneral-Regular" w:cs="STIXGeneral-Regular"/>
              </w:rPr>
              <m:t>i</m:t>
            </m:r>
          </m:sub>
        </m:sSub>
        <m:r>
          <w:rPr>
            <w:rFonts w:ascii="Cambria Math" w:hAnsi="Cambria Math"/>
          </w:rPr>
          <m:t>=</m:t>
        </m:r>
        <m:rad>
          <m:radPr>
            <m:degHide m:val="1"/>
            <m:ctrlPr>
              <w:rPr>
                <w:rFonts w:ascii="Cambria Math" w:hAnsi="Cambria Math"/>
                <w:i/>
              </w:rPr>
            </m:ctrlPr>
          </m:radPr>
          <m:deg/>
          <m:e>
            <m:r>
              <w:rPr>
                <w:rFonts w:ascii="Cambria Math" w:hAnsi="Cambria Math"/>
              </w:rPr>
              <m:t>∆</m:t>
            </m:r>
            <m:sSubSup>
              <m:sSubSupPr>
                <m:ctrlPr>
                  <w:rPr>
                    <w:rFonts w:ascii="Cambria Math" w:hAnsi="Cambria Math"/>
                    <w:i/>
                  </w:rPr>
                </m:ctrlPr>
              </m:sSubSupPr>
              <m:e>
                <m:r>
                  <w:rPr>
                    <w:rFonts w:ascii="STIXGeneral-Regular" w:hAnsi="STIXGeneral-Regular" w:cs="STIXGeneral-Regular"/>
                  </w:rPr>
                  <m:t>W</m:t>
                </m:r>
              </m:e>
              <m:sub>
                <m:r>
                  <w:rPr>
                    <w:rFonts w:ascii="STIXGeneral-Regular" w:hAnsi="STIXGeneral-Regular" w:cs="STIXGeneral-Regular"/>
                  </w:rPr>
                  <m:t>i</m:t>
                </m:r>
              </m:sub>
              <m:sup>
                <m:r>
                  <w:rPr>
                    <w:rFonts w:ascii="Lucida Sans Unicode" w:hAnsi="Lucida Sans Unicode" w:cs="Lucida Sans Unicode"/>
                  </w:rPr>
                  <m:t>*</m:t>
                </m:r>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t>
                </m:r>
                <m:r>
                  <w:rPr>
                    <w:rFonts w:ascii="STIXGeneral-Regular" w:hAnsi="STIXGeneral-Regular" w:cs="STIXGeneral-Regular"/>
                  </w:rPr>
                  <m:t>u</m:t>
                </m:r>
              </m:e>
              <m:sub>
                <m:r>
                  <w:rPr>
                    <w:rFonts w:ascii="STIXGeneral-Regular" w:hAnsi="STIXGeneral-Regular" w:cs="STIXGeneral-Regular"/>
                  </w:rPr>
                  <m:t>i</m:t>
                </m:r>
              </m:sub>
              <m:sup>
                <m:r>
                  <w:rPr>
                    <w:rFonts w:ascii="Lucida Sans Unicode" w:hAnsi="Lucida Sans Unicode" w:cs="Lucida Sans Unicode"/>
                  </w:rPr>
                  <m:t>*</m:t>
                </m:r>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t>
                </m:r>
                <m:r>
                  <w:rPr>
                    <w:rFonts w:ascii="STIXGeneral-Regular" w:hAnsi="STIXGeneral-Regular" w:cs="STIXGeneral-Regular"/>
                  </w:rPr>
                  <m:t>v</m:t>
                </m:r>
              </m:e>
              <m:sub>
                <m:r>
                  <w:rPr>
                    <w:rFonts w:ascii="STIXGeneral-Regular" w:hAnsi="STIXGeneral-Regular" w:cs="STIXGeneral-Regular"/>
                  </w:rPr>
                  <m:t>i</m:t>
                </m:r>
              </m:sub>
              <m:sup>
                <m:r>
                  <w:rPr>
                    <w:rFonts w:ascii="Lucida Sans Unicode" w:hAnsi="Lucida Sans Unicode" w:cs="Lucida Sans Unicode"/>
                  </w:rPr>
                  <m:t>*</m:t>
                </m:r>
                <m:r>
                  <w:rPr>
                    <w:rFonts w:ascii="Cambria Math" w:hAnsi="Cambria Math"/>
                  </w:rPr>
                  <m:t>2</m:t>
                </m:r>
              </m:sup>
            </m:sSubSup>
          </m:e>
        </m:rad>
      </m:oMath>
      <w:r w:rsidRPr="00E56598">
        <w:tab/>
      </w:r>
      <w:r w:rsidRPr="00E56598">
        <w:rPr>
          <w:rFonts w:eastAsiaTheme="minorEastAsia"/>
        </w:rPr>
        <w:t>(</w:t>
      </w:r>
      <w:r>
        <w:t xml:space="preserve">Eqn. </w:t>
      </w:r>
      <w:r w:rsidRPr="00E56598">
        <w:rPr>
          <w:rFonts w:eastAsiaTheme="minorEastAsia"/>
        </w:rPr>
        <w:t>S</w:t>
      </w:r>
      <w:r w:rsidR="004561F0">
        <w:rPr>
          <w:rFonts w:eastAsiaTheme="minorEastAsia"/>
        </w:rPr>
        <w:t>9</w:t>
      </w:r>
      <w:r w:rsidRPr="00E56598">
        <w:rPr>
          <w:rFonts w:eastAsiaTheme="minorEastAsia"/>
        </w:rPr>
        <w:t>)</w:t>
      </w:r>
    </w:p>
    <w:p w14:paraId="39989002" w14:textId="577C413F" w:rsidR="0017782D" w:rsidRPr="00E56598" w:rsidRDefault="0017782D" w:rsidP="0017782D">
      <w:pPr>
        <w:tabs>
          <w:tab w:val="left" w:pos="720"/>
        </w:tabs>
        <w:spacing w:line="480" w:lineRule="auto"/>
        <w:jc w:val="both"/>
      </w:pPr>
      <w:r w:rsidRPr="00E56598">
        <w:t xml:space="preserve">The trichromatic coordinates </w:t>
      </w:r>
      <m:oMath>
        <m:sSubSup>
          <m:sSubSupPr>
            <m:ctrlPr>
              <w:rPr>
                <w:rFonts w:ascii="Cambria Math" w:hAnsi="Cambria Math"/>
                <w:i/>
              </w:rPr>
            </m:ctrlPr>
          </m:sSubSupPr>
          <m:e>
            <m:r>
              <w:rPr>
                <w:rFonts w:ascii="STIXGeneral-Regular" w:hAnsi="STIXGeneral-Regular" w:cs="STIXGeneral-Regular"/>
              </w:rPr>
              <m:t>W</m:t>
            </m:r>
          </m:e>
          <m:sub>
            <m:r>
              <w:rPr>
                <w:rFonts w:ascii="STIXGeneral-Regular" w:hAnsi="STIXGeneral-Regular" w:cs="STIXGeneral-Regular"/>
              </w:rPr>
              <m:t>i</m:t>
            </m:r>
          </m:sub>
          <m:sup>
            <m:r>
              <w:rPr>
                <w:rFonts w:ascii="Lucida Sans Unicode" w:hAnsi="Lucida Sans Unicode" w:cs="Lucida Sans Unicode"/>
              </w:rPr>
              <m:t>*</m:t>
            </m:r>
          </m:sup>
        </m:sSubSup>
      </m:oMath>
      <w:r w:rsidRPr="00E56598">
        <w:t xml:space="preserve">, </w:t>
      </w:r>
      <m:oMath>
        <m:sSubSup>
          <m:sSubSupPr>
            <m:ctrlPr>
              <w:rPr>
                <w:rFonts w:ascii="Cambria Math" w:hAnsi="Cambria Math"/>
                <w:i/>
              </w:rPr>
            </m:ctrlPr>
          </m:sSubSupPr>
          <m:e>
            <m:r>
              <w:rPr>
                <w:rFonts w:ascii="STIXGeneral-Regular" w:hAnsi="STIXGeneral-Regular" w:cs="STIXGeneral-Regular"/>
              </w:rPr>
              <m:t>u</m:t>
            </m:r>
          </m:e>
          <m:sub>
            <m:r>
              <w:rPr>
                <w:rFonts w:ascii="STIXGeneral-Regular" w:hAnsi="STIXGeneral-Regular" w:cs="STIXGeneral-Regular"/>
              </w:rPr>
              <m:t>i</m:t>
            </m:r>
          </m:sub>
          <m:sup>
            <m:r>
              <w:rPr>
                <w:rFonts w:ascii="Lucida Sans Unicode" w:hAnsi="Lucida Sans Unicode" w:cs="Lucida Sans Unicode"/>
              </w:rPr>
              <m:t>*</m:t>
            </m:r>
          </m:sup>
        </m:sSubSup>
      </m:oMath>
      <w:r w:rsidRPr="00E56598">
        <w:t xml:space="preserve">, and </w:t>
      </w:r>
      <m:oMath>
        <m:sSubSup>
          <m:sSubSupPr>
            <m:ctrlPr>
              <w:rPr>
                <w:rFonts w:ascii="Cambria Math" w:hAnsi="Cambria Math"/>
                <w:i/>
              </w:rPr>
            </m:ctrlPr>
          </m:sSubSupPr>
          <m:e>
            <m:r>
              <w:rPr>
                <w:rFonts w:ascii="STIXGeneral-Regular" w:hAnsi="STIXGeneral-Regular" w:cs="STIXGeneral-Regular"/>
              </w:rPr>
              <m:t>v</m:t>
            </m:r>
          </m:e>
          <m:sub>
            <m:r>
              <w:rPr>
                <w:rFonts w:ascii="STIXGeneral-Regular" w:hAnsi="STIXGeneral-Regular" w:cs="STIXGeneral-Regular"/>
              </w:rPr>
              <m:t>i</m:t>
            </m:r>
          </m:sub>
          <m:sup>
            <m:r>
              <w:rPr>
                <w:rFonts w:ascii="Lucida Sans Unicode" w:hAnsi="Lucida Sans Unicode" w:cs="Lucida Sans Unicode"/>
              </w:rPr>
              <m:t>*</m:t>
            </m:r>
          </m:sup>
        </m:sSubSup>
      </m:oMath>
      <w:r w:rsidRPr="00E56598">
        <w:t xml:space="preserve"> of each test color were calculated from the normal-hemispherical transmittance </w:t>
      </w:r>
      <m:oMath>
        <m:sSub>
          <m:sSubPr>
            <m:ctrlPr>
              <w:rPr>
                <w:rFonts w:ascii="Cambria Math" w:hAnsi="Cambria Math"/>
                <w:i/>
              </w:rPr>
            </m:ctrlPr>
          </m:sSubPr>
          <m:e>
            <m:r>
              <w:rPr>
                <w:rFonts w:ascii="STIXGeneral-Regular" w:hAnsi="STIXGeneral-Regular" w:cs="STIXGeneral-Regular"/>
              </w:rPr>
              <m:t>T</m:t>
            </m:r>
          </m:e>
          <m:sub>
            <m:r>
              <w:rPr>
                <w:rFonts w:ascii="STIXGeneral-Regular" w:hAnsi="STIXGeneral-Regular" w:cs="STIXGeneral-Regular"/>
              </w:rPr>
              <m:t>n</m:t>
            </m:r>
            <m:r>
              <w:rPr>
                <w:rFonts w:ascii="Lucida Sans Unicode" w:hAnsi="Lucida Sans Unicode" w:cs="Lucida Sans Unicode"/>
              </w:rPr>
              <m:t>h</m:t>
            </m:r>
            <m:r>
              <w:rPr>
                <w:rFonts w:ascii="Cambria Math" w:hAnsi="Cambria Math"/>
              </w:rPr>
              <m:t>,</m:t>
            </m:r>
            <m:r>
              <w:rPr>
                <w:rFonts w:ascii="STIXGeneral-Regular" w:hAnsi="STIXGeneral-Regular" w:cs="STIXGeneral-Regular"/>
              </w:rPr>
              <m:t>λ</m:t>
            </m:r>
          </m:sub>
        </m:sSub>
      </m:oMath>
      <w:r w:rsidRPr="00E56598">
        <w:t xml:space="preserve"> of the glass in the visible range taken from EN 410:2011 for the reference illuminant  </w:t>
      </w:r>
      <m:oMath>
        <m:sSub>
          <m:sSubPr>
            <m:ctrlPr>
              <w:rPr>
                <w:rFonts w:ascii="Cambria Math" w:hAnsi="Cambria Math"/>
                <w:i/>
              </w:rPr>
            </m:ctrlPr>
          </m:sSubPr>
          <m:e>
            <m:r>
              <w:rPr>
                <w:rFonts w:ascii="STIXGeneral-Regular" w:hAnsi="STIXGeneral-Regular" w:cs="STIXGeneral-Regular"/>
              </w:rPr>
              <m:t>D</m:t>
            </m:r>
          </m:e>
          <m:sub>
            <m:r>
              <w:rPr>
                <w:rFonts w:ascii="Cambria Math" w:hAnsi="Cambria Math"/>
              </w:rPr>
              <m:t>65</m:t>
            </m:r>
          </m:sub>
        </m:sSub>
      </m:oMath>
      <w:r w:rsidRPr="00E56598">
        <w:t xml:space="preserve"> without transmission through the sample.</w:t>
      </w:r>
      <w:r w:rsidR="005D7D69" w:rsidRPr="005D7D69">
        <w:rPr>
          <w:vertAlign w:val="superscript"/>
        </w:rPr>
        <w:t>28</w:t>
      </w:r>
      <w:r w:rsidRPr="00E56598">
        <w:t xml:space="preserve"> </w:t>
      </w:r>
    </w:p>
    <w:p w14:paraId="2CD97A17" w14:textId="27E9D827" w:rsidR="0017782D" w:rsidRPr="00E56598" w:rsidRDefault="0017782D" w:rsidP="0017782D">
      <w:pPr>
        <w:tabs>
          <w:tab w:val="left" w:pos="720"/>
          <w:tab w:val="center" w:pos="4680"/>
          <w:tab w:val="right" w:pos="9360"/>
        </w:tabs>
        <w:spacing w:line="480" w:lineRule="auto"/>
        <w:jc w:val="both"/>
        <w:rPr>
          <w:color w:val="000000" w:themeColor="text1"/>
        </w:rPr>
      </w:pPr>
      <w:r w:rsidRPr="00E56598">
        <w:rPr>
          <w:i/>
          <w:color w:val="000000" w:themeColor="text1"/>
        </w:rPr>
        <w:lastRenderedPageBreak/>
        <w:tab/>
        <w:t>Thermal Measurements:</w:t>
      </w:r>
      <w:r w:rsidRPr="00E56598">
        <w:rPr>
          <w:color w:val="000000" w:themeColor="text1"/>
        </w:rPr>
        <w:t xml:space="preserve"> The time-domain </w:t>
      </w:r>
      <w:proofErr w:type="spellStart"/>
      <w:r w:rsidRPr="00E56598">
        <w:rPr>
          <w:color w:val="000000" w:themeColor="text1"/>
        </w:rPr>
        <w:t>thermoreflectance</w:t>
      </w:r>
      <w:proofErr w:type="spellEnd"/>
      <w:r w:rsidRPr="00E56598">
        <w:rPr>
          <w:color w:val="000000" w:themeColor="text1"/>
        </w:rPr>
        <w:t xml:space="preserve"> (TDTR) method is a reliable method that has been used to accurately measure thermal conductivity of a wide range of materials, including amorphous materials, porous structures, and aerogels.</w:t>
      </w:r>
      <w:r w:rsidRPr="00E56598">
        <w:rPr>
          <w:rFonts w:eastAsiaTheme="minorEastAsia"/>
          <w:color w:val="000000" w:themeColor="text1"/>
        </w:rPr>
        <w:tab/>
      </w:r>
      <w:r w:rsidR="005D7D69" w:rsidRPr="005D7D69">
        <w:rPr>
          <w:color w:val="000000"/>
          <w:vertAlign w:val="superscript"/>
        </w:rPr>
        <w:t>29,30</w:t>
      </w:r>
      <w:r>
        <w:rPr>
          <w:rFonts w:eastAsiaTheme="minorEastAsia"/>
          <w:color w:val="000000" w:themeColor="text1"/>
        </w:rPr>
        <w:t xml:space="preserve"> </w:t>
      </w:r>
      <w:r w:rsidRPr="00E56598">
        <w:t>In the present study, the samples were first coated with a thin layer of Al (80 nm) to convert the photon energy of the pump laser pulse into thermal energy. Prior to TDTR measurements, t</w:t>
      </w:r>
      <w:r w:rsidRPr="00E56598">
        <w:rPr>
          <w:color w:val="000000" w:themeColor="text1"/>
        </w:rPr>
        <w:t xml:space="preserve">he samples were heated to 160 ºC for 1 hour at a pressure &lt; 1 Pa and cooled to room temperature in a cryostat to fully dry the sample. The pump beam </w:t>
      </w:r>
      <w:r w:rsidRPr="00E56598">
        <w:t xml:space="preserve">consisted of laser pulses at wavelength 400 nm and of width of 100 </w:t>
      </w:r>
      <w:proofErr w:type="gramStart"/>
      <w:r w:rsidRPr="00E56598">
        <w:t>fs  delivered</w:t>
      </w:r>
      <w:proofErr w:type="gramEnd"/>
      <w:r w:rsidRPr="00E56598">
        <w:t xml:space="preserve"> onto the Al coating for generating heat. The probe beam consisted of laser pulses at 800 nm with variable pulse width to determine the temperature changes. After the instantaneous temperature rise caused by the pump beam, the temperature decay was recorded by the probe beam by controlling the delay time between the pump and probe beams from 0 </w:t>
      </w:r>
      <w:proofErr w:type="spellStart"/>
      <w:r w:rsidRPr="00E56598">
        <w:t>ps</w:t>
      </w:r>
      <w:proofErr w:type="spellEnd"/>
      <w:r w:rsidRPr="00E56598">
        <w:t xml:space="preserve"> to 6000 </w:t>
      </w:r>
      <w:proofErr w:type="spellStart"/>
      <w:r w:rsidRPr="00E56598">
        <w:t>ps</w:t>
      </w:r>
      <w:proofErr w:type="spellEnd"/>
      <w:r w:rsidRPr="00E56598">
        <w:t xml:space="preserve"> and utilizing the linear relationship between reflectivity and temperature of the Al film. The full transient decay curve was fitted with a multilayer heat conduction model to obtain the thermal conductivity of the sample.</w:t>
      </w:r>
      <w:r w:rsidR="005D7D69" w:rsidRPr="005D7D69">
        <w:rPr>
          <w:vertAlign w:val="superscript"/>
        </w:rPr>
        <w:t>21</w:t>
      </w:r>
      <w:r>
        <w:rPr>
          <w:vertAlign w:val="superscript"/>
        </w:rPr>
        <w:t xml:space="preserve"> </w:t>
      </w:r>
      <w:r w:rsidRPr="00E56598">
        <w:t>More details about the working principles, experimental setup and successful applications for various materials including silica aerogel can be found in previous studies.</w:t>
      </w:r>
      <w:r w:rsidR="005D7D69" w:rsidRPr="005D7D69">
        <w:rPr>
          <w:vertAlign w:val="superscript"/>
        </w:rPr>
        <w:t>31</w:t>
      </w:r>
      <w:r w:rsidR="000C3BDF" w:rsidRPr="00D80563">
        <w:rPr>
          <w:vertAlign w:val="superscript"/>
        </w:rPr>
        <w:t xml:space="preserve"> </w:t>
      </w:r>
      <w:r w:rsidRPr="00E56598">
        <w:t xml:space="preserve">To avoid biased characterization which could be due to inhomogeneity  due to the nanoscale porous structure of the </w:t>
      </w:r>
      <w:proofErr w:type="spellStart"/>
      <w:r w:rsidRPr="00E56598">
        <w:t>ambigel</w:t>
      </w:r>
      <w:proofErr w:type="spellEnd"/>
      <w:r w:rsidRPr="00E56598">
        <w:t xml:space="preserve"> monoliths, a laser spot size of 20 </w:t>
      </w:r>
      <w:r w:rsidRPr="00E56598">
        <w:sym w:font="Symbol" w:char="F06D"/>
      </w:r>
      <w:r w:rsidRPr="00E56598">
        <w:t xml:space="preserve">m in diameter was used to cover a surface area encompassing a large number of nanoscale pores. For each sample, the thermal conductivity was averaged from ten different measurements on different spots for each sample. The reported thermal conductivity was the average for 3 samples for the TEOS1—TEOS5 </w:t>
      </w:r>
      <w:proofErr w:type="spellStart"/>
      <w:r w:rsidRPr="00E56598">
        <w:t>ambigel</w:t>
      </w:r>
      <w:proofErr w:type="spellEnd"/>
      <w:r w:rsidRPr="00E56598">
        <w:t xml:space="preserve"> monoliths and for 2 samples for the TEOS</w:t>
      </w:r>
      <w:proofErr w:type="gramStart"/>
      <w:r w:rsidRPr="00E56598">
        <w:t>1</w:t>
      </w:r>
      <w:r>
        <w:t>:MTES</w:t>
      </w:r>
      <w:proofErr w:type="gramEnd"/>
      <w:r w:rsidRPr="00E56598">
        <w:t xml:space="preserve"> and TEOS2</w:t>
      </w:r>
      <w:r>
        <w:t>:MTES</w:t>
      </w:r>
      <w:r w:rsidRPr="00E56598">
        <w:t xml:space="preserve"> </w:t>
      </w:r>
      <w:proofErr w:type="spellStart"/>
      <w:r w:rsidRPr="00E56598">
        <w:t>ambigel</w:t>
      </w:r>
      <w:proofErr w:type="spellEnd"/>
      <w:r w:rsidRPr="00E56598">
        <w:t xml:space="preserve"> monoliths. The error bars accounted for uncertainties in individual measurements as well as from inter-sample variability. The effective specific heat </w:t>
      </w:r>
      <w:r w:rsidRPr="00E56598">
        <w:rPr>
          <w:color w:val="000000" w:themeColor="text1"/>
        </w:rPr>
        <w:t>C</w:t>
      </w:r>
      <w:r w:rsidRPr="00E56598">
        <w:rPr>
          <w:color w:val="000000" w:themeColor="text1"/>
          <w:vertAlign w:val="subscript"/>
        </w:rPr>
        <w:t>p</w:t>
      </w:r>
      <w:r w:rsidRPr="00E56598">
        <w:rPr>
          <w:color w:val="000000" w:themeColor="text1"/>
        </w:rPr>
        <w:t xml:space="preserve"> was measured directly through differential scanning </w:t>
      </w:r>
      <w:r w:rsidRPr="00E56598">
        <w:rPr>
          <w:color w:val="000000" w:themeColor="text1"/>
        </w:rPr>
        <w:lastRenderedPageBreak/>
        <w:t xml:space="preserve">calorimetry (DSC) of </w:t>
      </w:r>
      <w:proofErr w:type="spellStart"/>
      <w:r w:rsidRPr="00E56598">
        <w:rPr>
          <w:color w:val="000000" w:themeColor="text1"/>
        </w:rPr>
        <w:t>ambigel</w:t>
      </w:r>
      <w:proofErr w:type="spellEnd"/>
      <w:r w:rsidRPr="00E56598">
        <w:rPr>
          <w:color w:val="000000" w:themeColor="text1"/>
        </w:rPr>
        <w:t xml:space="preserve"> samples at room temperature and after heating to 150 ºC and cooling back to room temperature to remove water, as described in previous work.</w:t>
      </w:r>
      <w:r w:rsidR="005D7D69" w:rsidRPr="005D7D69">
        <w:rPr>
          <w:color w:val="000000"/>
          <w:vertAlign w:val="superscript"/>
        </w:rPr>
        <w:t>32</w:t>
      </w:r>
    </w:p>
    <w:p w14:paraId="2E2D8445" w14:textId="7BF38651" w:rsidR="0017782D" w:rsidRPr="00E56598" w:rsidRDefault="0017782D" w:rsidP="000C3BDF">
      <w:pPr>
        <w:tabs>
          <w:tab w:val="left" w:pos="720"/>
          <w:tab w:val="center" w:pos="4680"/>
          <w:tab w:val="right" w:pos="9360"/>
        </w:tabs>
        <w:spacing w:before="240" w:line="480" w:lineRule="auto"/>
        <w:jc w:val="both"/>
      </w:pPr>
      <w:r w:rsidRPr="00E56598">
        <w:rPr>
          <w:color w:val="000000"/>
        </w:rPr>
        <w:tab/>
        <w:t xml:space="preserve">The effective thermal conductivity </w:t>
      </w:r>
      <w:proofErr w:type="spellStart"/>
      <w:r w:rsidRPr="00E56598">
        <w:rPr>
          <w:i/>
          <w:color w:val="000000"/>
        </w:rPr>
        <w:t>k</w:t>
      </w:r>
      <w:r w:rsidRPr="00E56598">
        <w:rPr>
          <w:i/>
          <w:color w:val="000000"/>
          <w:vertAlign w:val="subscript"/>
        </w:rPr>
        <w:t>eff</w:t>
      </w:r>
      <w:proofErr w:type="spellEnd"/>
      <w:r w:rsidRPr="00E56598">
        <w:rPr>
          <w:color w:val="000000"/>
        </w:rPr>
        <w:t xml:space="preserve"> at room temperature of the </w:t>
      </w:r>
      <w:proofErr w:type="spellStart"/>
      <w:r w:rsidRPr="00E56598">
        <w:rPr>
          <w:color w:val="000000"/>
        </w:rPr>
        <w:t>ambigel</w:t>
      </w:r>
      <w:proofErr w:type="spellEnd"/>
      <w:r w:rsidRPr="00E56598">
        <w:rPr>
          <w:color w:val="000000"/>
        </w:rPr>
        <w:t xml:space="preserve"> monoliths was also measured using a guarded hot plate apparatus based on ASTM C177-13 standard in a single-sided mode. The apparatus in double-sided mode was described in detail in Ref.</w:t>
      </w:r>
      <w:r w:rsidR="005D7D69" w:rsidRPr="005D7D69">
        <w:rPr>
          <w:color w:val="000000"/>
          <w:vertAlign w:val="superscript"/>
        </w:rPr>
        <w:t>33</w:t>
      </w:r>
      <w:r w:rsidRPr="00E56598">
        <w:rPr>
          <w:color w:val="000000"/>
        </w:rPr>
        <w:t xml:space="preserve"> and need not be repeated. In brief, an </w:t>
      </w:r>
      <w:proofErr w:type="spellStart"/>
      <w:r w:rsidRPr="00E56598">
        <w:rPr>
          <w:color w:val="000000"/>
        </w:rPr>
        <w:t>ambigel</w:t>
      </w:r>
      <w:proofErr w:type="spellEnd"/>
      <w:r w:rsidRPr="00E56598">
        <w:rPr>
          <w:color w:val="000000"/>
        </w:rPr>
        <w:t xml:space="preserve"> monolith with thickness </w:t>
      </w:r>
      <w:r w:rsidRPr="00E56598">
        <w:rPr>
          <w:i/>
          <w:iCs/>
          <w:color w:val="000000"/>
        </w:rPr>
        <w:t>t</w:t>
      </w:r>
      <w:r w:rsidRPr="00E56598">
        <w:rPr>
          <w:color w:val="000000"/>
        </w:rPr>
        <w:t xml:space="preserve"> was sandwiched between a hot plate and a cold plate. The whole stack was placed between two thermally insulating blocks and wrapped in multiple layers of fiberglass insulation to minimize heat losses. The cold plate was maintained at constant temperature by a liquid coolant provided by a chiller. It also featured an embedded thermocouple measuring the plate temperature </w:t>
      </w:r>
      <w:r w:rsidRPr="00E56598">
        <w:rPr>
          <w:i/>
          <w:color w:val="000000"/>
        </w:rPr>
        <w:t>T</w:t>
      </w:r>
      <w:r w:rsidRPr="00E56598">
        <w:rPr>
          <w:i/>
          <w:color w:val="000000"/>
          <w:vertAlign w:val="subscript"/>
        </w:rPr>
        <w:t>c</w:t>
      </w:r>
      <w:r w:rsidRPr="00E56598">
        <w:rPr>
          <w:color w:val="000000"/>
        </w:rPr>
        <w:t xml:space="preserve">. The hot plate was composed of two concentric sections: an inner metered section with area </w:t>
      </w:r>
      <w:proofErr w:type="spellStart"/>
      <w:proofErr w:type="gramStart"/>
      <w:r w:rsidRPr="00E56598">
        <w:rPr>
          <w:i/>
          <w:color w:val="000000"/>
        </w:rPr>
        <w:t>A</w:t>
      </w:r>
      <w:r w:rsidRPr="00E56598">
        <w:rPr>
          <w:i/>
          <w:color w:val="000000"/>
          <w:vertAlign w:val="subscript"/>
        </w:rPr>
        <w:t>h,m</w:t>
      </w:r>
      <w:proofErr w:type="spellEnd"/>
      <w:proofErr w:type="gramEnd"/>
      <w:r w:rsidRPr="00E56598">
        <w:rPr>
          <w:color w:val="000000"/>
        </w:rPr>
        <w:t xml:space="preserve"> and an outer guard section with area </w:t>
      </w:r>
      <w:proofErr w:type="spellStart"/>
      <w:r w:rsidRPr="00E56598">
        <w:rPr>
          <w:i/>
          <w:color w:val="000000"/>
        </w:rPr>
        <w:t>A</w:t>
      </w:r>
      <w:r w:rsidRPr="00E56598">
        <w:rPr>
          <w:i/>
          <w:color w:val="000000"/>
          <w:vertAlign w:val="subscript"/>
        </w:rPr>
        <w:t>h,g</w:t>
      </w:r>
      <w:proofErr w:type="spellEnd"/>
      <w:r w:rsidRPr="00E56598">
        <w:rPr>
          <w:color w:val="000000"/>
        </w:rPr>
        <w:t>. The metered heater was used for thermal conductivity measurement while the guard heater was used to minimize lateral heat losses that could decrease the accuracy of the measurements. Both metered and guard heaters had embedded (</w:t>
      </w:r>
      <w:proofErr w:type="spellStart"/>
      <w:r w:rsidRPr="00E56598">
        <w:rPr>
          <w:color w:val="000000"/>
        </w:rPr>
        <w:t>i</w:t>
      </w:r>
      <w:proofErr w:type="spellEnd"/>
      <w:r w:rsidRPr="00E56598">
        <w:rPr>
          <w:color w:val="000000"/>
        </w:rPr>
        <w:t xml:space="preserve">) thermocouples that measured their respective temperatures </w:t>
      </w:r>
      <w:proofErr w:type="spellStart"/>
      <w:proofErr w:type="gramStart"/>
      <w:r w:rsidRPr="00E56598">
        <w:rPr>
          <w:i/>
          <w:color w:val="000000"/>
        </w:rPr>
        <w:t>T</w:t>
      </w:r>
      <w:r w:rsidRPr="00E56598">
        <w:rPr>
          <w:i/>
          <w:color w:val="000000"/>
          <w:vertAlign w:val="subscript"/>
        </w:rPr>
        <w:t>h,m</w:t>
      </w:r>
      <w:proofErr w:type="spellEnd"/>
      <w:proofErr w:type="gramEnd"/>
      <w:r w:rsidRPr="00E56598">
        <w:rPr>
          <w:color w:val="000000"/>
        </w:rPr>
        <w:t xml:space="preserve"> and </w:t>
      </w:r>
      <w:proofErr w:type="spellStart"/>
      <w:r w:rsidRPr="00E56598">
        <w:rPr>
          <w:i/>
          <w:color w:val="000000"/>
        </w:rPr>
        <w:t>T</w:t>
      </w:r>
      <w:r w:rsidRPr="00E56598">
        <w:rPr>
          <w:i/>
          <w:color w:val="000000"/>
          <w:vertAlign w:val="subscript"/>
        </w:rPr>
        <w:t>h,g</w:t>
      </w:r>
      <w:proofErr w:type="spellEnd"/>
      <w:r w:rsidRPr="00E56598">
        <w:rPr>
          <w:color w:val="000000"/>
        </w:rPr>
        <w:t xml:space="preserve"> and (ii) resistive wires with resistance </w:t>
      </w:r>
      <w:proofErr w:type="spellStart"/>
      <w:r w:rsidRPr="00E56598">
        <w:rPr>
          <w:i/>
          <w:color w:val="000000"/>
        </w:rPr>
        <w:t>R</w:t>
      </w:r>
      <w:r w:rsidRPr="00E56598">
        <w:rPr>
          <w:i/>
          <w:color w:val="000000"/>
          <w:vertAlign w:val="subscript"/>
        </w:rPr>
        <w:t>h,m</w:t>
      </w:r>
      <w:proofErr w:type="spellEnd"/>
      <w:r w:rsidRPr="00E56598">
        <w:rPr>
          <w:color w:val="000000"/>
        </w:rPr>
        <w:t xml:space="preserve"> and </w:t>
      </w:r>
      <w:proofErr w:type="spellStart"/>
      <w:r w:rsidRPr="00E56598">
        <w:rPr>
          <w:i/>
          <w:color w:val="000000"/>
        </w:rPr>
        <w:t>R</w:t>
      </w:r>
      <w:r w:rsidRPr="00E56598">
        <w:rPr>
          <w:i/>
          <w:color w:val="000000"/>
          <w:vertAlign w:val="subscript"/>
        </w:rPr>
        <w:t>h,g</w:t>
      </w:r>
      <w:proofErr w:type="spellEnd"/>
      <w:r w:rsidRPr="00E56598">
        <w:rPr>
          <w:color w:val="000000"/>
        </w:rPr>
        <w:t xml:space="preserve">, respectively. The resistive wires were connected to two separate digital power supplies to independently control their temperatures </w:t>
      </w:r>
      <w:proofErr w:type="spellStart"/>
      <w:proofErr w:type="gramStart"/>
      <w:r w:rsidRPr="00E56598">
        <w:rPr>
          <w:i/>
          <w:color w:val="000000"/>
        </w:rPr>
        <w:t>T</w:t>
      </w:r>
      <w:r w:rsidRPr="00E56598">
        <w:rPr>
          <w:i/>
          <w:color w:val="000000"/>
          <w:vertAlign w:val="subscript"/>
        </w:rPr>
        <w:t>h,m</w:t>
      </w:r>
      <w:proofErr w:type="spellEnd"/>
      <w:proofErr w:type="gramEnd"/>
      <w:r w:rsidRPr="00E56598">
        <w:rPr>
          <w:color w:val="000000"/>
        </w:rPr>
        <w:t xml:space="preserve"> and </w:t>
      </w:r>
      <w:proofErr w:type="spellStart"/>
      <w:r w:rsidRPr="00E56598">
        <w:rPr>
          <w:i/>
          <w:color w:val="000000"/>
        </w:rPr>
        <w:t>T</w:t>
      </w:r>
      <w:r w:rsidRPr="00E56598">
        <w:rPr>
          <w:i/>
          <w:color w:val="000000"/>
          <w:vertAlign w:val="subscript"/>
        </w:rPr>
        <w:t>h,g</w:t>
      </w:r>
      <w:proofErr w:type="spellEnd"/>
      <w:r w:rsidRPr="00E56598">
        <w:rPr>
          <w:color w:val="000000"/>
        </w:rPr>
        <w:t xml:space="preserve"> by Joule heating using currents </w:t>
      </w:r>
      <w:proofErr w:type="spellStart"/>
      <w:r w:rsidRPr="00E56598">
        <w:rPr>
          <w:i/>
          <w:color w:val="000000"/>
        </w:rPr>
        <w:t>I</w:t>
      </w:r>
      <w:r w:rsidRPr="00E56598">
        <w:rPr>
          <w:i/>
          <w:color w:val="000000"/>
          <w:vertAlign w:val="subscript"/>
        </w:rPr>
        <w:t>h,m</w:t>
      </w:r>
      <w:proofErr w:type="spellEnd"/>
      <w:r w:rsidRPr="00E56598">
        <w:rPr>
          <w:color w:val="000000"/>
        </w:rPr>
        <w:t xml:space="preserve"> and </w:t>
      </w:r>
      <w:proofErr w:type="spellStart"/>
      <w:r w:rsidRPr="00E56598">
        <w:rPr>
          <w:i/>
          <w:color w:val="000000"/>
        </w:rPr>
        <w:t>I</w:t>
      </w:r>
      <w:r w:rsidRPr="00E56598">
        <w:rPr>
          <w:i/>
          <w:color w:val="000000"/>
          <w:vertAlign w:val="subscript"/>
        </w:rPr>
        <w:t>h,g</w:t>
      </w:r>
      <w:proofErr w:type="spellEnd"/>
      <w:r w:rsidRPr="00E56598">
        <w:rPr>
          <w:color w:val="000000"/>
        </w:rPr>
        <w:t xml:space="preserve"> supplied to the metered and guarded sections, respectively. The current flowing through the resistive wires heated the hot plate due to Joule heating. The generated heat imposed a heat transfer rate between the hot and cold plates such that, under steady state, it equaled the heat generation rate, i.e., </w:t>
      </w:r>
      <m:oMath>
        <m:sSub>
          <m:sSubPr>
            <m:ctrlPr>
              <w:rPr>
                <w:rFonts w:ascii="Cambria Math" w:hAnsi="Cambria Math"/>
                <w:i/>
                <w:color w:val="000000"/>
              </w:rPr>
            </m:ctrlPr>
          </m:sSubPr>
          <m:e>
            <m:acc>
              <m:accPr>
                <m:chr m:val="̇"/>
                <m:ctrlPr>
                  <w:rPr>
                    <w:rFonts w:ascii="Cambria Math" w:hAnsi="Cambria Math"/>
                    <w:i/>
                    <w:color w:val="000000"/>
                  </w:rPr>
                </m:ctrlPr>
              </m:accPr>
              <m:e>
                <m:r>
                  <w:rPr>
                    <w:rFonts w:ascii="STIXGeneral-Regular" w:hAnsi="STIXGeneral-Regular" w:cs="STIXGeneral-Regular"/>
                    <w:color w:val="000000"/>
                  </w:rPr>
                  <m:t>q</m:t>
                </m:r>
              </m:e>
            </m:acc>
          </m:e>
          <m:sub>
            <m:r>
              <w:rPr>
                <w:rFonts w:ascii="STIXGeneral-Regular" w:hAnsi="STIXGeneral-Regular" w:cs="STIXGeneral-Regular"/>
                <w:color w:val="000000"/>
              </w:rPr>
              <m:t>m</m:t>
            </m:r>
          </m:sub>
        </m:sSub>
        <m:r>
          <w:rPr>
            <w:rFonts w:ascii="Cambria Math" w:hAnsi="Cambria Math"/>
            <w:color w:val="000000"/>
          </w:rPr>
          <m:t xml:space="preserve"> =</m:t>
        </m:r>
        <m:f>
          <m:fPr>
            <m:type m:val="lin"/>
            <m:ctrlPr>
              <w:rPr>
                <w:rFonts w:ascii="Cambria Math" w:hAnsi="Cambria Math"/>
                <w:i/>
                <w:color w:val="000000"/>
              </w:rPr>
            </m:ctrlPr>
          </m:fPr>
          <m:num>
            <m:sSub>
              <m:sSubPr>
                <m:ctrlPr>
                  <w:rPr>
                    <w:rFonts w:ascii="Cambria Math" w:hAnsi="Cambria Math"/>
                    <w:i/>
                    <w:color w:val="000000"/>
                  </w:rPr>
                </m:ctrlPr>
              </m:sSubPr>
              <m:e>
                <m:r>
                  <w:rPr>
                    <w:rFonts w:ascii="STIXGeneral-Regular" w:hAnsi="STIXGeneral-Regular" w:cs="STIXGeneral-Regular"/>
                    <w:color w:val="000000"/>
                  </w:rPr>
                  <m:t>R</m:t>
                </m:r>
              </m:e>
              <m:sub>
                <m:r>
                  <w:rPr>
                    <w:rFonts w:ascii="Lucida Sans Unicode" w:hAnsi="Lucida Sans Unicode" w:cs="Lucida Sans Unicode"/>
                    <w:color w:val="000000"/>
                  </w:rPr>
                  <m:t>h</m:t>
                </m:r>
                <m:r>
                  <w:rPr>
                    <w:rFonts w:ascii="Cambria Math" w:hAnsi="Cambria Math"/>
                    <w:color w:val="000000"/>
                  </w:rPr>
                  <m:t>,</m:t>
                </m:r>
                <m:r>
                  <w:rPr>
                    <w:rFonts w:ascii="STIXGeneral-Regular" w:hAnsi="STIXGeneral-Regular" w:cs="STIXGeneral-Regular"/>
                    <w:color w:val="000000"/>
                  </w:rPr>
                  <m:t>m</m:t>
                </m:r>
              </m:sub>
            </m:sSub>
            <m:r>
              <w:rPr>
                <w:rFonts w:ascii="Cambria Math" w:hAnsi="Cambria Math"/>
                <w:color w:val="000000"/>
              </w:rPr>
              <m:t xml:space="preserve"> </m:t>
            </m:r>
            <m:sSubSup>
              <m:sSubSupPr>
                <m:ctrlPr>
                  <w:rPr>
                    <w:rFonts w:ascii="Cambria Math" w:hAnsi="Cambria Math"/>
                    <w:i/>
                    <w:color w:val="000000"/>
                  </w:rPr>
                </m:ctrlPr>
              </m:sSubSupPr>
              <m:e>
                <m:r>
                  <w:rPr>
                    <w:rFonts w:ascii="STIXGeneral-Regular" w:hAnsi="STIXGeneral-Regular" w:cs="STIXGeneral-Regular"/>
                    <w:color w:val="000000"/>
                  </w:rPr>
                  <m:t>I</m:t>
                </m:r>
              </m:e>
              <m:sub>
                <m:r>
                  <w:rPr>
                    <w:rFonts w:ascii="Lucida Sans Unicode" w:hAnsi="Lucida Sans Unicode" w:cs="Lucida Sans Unicode"/>
                    <w:color w:val="000000"/>
                  </w:rPr>
                  <m:t>h</m:t>
                </m:r>
                <m:r>
                  <w:rPr>
                    <w:rFonts w:ascii="Cambria Math" w:hAnsi="Cambria Math"/>
                    <w:color w:val="000000"/>
                  </w:rPr>
                  <m:t>,</m:t>
                </m:r>
                <m:r>
                  <w:rPr>
                    <w:rFonts w:ascii="STIXGeneral-Regular" w:hAnsi="STIXGeneral-Regular" w:cs="STIXGeneral-Regular"/>
                    <w:color w:val="000000"/>
                  </w:rPr>
                  <m:t>m</m:t>
                </m:r>
              </m:sub>
              <m:sup>
                <m:r>
                  <w:rPr>
                    <w:rFonts w:ascii="Cambria Math" w:hAnsi="Cambria Math"/>
                    <w:color w:val="000000"/>
                  </w:rPr>
                  <m:t>2</m:t>
                </m:r>
              </m:sup>
            </m:sSubSup>
          </m:num>
          <m:den>
            <m:sSub>
              <m:sSubPr>
                <m:ctrlPr>
                  <w:rPr>
                    <w:rFonts w:ascii="Cambria Math" w:hAnsi="Cambria Math"/>
                    <w:i/>
                    <w:color w:val="000000"/>
                  </w:rPr>
                </m:ctrlPr>
              </m:sSubPr>
              <m:e>
                <m:r>
                  <w:rPr>
                    <w:rFonts w:ascii="STIXGeneral-Regular" w:hAnsi="STIXGeneral-Regular" w:cs="STIXGeneral-Regular"/>
                    <w:color w:val="000000"/>
                  </w:rPr>
                  <m:t>A</m:t>
                </m:r>
              </m:e>
              <m:sub>
                <m:r>
                  <w:rPr>
                    <w:rFonts w:ascii="Lucida Sans Unicode" w:hAnsi="Lucida Sans Unicode" w:cs="Lucida Sans Unicode"/>
                    <w:color w:val="000000"/>
                  </w:rPr>
                  <m:t>h</m:t>
                </m:r>
                <m:r>
                  <w:rPr>
                    <w:rFonts w:ascii="Cambria Math" w:hAnsi="Cambria Math"/>
                    <w:color w:val="000000"/>
                  </w:rPr>
                  <m:t>,</m:t>
                </m:r>
                <m:r>
                  <w:rPr>
                    <w:rFonts w:ascii="STIXGeneral-Regular" w:hAnsi="STIXGeneral-Regular" w:cs="STIXGeneral-Regular"/>
                    <w:color w:val="000000"/>
                  </w:rPr>
                  <m:t>m</m:t>
                </m:r>
              </m:sub>
            </m:sSub>
          </m:den>
        </m:f>
      </m:oMath>
      <w:r w:rsidRPr="00E56598">
        <w:rPr>
          <w:color w:val="000000"/>
        </w:rPr>
        <w:t xml:space="preserve"> and </w:t>
      </w:r>
      <m:oMath>
        <m:sSub>
          <m:sSubPr>
            <m:ctrlPr>
              <w:rPr>
                <w:rFonts w:ascii="Cambria Math" w:hAnsi="Cambria Math"/>
                <w:i/>
                <w:color w:val="000000"/>
              </w:rPr>
            </m:ctrlPr>
          </m:sSubPr>
          <m:e>
            <m:acc>
              <m:accPr>
                <m:chr m:val="̇"/>
                <m:ctrlPr>
                  <w:rPr>
                    <w:rFonts w:ascii="Cambria Math" w:hAnsi="Cambria Math"/>
                    <w:i/>
                    <w:color w:val="000000"/>
                  </w:rPr>
                </m:ctrlPr>
              </m:accPr>
              <m:e>
                <m:r>
                  <w:rPr>
                    <w:rFonts w:ascii="STIXGeneral-Regular" w:hAnsi="STIXGeneral-Regular" w:cs="STIXGeneral-Regular"/>
                    <w:color w:val="000000"/>
                  </w:rPr>
                  <m:t>q</m:t>
                </m:r>
              </m:e>
            </m:acc>
          </m:e>
          <m:sub>
            <m:r>
              <w:rPr>
                <w:rFonts w:ascii="STIXGeneral-Regular" w:hAnsi="STIXGeneral-Regular" w:cs="STIXGeneral-Regular"/>
                <w:color w:val="000000"/>
              </w:rPr>
              <m:t>g</m:t>
            </m:r>
          </m:sub>
        </m:sSub>
        <m:r>
          <w:rPr>
            <w:rFonts w:ascii="Cambria Math" w:hAnsi="Cambria Math"/>
            <w:color w:val="000000"/>
          </w:rPr>
          <m:t xml:space="preserve"> =</m:t>
        </m:r>
        <m:f>
          <m:fPr>
            <m:type m:val="lin"/>
            <m:ctrlPr>
              <w:rPr>
                <w:rFonts w:ascii="Cambria Math" w:hAnsi="Cambria Math"/>
                <w:i/>
                <w:color w:val="000000"/>
              </w:rPr>
            </m:ctrlPr>
          </m:fPr>
          <m:num>
            <m:sSub>
              <m:sSubPr>
                <m:ctrlPr>
                  <w:rPr>
                    <w:rFonts w:ascii="Cambria Math" w:hAnsi="Cambria Math"/>
                    <w:i/>
                    <w:color w:val="000000"/>
                  </w:rPr>
                </m:ctrlPr>
              </m:sSubPr>
              <m:e>
                <m:r>
                  <w:rPr>
                    <w:rFonts w:ascii="STIXGeneral-Regular" w:hAnsi="STIXGeneral-Regular" w:cs="STIXGeneral-Regular"/>
                    <w:color w:val="000000"/>
                  </w:rPr>
                  <m:t>R</m:t>
                </m:r>
              </m:e>
              <m:sub>
                <m:r>
                  <w:rPr>
                    <w:rFonts w:ascii="Lucida Sans Unicode" w:hAnsi="Lucida Sans Unicode" w:cs="Lucida Sans Unicode"/>
                    <w:color w:val="000000"/>
                  </w:rPr>
                  <m:t>h</m:t>
                </m:r>
                <m:r>
                  <w:rPr>
                    <w:rFonts w:ascii="Cambria Math" w:hAnsi="Cambria Math"/>
                    <w:color w:val="000000"/>
                  </w:rPr>
                  <m:t>,</m:t>
                </m:r>
                <m:r>
                  <w:rPr>
                    <w:rFonts w:ascii="STIXGeneral-Regular" w:hAnsi="STIXGeneral-Regular" w:cs="STIXGeneral-Regular"/>
                    <w:color w:val="000000"/>
                  </w:rPr>
                  <m:t>g</m:t>
                </m:r>
              </m:sub>
            </m:sSub>
            <m:r>
              <w:rPr>
                <w:rFonts w:ascii="Cambria Math" w:hAnsi="Cambria Math"/>
                <w:color w:val="000000"/>
              </w:rPr>
              <m:t xml:space="preserve"> </m:t>
            </m:r>
            <m:sSubSup>
              <m:sSubSupPr>
                <m:ctrlPr>
                  <w:rPr>
                    <w:rFonts w:ascii="Cambria Math" w:hAnsi="Cambria Math"/>
                    <w:i/>
                    <w:color w:val="000000"/>
                  </w:rPr>
                </m:ctrlPr>
              </m:sSubSupPr>
              <m:e>
                <m:r>
                  <w:rPr>
                    <w:rFonts w:ascii="STIXGeneral-Regular" w:hAnsi="STIXGeneral-Regular" w:cs="STIXGeneral-Regular"/>
                    <w:color w:val="000000"/>
                  </w:rPr>
                  <m:t>I</m:t>
                </m:r>
              </m:e>
              <m:sub>
                <m:r>
                  <w:rPr>
                    <w:rFonts w:ascii="Lucida Sans Unicode" w:hAnsi="Lucida Sans Unicode" w:cs="Lucida Sans Unicode"/>
                    <w:color w:val="000000"/>
                  </w:rPr>
                  <m:t>h</m:t>
                </m:r>
                <m:r>
                  <w:rPr>
                    <w:rFonts w:ascii="Cambria Math" w:hAnsi="Cambria Math"/>
                    <w:color w:val="000000"/>
                  </w:rPr>
                  <m:t>,</m:t>
                </m:r>
                <m:r>
                  <w:rPr>
                    <w:rFonts w:ascii="STIXGeneral-Regular" w:hAnsi="STIXGeneral-Regular" w:cs="STIXGeneral-Regular"/>
                    <w:color w:val="000000"/>
                  </w:rPr>
                  <m:t>g</m:t>
                </m:r>
              </m:sub>
              <m:sup>
                <m:r>
                  <w:rPr>
                    <w:rFonts w:ascii="Cambria Math" w:hAnsi="Cambria Math"/>
                    <w:color w:val="000000"/>
                  </w:rPr>
                  <m:t>2</m:t>
                </m:r>
              </m:sup>
            </m:sSubSup>
          </m:num>
          <m:den>
            <m:sSub>
              <m:sSubPr>
                <m:ctrlPr>
                  <w:rPr>
                    <w:rFonts w:ascii="Cambria Math" w:hAnsi="Cambria Math"/>
                    <w:i/>
                    <w:color w:val="000000"/>
                  </w:rPr>
                </m:ctrlPr>
              </m:sSubPr>
              <m:e>
                <m:r>
                  <w:rPr>
                    <w:rFonts w:ascii="STIXGeneral-Regular" w:hAnsi="STIXGeneral-Regular" w:cs="STIXGeneral-Regular"/>
                    <w:color w:val="000000"/>
                  </w:rPr>
                  <m:t>A</m:t>
                </m:r>
              </m:e>
              <m:sub>
                <m:r>
                  <w:rPr>
                    <w:rFonts w:ascii="Lucida Sans Unicode" w:hAnsi="Lucida Sans Unicode" w:cs="Lucida Sans Unicode"/>
                    <w:color w:val="000000"/>
                  </w:rPr>
                  <m:t>h</m:t>
                </m:r>
                <m:r>
                  <w:rPr>
                    <w:rFonts w:ascii="Cambria Math" w:hAnsi="Cambria Math"/>
                    <w:color w:val="000000"/>
                  </w:rPr>
                  <m:t>,</m:t>
                </m:r>
                <m:r>
                  <w:rPr>
                    <w:rFonts w:ascii="STIXGeneral-Regular" w:hAnsi="STIXGeneral-Regular" w:cs="STIXGeneral-Regular"/>
                    <w:color w:val="000000"/>
                  </w:rPr>
                  <m:t>g</m:t>
                </m:r>
              </m:sub>
            </m:sSub>
          </m:den>
        </m:f>
      </m:oMath>
      <w:r w:rsidRPr="00E56598">
        <w:rPr>
          <w:color w:val="000000"/>
        </w:rPr>
        <w:t xml:space="preserve">. The temperatures </w:t>
      </w:r>
      <w:r w:rsidRPr="00E56598">
        <w:rPr>
          <w:i/>
          <w:color w:val="000000"/>
        </w:rPr>
        <w:t>T</w:t>
      </w:r>
      <w:r w:rsidRPr="00E56598">
        <w:rPr>
          <w:i/>
          <w:color w:val="000000"/>
          <w:vertAlign w:val="subscript"/>
        </w:rPr>
        <w:t>c</w:t>
      </w:r>
      <w:r w:rsidRPr="00E56598">
        <w:rPr>
          <w:color w:val="000000"/>
        </w:rPr>
        <w:t xml:space="preserve"> and </w:t>
      </w:r>
      <w:proofErr w:type="spellStart"/>
      <w:proofErr w:type="gramStart"/>
      <w:r w:rsidRPr="00E56598">
        <w:rPr>
          <w:i/>
          <w:color w:val="000000"/>
        </w:rPr>
        <w:t>T</w:t>
      </w:r>
      <w:r w:rsidRPr="00E56598">
        <w:rPr>
          <w:i/>
          <w:color w:val="000000"/>
          <w:vertAlign w:val="subscript"/>
        </w:rPr>
        <w:t>h,m</w:t>
      </w:r>
      <w:proofErr w:type="spellEnd"/>
      <w:proofErr w:type="gramEnd"/>
      <w:r w:rsidRPr="00E56598">
        <w:rPr>
          <w:color w:val="000000"/>
        </w:rPr>
        <w:t xml:space="preserve"> were adjusted to maintain the average temperature of the measurement at room temperature. The effective thermal conductivity was calculated using </w:t>
      </w:r>
      <w:r w:rsidRPr="00E56598">
        <w:rPr>
          <w:color w:val="000000"/>
        </w:rPr>
        <w:lastRenderedPageBreak/>
        <w:t xml:space="preserve">Fourier's law expressed as </w:t>
      </w:r>
      <m:oMath>
        <m:sSub>
          <m:sSubPr>
            <m:ctrlPr>
              <w:rPr>
                <w:rFonts w:ascii="Cambria Math" w:hAnsi="Cambria Math"/>
                <w:i/>
                <w:color w:val="000000"/>
              </w:rPr>
            </m:ctrlPr>
          </m:sSubPr>
          <m:e>
            <m:r>
              <w:rPr>
                <w:rFonts w:ascii="STIXGeneral-Regular" w:hAnsi="STIXGeneral-Regular" w:cs="STIXGeneral-Regular"/>
                <w:color w:val="000000"/>
              </w:rPr>
              <m:t>κ</m:t>
            </m:r>
          </m:e>
          <m:sub>
            <m:r>
              <w:rPr>
                <w:rFonts w:ascii="STIXGeneral-Regular" w:hAnsi="STIXGeneral-Regular" w:cs="STIXGeneral-Regular"/>
                <w:color w:val="000000"/>
              </w:rPr>
              <m:t>eff</m:t>
            </m:r>
          </m:sub>
        </m:sSub>
        <m:r>
          <w:rPr>
            <w:rFonts w:ascii="Cambria Math" w:hAnsi="Cambria Math"/>
            <w:color w:val="000000"/>
          </w:rPr>
          <m:t>=</m:t>
        </m:r>
        <m:f>
          <m:fPr>
            <m:type m:val="lin"/>
            <m:ctrlPr>
              <w:rPr>
                <w:rFonts w:ascii="Cambria Math" w:hAnsi="Cambria Math"/>
                <w:i/>
                <w:color w:val="000000"/>
              </w:rPr>
            </m:ctrlPr>
          </m:fPr>
          <m:num>
            <m:sSub>
              <m:sSubPr>
                <m:ctrlPr>
                  <w:rPr>
                    <w:rFonts w:ascii="Cambria Math" w:hAnsi="Cambria Math"/>
                    <w:i/>
                    <w:color w:val="000000"/>
                  </w:rPr>
                </m:ctrlPr>
              </m:sSubPr>
              <m:e>
                <m:acc>
                  <m:accPr>
                    <m:chr m:val="̇"/>
                    <m:ctrlPr>
                      <w:rPr>
                        <w:rFonts w:ascii="Cambria Math" w:hAnsi="Cambria Math"/>
                        <w:i/>
                        <w:color w:val="000000"/>
                      </w:rPr>
                    </m:ctrlPr>
                  </m:accPr>
                  <m:e>
                    <m:r>
                      <w:rPr>
                        <w:rFonts w:ascii="STIXGeneral-Regular" w:hAnsi="STIXGeneral-Regular" w:cs="STIXGeneral-Regular"/>
                        <w:color w:val="000000"/>
                      </w:rPr>
                      <m:t>q</m:t>
                    </m:r>
                  </m:e>
                </m:acc>
              </m:e>
              <m:sub>
                <m:r>
                  <w:rPr>
                    <w:rFonts w:ascii="STIXGeneral-Regular" w:hAnsi="STIXGeneral-Regular" w:cs="STIXGeneral-Regular"/>
                    <w:color w:val="000000"/>
                  </w:rPr>
                  <m:t>m</m:t>
                </m:r>
              </m:sub>
            </m:sSub>
            <m:r>
              <w:rPr>
                <w:rFonts w:ascii="STIXGeneral-Regular" w:hAnsi="STIXGeneral-Regular" w:cs="STIXGeneral-Regular"/>
                <w:color w:val="000000"/>
              </w:rPr>
              <m:t>t</m:t>
            </m:r>
          </m:num>
          <m:den>
            <m:d>
              <m:dPr>
                <m:ctrlPr>
                  <w:rPr>
                    <w:rFonts w:ascii="Cambria Math" w:hAnsi="Cambria Math"/>
                    <w:i/>
                    <w:color w:val="000000"/>
                  </w:rPr>
                </m:ctrlPr>
              </m:dPr>
              <m:e>
                <m:sSub>
                  <m:sSubPr>
                    <m:ctrlPr>
                      <w:rPr>
                        <w:rFonts w:ascii="Cambria Math" w:hAnsi="Cambria Math"/>
                        <w:i/>
                        <w:color w:val="000000"/>
                      </w:rPr>
                    </m:ctrlPr>
                  </m:sSubPr>
                  <m:e>
                    <m:r>
                      <w:rPr>
                        <w:rFonts w:ascii="STIXGeneral-Regular" w:hAnsi="STIXGeneral-Regular" w:cs="STIXGeneral-Regular"/>
                        <w:color w:val="000000"/>
                      </w:rPr>
                      <m:t>T</m:t>
                    </m:r>
                  </m:e>
                  <m:sub>
                    <m:r>
                      <w:rPr>
                        <w:rFonts w:ascii="Lucida Sans Unicode" w:hAnsi="Lucida Sans Unicode" w:cs="Lucida Sans Unicode"/>
                        <w:color w:val="000000"/>
                      </w:rPr>
                      <m:t>h</m:t>
                    </m:r>
                    <m:r>
                      <w:rPr>
                        <w:rFonts w:ascii="Cambria Math" w:hAnsi="Cambria Math"/>
                        <w:color w:val="000000"/>
                      </w:rPr>
                      <m:t>,</m:t>
                    </m:r>
                    <m:r>
                      <w:rPr>
                        <w:rFonts w:ascii="STIXGeneral-Regular" w:hAnsi="STIXGeneral-Regular" w:cs="STIXGeneral-Regular"/>
                        <w:color w:val="000000"/>
                      </w:rPr>
                      <m:t>m</m:t>
                    </m:r>
                  </m:sub>
                </m:sSub>
                <m:r>
                  <w:rPr>
                    <w:rFonts w:ascii="Cambria Math" w:hAnsi="Cambria Math"/>
                    <w:color w:val="000000"/>
                  </w:rPr>
                  <m:t>-</m:t>
                </m:r>
                <m:sSub>
                  <m:sSubPr>
                    <m:ctrlPr>
                      <w:rPr>
                        <w:rFonts w:ascii="Cambria Math" w:hAnsi="Cambria Math"/>
                        <w:i/>
                        <w:color w:val="000000"/>
                      </w:rPr>
                    </m:ctrlPr>
                  </m:sSubPr>
                  <m:e>
                    <m:r>
                      <w:rPr>
                        <w:rFonts w:ascii="STIXGeneral-Regular" w:hAnsi="STIXGeneral-Regular" w:cs="STIXGeneral-Regular"/>
                        <w:color w:val="000000"/>
                      </w:rPr>
                      <m:t>T</m:t>
                    </m:r>
                  </m:e>
                  <m:sub>
                    <m:r>
                      <w:rPr>
                        <w:rFonts w:ascii="STIXGeneral-Regular" w:hAnsi="STIXGeneral-Regular" w:cs="STIXGeneral-Regular"/>
                        <w:color w:val="000000"/>
                      </w:rPr>
                      <m:t>c</m:t>
                    </m:r>
                  </m:sub>
                </m:sSub>
              </m:e>
            </m:d>
          </m:den>
        </m:f>
      </m:oMath>
      <w:r w:rsidRPr="00E56598">
        <w:rPr>
          <w:color w:val="000000"/>
        </w:rPr>
        <w:t xml:space="preserve">. The setup was described in detail in previous </w:t>
      </w:r>
      <w:proofErr w:type="gramStart"/>
      <w:r w:rsidRPr="00E56598">
        <w:rPr>
          <w:color w:val="000000"/>
        </w:rPr>
        <w:t>work, but</w:t>
      </w:r>
      <w:proofErr w:type="gramEnd"/>
      <w:r w:rsidRPr="00E56598">
        <w:rPr>
          <w:color w:val="000000"/>
        </w:rPr>
        <w:t xml:space="preserve"> used in double-sided mode instead of the single-sided mode used in the present study</w:t>
      </w:r>
      <w:r w:rsidR="000C3BDF" w:rsidRPr="00D80563">
        <w:rPr>
          <w:color w:val="000000"/>
        </w:rPr>
        <w:t>.</w:t>
      </w:r>
      <w:r w:rsidR="005D7D69" w:rsidRPr="005D7D69">
        <w:rPr>
          <w:color w:val="000000"/>
          <w:vertAlign w:val="superscript"/>
        </w:rPr>
        <w:t>33</w:t>
      </w:r>
    </w:p>
    <w:p w14:paraId="23382296" w14:textId="77777777" w:rsidR="0017782D" w:rsidRPr="00E56598" w:rsidRDefault="0017782D" w:rsidP="0017782D">
      <w:pPr>
        <w:spacing w:line="480" w:lineRule="auto"/>
      </w:pPr>
    </w:p>
    <w:p w14:paraId="594F67BD" w14:textId="2565623C" w:rsidR="0017782D" w:rsidRPr="00B61BD6" w:rsidRDefault="0017782D" w:rsidP="00B61BD6">
      <w:pPr>
        <w:tabs>
          <w:tab w:val="left" w:pos="3576"/>
        </w:tabs>
        <w:spacing w:line="480" w:lineRule="auto"/>
        <w:rPr>
          <w:b/>
          <w:bCs/>
        </w:rPr>
      </w:pPr>
      <w:r w:rsidRPr="00E56598">
        <w:rPr>
          <w:b/>
          <w:bCs/>
        </w:rPr>
        <w:t>Supplemental References</w:t>
      </w:r>
      <w:r w:rsidRPr="00E56598">
        <w:rPr>
          <w:b/>
          <w:bCs/>
        </w:rPr>
        <w:tab/>
      </w:r>
    </w:p>
    <w:p w14:paraId="1A759835" w14:textId="193074EC" w:rsidR="005D7D69" w:rsidRPr="00E741A9" w:rsidRDefault="005D7D69" w:rsidP="005D7D69">
      <w:pPr>
        <w:pStyle w:val="Bibliography"/>
      </w:pPr>
      <w:r w:rsidRPr="00E741A9">
        <w:t xml:space="preserve">(1) </w:t>
      </w:r>
      <w:r w:rsidRPr="00E741A9">
        <w:tab/>
        <w:t>Scherer, G. W.</w:t>
      </w:r>
      <w:r w:rsidR="00E741A9">
        <w:t>:</w:t>
      </w:r>
      <w:r w:rsidRPr="00E741A9">
        <w:t xml:space="preserve"> Theory of Drying. </w:t>
      </w:r>
      <w:r w:rsidRPr="00E741A9">
        <w:rPr>
          <w:i/>
          <w:iCs/>
        </w:rPr>
        <w:t>J. Am. Ceram. Soc.</w:t>
      </w:r>
      <w:r w:rsidRPr="00E741A9">
        <w:t xml:space="preserve">, </w:t>
      </w:r>
      <w:r w:rsidRPr="00E741A9">
        <w:rPr>
          <w:b/>
          <w:bCs/>
        </w:rPr>
        <w:t>73</w:t>
      </w:r>
      <w:r w:rsidRPr="00E741A9">
        <w:t xml:space="preserve"> (1), 3–</w:t>
      </w:r>
      <w:proofErr w:type="gramStart"/>
      <w:r w:rsidRPr="00E741A9">
        <w:t>14</w:t>
      </w:r>
      <w:r w:rsidR="00E741A9">
        <w:t xml:space="preserve"> </w:t>
      </w:r>
      <w:r w:rsidR="00E741A9" w:rsidRPr="00E741A9">
        <w:t xml:space="preserve"> </w:t>
      </w:r>
      <w:r w:rsidR="00E741A9">
        <w:t>(</w:t>
      </w:r>
      <w:proofErr w:type="gramEnd"/>
      <w:r w:rsidR="00E741A9" w:rsidRPr="00E741A9">
        <w:t>1990</w:t>
      </w:r>
      <w:r w:rsidR="00E741A9">
        <w:t>)</w:t>
      </w:r>
      <w:r w:rsidRPr="00E741A9">
        <w:t xml:space="preserve">. </w:t>
      </w:r>
    </w:p>
    <w:p w14:paraId="2C5CEDD1" w14:textId="4C5E45B1" w:rsidR="005D7D69" w:rsidRPr="00E741A9" w:rsidRDefault="005D7D69" w:rsidP="005D7D69">
      <w:pPr>
        <w:pStyle w:val="Bibliography"/>
      </w:pPr>
      <w:r w:rsidRPr="00E741A9">
        <w:t xml:space="preserve">(2) </w:t>
      </w:r>
      <w:r w:rsidRPr="00E741A9">
        <w:tab/>
      </w:r>
      <w:proofErr w:type="spellStart"/>
      <w:r w:rsidRPr="00E741A9">
        <w:t>Harreld</w:t>
      </w:r>
      <w:proofErr w:type="spellEnd"/>
      <w:r w:rsidRPr="00E741A9">
        <w:t>, J. H.</w:t>
      </w:r>
      <w:r w:rsidR="00E741A9">
        <w:t>,</w:t>
      </w:r>
      <w:r w:rsidRPr="00E741A9">
        <w:t xml:space="preserve"> Dong, W.</w:t>
      </w:r>
      <w:r w:rsidR="00E741A9">
        <w:t>,</w:t>
      </w:r>
      <w:r w:rsidRPr="00E741A9">
        <w:t xml:space="preserve"> Dunn, B.</w:t>
      </w:r>
      <w:r w:rsidR="00E741A9">
        <w:t>:</w:t>
      </w:r>
      <w:r w:rsidRPr="00E741A9">
        <w:t xml:space="preserve"> Ambient Pressure Synthesis of Aerogel-Like Vanadium Oxide and Molybdenum Oxide. </w:t>
      </w:r>
      <w:r w:rsidRPr="00E741A9">
        <w:rPr>
          <w:i/>
          <w:iCs/>
        </w:rPr>
        <w:t>Mater. Res. Bull.</w:t>
      </w:r>
      <w:r w:rsidRPr="00E741A9">
        <w:t xml:space="preserve"> 1998, </w:t>
      </w:r>
      <w:r w:rsidRPr="00E741A9">
        <w:rPr>
          <w:i/>
          <w:iCs/>
        </w:rPr>
        <w:t>33</w:t>
      </w:r>
      <w:r w:rsidRPr="00E741A9">
        <w:t xml:space="preserve"> (4), 561–567. </w:t>
      </w:r>
    </w:p>
    <w:p w14:paraId="041C2620" w14:textId="5AF6FF5A" w:rsidR="005D7D69" w:rsidRPr="00E741A9" w:rsidRDefault="005D7D69" w:rsidP="005D7D69">
      <w:pPr>
        <w:pStyle w:val="Bibliography"/>
      </w:pPr>
      <w:r w:rsidRPr="00E741A9">
        <w:t xml:space="preserve">(3) </w:t>
      </w:r>
      <w:r w:rsidRPr="00E741A9">
        <w:tab/>
      </w:r>
      <w:proofErr w:type="spellStart"/>
      <w:r w:rsidRPr="00E741A9">
        <w:t>Rolison</w:t>
      </w:r>
      <w:proofErr w:type="spellEnd"/>
      <w:r w:rsidRPr="00E741A9">
        <w:t>, D. R.</w:t>
      </w:r>
      <w:r w:rsidR="00E741A9">
        <w:t>,</w:t>
      </w:r>
      <w:r w:rsidRPr="00E741A9">
        <w:t xml:space="preserve"> Dunn, B.</w:t>
      </w:r>
      <w:r w:rsidR="00E741A9">
        <w:t>:</w:t>
      </w:r>
      <w:r w:rsidRPr="00E741A9">
        <w:t xml:space="preserve"> Electrically Conductive Oxide Aerogels: New Materials in Electrochemistry. </w:t>
      </w:r>
      <w:r w:rsidRPr="00E741A9">
        <w:rPr>
          <w:i/>
          <w:iCs/>
        </w:rPr>
        <w:t>J. Mater. Chem.</w:t>
      </w:r>
      <w:r w:rsidRPr="00E741A9">
        <w:t xml:space="preserve">, </w:t>
      </w:r>
      <w:r w:rsidRPr="00E741A9">
        <w:rPr>
          <w:b/>
          <w:bCs/>
        </w:rPr>
        <w:t>11</w:t>
      </w:r>
      <w:r w:rsidRPr="00E741A9">
        <w:t xml:space="preserve"> (4), 963–980</w:t>
      </w:r>
      <w:r w:rsidR="00E741A9">
        <w:t xml:space="preserve"> (</w:t>
      </w:r>
      <w:r w:rsidR="00E741A9" w:rsidRPr="00E741A9">
        <w:t>2001</w:t>
      </w:r>
      <w:r w:rsidR="00E741A9">
        <w:t>)</w:t>
      </w:r>
      <w:r w:rsidRPr="00E741A9">
        <w:t xml:space="preserve">. </w:t>
      </w:r>
    </w:p>
    <w:p w14:paraId="46EF39C5" w14:textId="50AF066C" w:rsidR="005D7D69" w:rsidRPr="00E741A9" w:rsidRDefault="005D7D69" w:rsidP="005D7D69">
      <w:pPr>
        <w:pStyle w:val="Bibliography"/>
      </w:pPr>
      <w:r w:rsidRPr="00E741A9">
        <w:t xml:space="preserve">(4) </w:t>
      </w:r>
      <w:r w:rsidRPr="00E741A9">
        <w:tab/>
        <w:t>Dong, W.</w:t>
      </w:r>
      <w:r w:rsidR="00E741A9">
        <w:t>:</w:t>
      </w:r>
      <w:r w:rsidRPr="00E741A9">
        <w:t xml:space="preserve"> Electrochemical Properties of High Surface Area Vanadium Oxide Aerogels. </w:t>
      </w:r>
      <w:proofErr w:type="spellStart"/>
      <w:r w:rsidRPr="00E741A9">
        <w:rPr>
          <w:i/>
          <w:iCs/>
        </w:rPr>
        <w:t>Electrochem</w:t>
      </w:r>
      <w:proofErr w:type="spellEnd"/>
      <w:r w:rsidRPr="00E741A9">
        <w:rPr>
          <w:i/>
          <w:iCs/>
        </w:rPr>
        <w:t>. Solid-State Lett.</w:t>
      </w:r>
      <w:r w:rsidRPr="00E741A9">
        <w:t xml:space="preserve">, </w:t>
      </w:r>
      <w:r w:rsidRPr="00E741A9">
        <w:rPr>
          <w:b/>
          <w:bCs/>
        </w:rPr>
        <w:t>3</w:t>
      </w:r>
      <w:r w:rsidRPr="00E741A9">
        <w:t xml:space="preserve"> (10), 457</w:t>
      </w:r>
      <w:r w:rsidR="00E741A9">
        <w:t xml:space="preserve"> (</w:t>
      </w:r>
      <w:r w:rsidR="00E741A9" w:rsidRPr="00E741A9">
        <w:t>1999</w:t>
      </w:r>
      <w:r w:rsidR="00E741A9">
        <w:t>)</w:t>
      </w:r>
      <w:r w:rsidRPr="00E741A9">
        <w:t xml:space="preserve">. </w:t>
      </w:r>
    </w:p>
    <w:p w14:paraId="6288117B" w14:textId="4EF6C3A2" w:rsidR="005D7D69" w:rsidRPr="00E741A9" w:rsidRDefault="005D7D69" w:rsidP="005D7D69">
      <w:pPr>
        <w:pStyle w:val="Bibliography"/>
      </w:pPr>
      <w:r w:rsidRPr="00E741A9">
        <w:t xml:space="preserve">(5) </w:t>
      </w:r>
      <w:r w:rsidRPr="00E741A9">
        <w:tab/>
        <w:t>Brinker, C. J.</w:t>
      </w:r>
      <w:r w:rsidR="00E741A9">
        <w:t>,</w:t>
      </w:r>
      <w:r w:rsidRPr="00E741A9">
        <w:t xml:space="preserve"> Scherer, G. W.</w:t>
      </w:r>
      <w:r w:rsidR="00E741A9">
        <w:t>:</w:t>
      </w:r>
      <w:r w:rsidRPr="00E741A9">
        <w:t xml:space="preserve"> </w:t>
      </w:r>
      <w:r w:rsidRPr="00E741A9">
        <w:rPr>
          <w:i/>
          <w:iCs/>
        </w:rPr>
        <w:t>Sol-Gel Science: The Physics and Chemistry of Sol-Gel Processing</w:t>
      </w:r>
      <w:r w:rsidRPr="00E741A9">
        <w:t xml:space="preserve"> </w:t>
      </w:r>
      <w:r w:rsidR="00E741A9">
        <w:t>(</w:t>
      </w:r>
      <w:r w:rsidRPr="00E741A9">
        <w:t>Academic Press: Boston, 1990</w:t>
      </w:r>
      <w:r w:rsidR="00E741A9">
        <w:t>)</w:t>
      </w:r>
      <w:r w:rsidRPr="00E741A9">
        <w:t>.</w:t>
      </w:r>
    </w:p>
    <w:p w14:paraId="19139080" w14:textId="302D6971" w:rsidR="005D7D69" w:rsidRPr="00E741A9" w:rsidRDefault="005D7D69" w:rsidP="005D7D69">
      <w:pPr>
        <w:pStyle w:val="Bibliography"/>
      </w:pPr>
      <w:r w:rsidRPr="00E741A9">
        <w:t xml:space="preserve">(6) </w:t>
      </w:r>
      <w:r w:rsidRPr="00E741A9">
        <w:tab/>
      </w:r>
      <w:proofErr w:type="spellStart"/>
      <w:r w:rsidRPr="00E741A9">
        <w:t>Harreld</w:t>
      </w:r>
      <w:proofErr w:type="spellEnd"/>
      <w:r w:rsidRPr="00E741A9">
        <w:t>, J. H.</w:t>
      </w:r>
      <w:r w:rsidR="00E741A9">
        <w:t>,</w:t>
      </w:r>
      <w:r w:rsidRPr="00E741A9">
        <w:t xml:space="preserve"> </w:t>
      </w:r>
      <w:proofErr w:type="spellStart"/>
      <w:r w:rsidRPr="00E741A9">
        <w:t>Ebina</w:t>
      </w:r>
      <w:proofErr w:type="spellEnd"/>
      <w:r w:rsidRPr="00E741A9">
        <w:t>, T.</w:t>
      </w:r>
      <w:r w:rsidR="00E741A9">
        <w:t>,</w:t>
      </w:r>
      <w:r w:rsidRPr="00E741A9">
        <w:t xml:space="preserve"> Tsubo, N.</w:t>
      </w:r>
      <w:r w:rsidR="00E741A9">
        <w:t>,</w:t>
      </w:r>
      <w:r w:rsidRPr="00E741A9">
        <w:t xml:space="preserve"> Stucky, G.</w:t>
      </w:r>
      <w:r w:rsidR="00E741A9">
        <w:t>:</w:t>
      </w:r>
      <w:r w:rsidRPr="00E741A9">
        <w:t xml:space="preserve"> Manipulation of Pore Size Distributions in Silica and </w:t>
      </w:r>
      <w:proofErr w:type="spellStart"/>
      <w:r w:rsidRPr="00E741A9">
        <w:t>Ormosil</w:t>
      </w:r>
      <w:proofErr w:type="spellEnd"/>
      <w:r w:rsidRPr="00E741A9">
        <w:t xml:space="preserve"> Gels Dried under Ambient Pressure Conditions. </w:t>
      </w:r>
      <w:r w:rsidRPr="00E741A9">
        <w:rPr>
          <w:i/>
          <w:iCs/>
        </w:rPr>
        <w:t>J. Non-</w:t>
      </w:r>
      <w:proofErr w:type="spellStart"/>
      <w:r w:rsidRPr="00E741A9">
        <w:rPr>
          <w:i/>
          <w:iCs/>
        </w:rPr>
        <w:t>Cryst</w:t>
      </w:r>
      <w:proofErr w:type="spellEnd"/>
      <w:r w:rsidRPr="00E741A9">
        <w:rPr>
          <w:i/>
          <w:iCs/>
        </w:rPr>
        <w:t>. Solids</w:t>
      </w:r>
      <w:r w:rsidRPr="00E741A9">
        <w:t xml:space="preserve">, </w:t>
      </w:r>
      <w:r w:rsidRPr="00E741A9">
        <w:rPr>
          <w:b/>
          <w:bCs/>
        </w:rPr>
        <w:t>298</w:t>
      </w:r>
      <w:r w:rsidRPr="00E741A9">
        <w:t xml:space="preserve"> (2–3), 241–251</w:t>
      </w:r>
      <w:r w:rsidR="00E741A9">
        <w:t xml:space="preserve"> (</w:t>
      </w:r>
      <w:r w:rsidR="00E741A9" w:rsidRPr="00E741A9">
        <w:t>2002</w:t>
      </w:r>
      <w:r w:rsidR="00E741A9">
        <w:t>)</w:t>
      </w:r>
      <w:r w:rsidRPr="00E741A9">
        <w:t xml:space="preserve">. </w:t>
      </w:r>
    </w:p>
    <w:p w14:paraId="1E9B38CC" w14:textId="2E4A064F" w:rsidR="005D7D69" w:rsidRPr="00E741A9" w:rsidRDefault="005D7D69" w:rsidP="005D7D69">
      <w:pPr>
        <w:pStyle w:val="Bibliography"/>
      </w:pPr>
      <w:r w:rsidRPr="00E741A9">
        <w:t xml:space="preserve">(7) </w:t>
      </w:r>
      <w:r w:rsidRPr="00E741A9">
        <w:tab/>
        <w:t>Wei, T.-Y.</w:t>
      </w:r>
      <w:r w:rsidR="00E741A9">
        <w:t>,</w:t>
      </w:r>
      <w:r w:rsidRPr="00E741A9">
        <w:t xml:space="preserve"> Chang, T.-F.</w:t>
      </w:r>
      <w:r w:rsidR="00E741A9">
        <w:t>,</w:t>
      </w:r>
      <w:r w:rsidRPr="00E741A9">
        <w:t xml:space="preserve"> Lu, S.-Y.</w:t>
      </w:r>
      <w:r w:rsidR="00E741A9">
        <w:t>,</w:t>
      </w:r>
      <w:r w:rsidRPr="00E741A9">
        <w:t xml:space="preserve"> Chang, Y.-C.</w:t>
      </w:r>
      <w:r w:rsidR="00E741A9">
        <w:t>:</w:t>
      </w:r>
      <w:r w:rsidRPr="00E741A9">
        <w:t xml:space="preserve"> Preparation of Monolithic Silica Aerogel of Low Thermal Conductivity by Ambient Pressure Drying. </w:t>
      </w:r>
      <w:r w:rsidRPr="00E741A9">
        <w:rPr>
          <w:i/>
          <w:iCs/>
        </w:rPr>
        <w:t>J. Am. Ceram. Soc.</w:t>
      </w:r>
      <w:r w:rsidRPr="00E741A9">
        <w:t xml:space="preserve">, </w:t>
      </w:r>
      <w:r w:rsidRPr="00E741A9">
        <w:rPr>
          <w:b/>
          <w:bCs/>
        </w:rPr>
        <w:t>90</w:t>
      </w:r>
      <w:r w:rsidRPr="00E741A9">
        <w:t xml:space="preserve"> (7), 2003–2007</w:t>
      </w:r>
      <w:r w:rsidR="00E741A9">
        <w:t xml:space="preserve"> (</w:t>
      </w:r>
      <w:r w:rsidR="00E741A9" w:rsidRPr="00E741A9">
        <w:t>2007</w:t>
      </w:r>
      <w:r w:rsidR="00E741A9">
        <w:t>)</w:t>
      </w:r>
      <w:r w:rsidRPr="00E741A9">
        <w:t>.</w:t>
      </w:r>
    </w:p>
    <w:p w14:paraId="43DEA9B9" w14:textId="09013588" w:rsidR="005D7D69" w:rsidRPr="00E741A9" w:rsidRDefault="005D7D69" w:rsidP="005D7D69">
      <w:pPr>
        <w:pStyle w:val="Bibliography"/>
      </w:pPr>
      <w:r w:rsidRPr="00E741A9">
        <w:t xml:space="preserve">(8) </w:t>
      </w:r>
      <w:r w:rsidRPr="00E741A9">
        <w:tab/>
      </w:r>
      <w:proofErr w:type="spellStart"/>
      <w:r w:rsidRPr="00E741A9">
        <w:t>Venkateswara</w:t>
      </w:r>
      <w:proofErr w:type="spellEnd"/>
      <w:r w:rsidRPr="00E741A9">
        <w:t xml:space="preserve"> Rao, A.</w:t>
      </w:r>
      <w:r w:rsidR="00E741A9">
        <w:t>,</w:t>
      </w:r>
      <w:r w:rsidRPr="00E741A9">
        <w:t xml:space="preserve"> Nilsen, E.</w:t>
      </w:r>
      <w:r w:rsidR="00E741A9">
        <w:t>,</w:t>
      </w:r>
      <w:r w:rsidRPr="00E741A9">
        <w:t xml:space="preserve"> </w:t>
      </w:r>
      <w:proofErr w:type="spellStart"/>
      <w:r w:rsidRPr="00E741A9">
        <w:t>Einarsrud</w:t>
      </w:r>
      <w:proofErr w:type="spellEnd"/>
      <w:r w:rsidRPr="00E741A9">
        <w:t>, M.-A.</w:t>
      </w:r>
      <w:r w:rsidR="00E741A9">
        <w:t>:</w:t>
      </w:r>
      <w:r w:rsidRPr="00E741A9">
        <w:t xml:space="preserve"> Effect of Precursors, Methylation Agents and Solvents on the Physicochemical Properties of Silica Aerogels Prepared by Atmospheric Pressure Drying Method. </w:t>
      </w:r>
      <w:r w:rsidRPr="00E741A9">
        <w:rPr>
          <w:i/>
          <w:iCs/>
        </w:rPr>
        <w:t>J. Non-</w:t>
      </w:r>
      <w:proofErr w:type="spellStart"/>
      <w:r w:rsidRPr="00E741A9">
        <w:rPr>
          <w:i/>
          <w:iCs/>
        </w:rPr>
        <w:t>Cryst</w:t>
      </w:r>
      <w:proofErr w:type="spellEnd"/>
      <w:r w:rsidRPr="00E741A9">
        <w:rPr>
          <w:i/>
          <w:iCs/>
        </w:rPr>
        <w:t>. Solids</w:t>
      </w:r>
      <w:r w:rsidRPr="00E741A9">
        <w:t xml:space="preserve">, </w:t>
      </w:r>
      <w:r w:rsidRPr="00E741A9">
        <w:rPr>
          <w:b/>
          <w:bCs/>
        </w:rPr>
        <w:t xml:space="preserve">296 </w:t>
      </w:r>
      <w:r w:rsidRPr="00E741A9">
        <w:t>(3), 165–171</w:t>
      </w:r>
      <w:r w:rsidR="00E741A9">
        <w:t xml:space="preserve"> (</w:t>
      </w:r>
      <w:r w:rsidR="00E741A9" w:rsidRPr="00E741A9">
        <w:t>2001</w:t>
      </w:r>
      <w:r w:rsidR="00E741A9">
        <w:t>)</w:t>
      </w:r>
      <w:r w:rsidRPr="00E741A9">
        <w:t xml:space="preserve">. </w:t>
      </w:r>
    </w:p>
    <w:p w14:paraId="50220036" w14:textId="23232445" w:rsidR="005D7D69" w:rsidRPr="00E741A9" w:rsidRDefault="005D7D69" w:rsidP="005D7D69">
      <w:pPr>
        <w:pStyle w:val="Bibliography"/>
      </w:pPr>
      <w:r w:rsidRPr="00E741A9">
        <w:t xml:space="preserve">(9) </w:t>
      </w:r>
      <w:r w:rsidRPr="00E741A9">
        <w:tab/>
      </w:r>
      <w:proofErr w:type="spellStart"/>
      <w:r w:rsidRPr="00E741A9">
        <w:t>Orcel</w:t>
      </w:r>
      <w:proofErr w:type="spellEnd"/>
      <w:r w:rsidRPr="00E741A9">
        <w:t>, G.</w:t>
      </w:r>
      <w:r w:rsidR="00E741A9">
        <w:t>,</w:t>
      </w:r>
      <w:r w:rsidRPr="00E741A9">
        <w:t xml:space="preserve"> Hench, L.</w:t>
      </w:r>
      <w:r w:rsidR="00E741A9">
        <w:t>:</w:t>
      </w:r>
      <w:r w:rsidRPr="00E741A9">
        <w:t xml:space="preserve"> Effect of Formamide Additive on the Chemistry of Silica Sol-Gels. </w:t>
      </w:r>
      <w:r w:rsidRPr="00E741A9">
        <w:rPr>
          <w:i/>
          <w:iCs/>
        </w:rPr>
        <w:t>J. Non-</w:t>
      </w:r>
      <w:proofErr w:type="spellStart"/>
      <w:r w:rsidRPr="00E741A9">
        <w:rPr>
          <w:i/>
          <w:iCs/>
        </w:rPr>
        <w:t>Cryst</w:t>
      </w:r>
      <w:proofErr w:type="spellEnd"/>
      <w:r w:rsidRPr="00E741A9">
        <w:rPr>
          <w:i/>
          <w:iCs/>
        </w:rPr>
        <w:t>. Solids</w:t>
      </w:r>
      <w:r w:rsidRPr="00E741A9">
        <w:t xml:space="preserve">, </w:t>
      </w:r>
      <w:r w:rsidRPr="00E741A9">
        <w:rPr>
          <w:b/>
          <w:bCs/>
        </w:rPr>
        <w:t>79</w:t>
      </w:r>
      <w:r w:rsidRPr="00E741A9">
        <w:t xml:space="preserve"> (1–2), 177–194</w:t>
      </w:r>
      <w:r w:rsidR="00E741A9">
        <w:t xml:space="preserve"> (</w:t>
      </w:r>
      <w:r w:rsidR="00E741A9" w:rsidRPr="00E741A9">
        <w:t>1986</w:t>
      </w:r>
      <w:r w:rsidR="00E741A9">
        <w:t>)</w:t>
      </w:r>
      <w:r w:rsidRPr="00E741A9">
        <w:t xml:space="preserve">. </w:t>
      </w:r>
    </w:p>
    <w:p w14:paraId="436F07EF" w14:textId="68439F95" w:rsidR="005D7D69" w:rsidRPr="00E741A9" w:rsidRDefault="005D7D69" w:rsidP="005D7D69">
      <w:pPr>
        <w:pStyle w:val="Bibliography"/>
      </w:pPr>
      <w:r w:rsidRPr="00E741A9">
        <w:t xml:space="preserve">(10) </w:t>
      </w:r>
      <w:r w:rsidRPr="00E741A9">
        <w:tab/>
      </w:r>
      <w:proofErr w:type="spellStart"/>
      <w:r w:rsidRPr="00E741A9">
        <w:t>Orcel</w:t>
      </w:r>
      <w:proofErr w:type="spellEnd"/>
      <w:r w:rsidRPr="00E741A9">
        <w:t>, G.</w:t>
      </w:r>
      <w:r w:rsidR="00E741A9">
        <w:t xml:space="preserve">, </w:t>
      </w:r>
      <w:r w:rsidRPr="00E741A9">
        <w:t>Hench, L. L.</w:t>
      </w:r>
      <w:r w:rsidR="00E741A9">
        <w:t>,</w:t>
      </w:r>
      <w:r w:rsidRPr="00E741A9">
        <w:t xml:space="preserve"> </w:t>
      </w:r>
      <w:proofErr w:type="spellStart"/>
      <w:r w:rsidRPr="00E741A9">
        <w:t>Artaki</w:t>
      </w:r>
      <w:proofErr w:type="spellEnd"/>
      <w:r w:rsidRPr="00E741A9">
        <w:t>, I.</w:t>
      </w:r>
      <w:r w:rsidR="00E741A9">
        <w:t>,</w:t>
      </w:r>
      <w:r w:rsidRPr="00E741A9">
        <w:t xml:space="preserve"> Jonas, J.</w:t>
      </w:r>
      <w:r w:rsidR="00E741A9">
        <w:t>,</w:t>
      </w:r>
      <w:r w:rsidRPr="00E741A9">
        <w:t xml:space="preserve"> </w:t>
      </w:r>
      <w:proofErr w:type="spellStart"/>
      <w:r w:rsidRPr="00E741A9">
        <w:t>Zerda</w:t>
      </w:r>
      <w:proofErr w:type="spellEnd"/>
      <w:r w:rsidRPr="00E741A9">
        <w:t>, T. W.</w:t>
      </w:r>
      <w:r w:rsidR="00E741A9">
        <w:t>:</w:t>
      </w:r>
      <w:r w:rsidRPr="00E741A9">
        <w:t xml:space="preserve"> Effect of Formamide Additive on the Chemistry of Silica Sol-Gels II. Gel Structure. </w:t>
      </w:r>
      <w:r w:rsidRPr="00E741A9">
        <w:rPr>
          <w:i/>
          <w:iCs/>
        </w:rPr>
        <w:t>J. Non-</w:t>
      </w:r>
      <w:proofErr w:type="spellStart"/>
      <w:r w:rsidRPr="00E741A9">
        <w:rPr>
          <w:i/>
          <w:iCs/>
        </w:rPr>
        <w:t>Cryst</w:t>
      </w:r>
      <w:proofErr w:type="spellEnd"/>
      <w:r w:rsidRPr="00E741A9">
        <w:rPr>
          <w:i/>
          <w:iCs/>
        </w:rPr>
        <w:t>. Solids</w:t>
      </w:r>
      <w:r w:rsidRPr="00E741A9">
        <w:t xml:space="preserve">, </w:t>
      </w:r>
      <w:r w:rsidRPr="00E741A9">
        <w:rPr>
          <w:b/>
          <w:bCs/>
        </w:rPr>
        <w:t>105</w:t>
      </w:r>
      <w:r w:rsidRPr="00E741A9">
        <w:t xml:space="preserve"> (3), 223–231</w:t>
      </w:r>
      <w:r w:rsidR="00E741A9">
        <w:t xml:space="preserve"> (</w:t>
      </w:r>
      <w:r w:rsidR="00E741A9" w:rsidRPr="00E741A9">
        <w:t>1988</w:t>
      </w:r>
      <w:r w:rsidR="00E741A9">
        <w:t>)</w:t>
      </w:r>
      <w:r w:rsidRPr="00E741A9">
        <w:t xml:space="preserve">. </w:t>
      </w:r>
    </w:p>
    <w:p w14:paraId="15904062" w14:textId="67AD44D6" w:rsidR="005D7D69" w:rsidRPr="00E741A9" w:rsidRDefault="005D7D69" w:rsidP="005D7D69">
      <w:pPr>
        <w:pStyle w:val="Bibliography"/>
      </w:pPr>
      <w:r w:rsidRPr="00E741A9">
        <w:t xml:space="preserve">(11) </w:t>
      </w:r>
      <w:r w:rsidRPr="00E741A9">
        <w:tab/>
        <w:t xml:space="preserve">Levy, D., </w:t>
      </w:r>
      <w:proofErr w:type="spellStart"/>
      <w:r w:rsidRPr="00E741A9">
        <w:t>Zayat</w:t>
      </w:r>
      <w:proofErr w:type="spellEnd"/>
      <w:r w:rsidRPr="00E741A9">
        <w:t>, M., Eds.</w:t>
      </w:r>
      <w:r w:rsidR="00E741A9">
        <w:t>:</w:t>
      </w:r>
      <w:r w:rsidRPr="00E741A9">
        <w:t xml:space="preserve"> </w:t>
      </w:r>
      <w:r w:rsidR="00E741A9" w:rsidRPr="00E741A9">
        <w:rPr>
          <w:i/>
          <w:iCs/>
        </w:rPr>
        <w:t>The Sol-Gel Handbook</w:t>
      </w:r>
      <w:r w:rsidR="00E741A9" w:rsidRPr="00E741A9">
        <w:t xml:space="preserve"> </w:t>
      </w:r>
      <w:r w:rsidR="00E741A9">
        <w:t>(</w:t>
      </w:r>
      <w:r w:rsidRPr="00E741A9">
        <w:t xml:space="preserve">Wiley-VCH Verlag GmbH &amp; Co. </w:t>
      </w:r>
      <w:proofErr w:type="spellStart"/>
      <w:r w:rsidRPr="00E741A9">
        <w:t>KGaA</w:t>
      </w:r>
      <w:proofErr w:type="spellEnd"/>
      <w:r w:rsidRPr="00E741A9">
        <w:t>: Weinheim, Germany, 2015</w:t>
      </w:r>
      <w:r w:rsidR="00E741A9">
        <w:t>).</w:t>
      </w:r>
    </w:p>
    <w:p w14:paraId="5A0299EF" w14:textId="08E16C76" w:rsidR="005D7D69" w:rsidRPr="00E741A9" w:rsidRDefault="005D7D69" w:rsidP="005D7D69">
      <w:pPr>
        <w:pStyle w:val="Bibliography"/>
      </w:pPr>
      <w:r w:rsidRPr="00E741A9">
        <w:t xml:space="preserve">(12) </w:t>
      </w:r>
      <w:r w:rsidRPr="00E741A9">
        <w:tab/>
      </w:r>
      <w:proofErr w:type="spellStart"/>
      <w:r w:rsidRPr="00E741A9">
        <w:t>Lenza</w:t>
      </w:r>
      <w:proofErr w:type="spellEnd"/>
      <w:r w:rsidRPr="00E741A9">
        <w:t>, R. F. S.</w:t>
      </w:r>
      <w:r w:rsidR="00E741A9">
        <w:t>,</w:t>
      </w:r>
      <w:r w:rsidRPr="00E741A9">
        <w:t xml:space="preserve"> Vasconcelos, W. L.</w:t>
      </w:r>
      <w:r w:rsidR="00E741A9">
        <w:t>:</w:t>
      </w:r>
      <w:r w:rsidRPr="00E741A9">
        <w:t xml:space="preserve"> Preparation of Silica by Sol-Gel Method Using Formamide. </w:t>
      </w:r>
      <w:r w:rsidRPr="00E741A9">
        <w:rPr>
          <w:i/>
          <w:iCs/>
        </w:rPr>
        <w:t>Mater. Res.</w:t>
      </w:r>
      <w:r w:rsidRPr="00E741A9">
        <w:t xml:space="preserve">, </w:t>
      </w:r>
      <w:r w:rsidRPr="00E741A9">
        <w:rPr>
          <w:b/>
          <w:bCs/>
        </w:rPr>
        <w:t xml:space="preserve">4 </w:t>
      </w:r>
      <w:r w:rsidRPr="00E741A9">
        <w:t>(3), 189–194</w:t>
      </w:r>
      <w:r w:rsidR="00E741A9">
        <w:t xml:space="preserve"> (</w:t>
      </w:r>
      <w:r w:rsidR="00E741A9" w:rsidRPr="00E741A9">
        <w:t>2001</w:t>
      </w:r>
      <w:r w:rsidR="00E741A9">
        <w:t>)</w:t>
      </w:r>
      <w:r w:rsidRPr="00E741A9">
        <w:t xml:space="preserve">. </w:t>
      </w:r>
    </w:p>
    <w:p w14:paraId="30D857B7" w14:textId="31068B06" w:rsidR="005D7D69" w:rsidRPr="00E741A9" w:rsidRDefault="005D7D69" w:rsidP="005D7D69">
      <w:pPr>
        <w:pStyle w:val="Bibliography"/>
      </w:pPr>
      <w:r w:rsidRPr="00E741A9">
        <w:t xml:space="preserve">(13) </w:t>
      </w:r>
      <w:r w:rsidRPr="00E741A9">
        <w:tab/>
        <w:t>Al-</w:t>
      </w:r>
      <w:proofErr w:type="spellStart"/>
      <w:r w:rsidRPr="00E741A9">
        <w:t>Oweini</w:t>
      </w:r>
      <w:proofErr w:type="spellEnd"/>
      <w:r w:rsidRPr="00E741A9">
        <w:t>, R.</w:t>
      </w:r>
      <w:r w:rsidR="00E741A9">
        <w:t>,</w:t>
      </w:r>
      <w:r w:rsidRPr="00E741A9">
        <w:t xml:space="preserve"> El-</w:t>
      </w:r>
      <w:proofErr w:type="spellStart"/>
      <w:r w:rsidRPr="00E741A9">
        <w:t>Rassy</w:t>
      </w:r>
      <w:proofErr w:type="spellEnd"/>
      <w:r w:rsidRPr="00E741A9">
        <w:t>, H.</w:t>
      </w:r>
      <w:r w:rsidR="00E741A9">
        <w:t>:</w:t>
      </w:r>
      <w:r w:rsidRPr="00E741A9">
        <w:t xml:space="preserve"> Synthesis and Characterization by FTIR Spectroscopy of Silica Aerogels Prepared Using Several </w:t>
      </w:r>
      <w:proofErr w:type="gramStart"/>
      <w:r w:rsidRPr="00E741A9">
        <w:t>Si(</w:t>
      </w:r>
      <w:proofErr w:type="gramEnd"/>
      <w:r w:rsidRPr="00E741A9">
        <w:t xml:space="preserve">OR)4 and </w:t>
      </w:r>
      <w:proofErr w:type="spellStart"/>
      <w:r w:rsidRPr="00E741A9">
        <w:t>R′′Si</w:t>
      </w:r>
      <w:proofErr w:type="spellEnd"/>
      <w:r w:rsidRPr="00E741A9">
        <w:t xml:space="preserve">(OR′)3 Precursors. </w:t>
      </w:r>
      <w:r w:rsidRPr="00E741A9">
        <w:rPr>
          <w:i/>
          <w:iCs/>
        </w:rPr>
        <w:t>J. Mol. Struct.</w:t>
      </w:r>
      <w:r w:rsidRPr="00E741A9">
        <w:t xml:space="preserve">, </w:t>
      </w:r>
      <w:r w:rsidRPr="00E741A9">
        <w:rPr>
          <w:b/>
          <w:bCs/>
        </w:rPr>
        <w:t xml:space="preserve">919 </w:t>
      </w:r>
      <w:r w:rsidRPr="00E741A9">
        <w:t>(1–3), 140–145</w:t>
      </w:r>
      <w:r w:rsidR="00E741A9">
        <w:t xml:space="preserve"> (</w:t>
      </w:r>
      <w:r w:rsidR="00E741A9" w:rsidRPr="00E741A9">
        <w:t>2009</w:t>
      </w:r>
      <w:r w:rsidR="00E741A9">
        <w:t>)</w:t>
      </w:r>
      <w:r w:rsidRPr="00E741A9">
        <w:t xml:space="preserve">. </w:t>
      </w:r>
    </w:p>
    <w:p w14:paraId="76A9E4EA" w14:textId="25376029" w:rsidR="005D7D69" w:rsidRPr="00E741A9" w:rsidRDefault="005D7D69" w:rsidP="005D7D69">
      <w:pPr>
        <w:pStyle w:val="Bibliography"/>
      </w:pPr>
      <w:r w:rsidRPr="00E741A9">
        <w:t xml:space="preserve">(14) </w:t>
      </w:r>
      <w:r w:rsidRPr="00E741A9">
        <w:tab/>
        <w:t>Rubio, F.</w:t>
      </w:r>
      <w:r w:rsidR="00E741A9">
        <w:t>,</w:t>
      </w:r>
      <w:r w:rsidRPr="00E741A9">
        <w:t xml:space="preserve"> Rubio, J.</w:t>
      </w:r>
      <w:r w:rsidR="00E741A9">
        <w:t>,</w:t>
      </w:r>
      <w:r w:rsidRPr="00E741A9">
        <w:t xml:space="preserve"> </w:t>
      </w:r>
      <w:proofErr w:type="spellStart"/>
      <w:r w:rsidRPr="00E741A9">
        <w:t>Oteo</w:t>
      </w:r>
      <w:proofErr w:type="spellEnd"/>
      <w:r w:rsidRPr="00E741A9">
        <w:t>, J. L.</w:t>
      </w:r>
      <w:r w:rsidR="00E741A9">
        <w:t>:</w:t>
      </w:r>
      <w:r w:rsidRPr="00E741A9">
        <w:t xml:space="preserve"> A FT-IR Study of the Hydrolysis of </w:t>
      </w:r>
      <w:proofErr w:type="spellStart"/>
      <w:r w:rsidRPr="00E741A9">
        <w:t>Tetraethylorthosilicate</w:t>
      </w:r>
      <w:proofErr w:type="spellEnd"/>
      <w:r w:rsidRPr="00E741A9">
        <w:t xml:space="preserve"> (TEOS). </w:t>
      </w:r>
      <w:proofErr w:type="spellStart"/>
      <w:r w:rsidRPr="00E741A9">
        <w:rPr>
          <w:i/>
          <w:iCs/>
        </w:rPr>
        <w:t>Spectrosc</w:t>
      </w:r>
      <w:proofErr w:type="spellEnd"/>
      <w:r w:rsidRPr="00E741A9">
        <w:rPr>
          <w:i/>
          <w:iCs/>
        </w:rPr>
        <w:t>. Lett.</w:t>
      </w:r>
      <w:r w:rsidRPr="00E741A9">
        <w:t xml:space="preserve">, </w:t>
      </w:r>
      <w:r w:rsidRPr="00E741A9">
        <w:rPr>
          <w:b/>
          <w:bCs/>
        </w:rPr>
        <w:t xml:space="preserve">31 </w:t>
      </w:r>
      <w:r w:rsidRPr="00E741A9">
        <w:t>(1), 199–219</w:t>
      </w:r>
      <w:r w:rsidR="00E741A9">
        <w:t xml:space="preserve"> (</w:t>
      </w:r>
      <w:r w:rsidR="00E741A9" w:rsidRPr="00E741A9">
        <w:t>1998</w:t>
      </w:r>
      <w:r w:rsidR="00E741A9">
        <w:t>)</w:t>
      </w:r>
      <w:r w:rsidRPr="00E741A9">
        <w:t xml:space="preserve">. </w:t>
      </w:r>
    </w:p>
    <w:p w14:paraId="6EBFD240" w14:textId="1BC4B266" w:rsidR="005D7D69" w:rsidRPr="00E741A9" w:rsidRDefault="005D7D69" w:rsidP="005D7D69">
      <w:pPr>
        <w:pStyle w:val="Bibliography"/>
      </w:pPr>
      <w:r w:rsidRPr="00E741A9">
        <w:t xml:space="preserve">(15) </w:t>
      </w:r>
      <w:r w:rsidRPr="00E741A9">
        <w:tab/>
        <w:t xml:space="preserve">Buratti, C.; Moretti, E. Glazing Systems with Silica Aerogel for Energy Savings in Buildings. </w:t>
      </w:r>
      <w:r w:rsidRPr="00E741A9">
        <w:rPr>
          <w:i/>
          <w:iCs/>
        </w:rPr>
        <w:t>Appl. Energy</w:t>
      </w:r>
      <w:r w:rsidRPr="00E741A9">
        <w:t xml:space="preserve">, </w:t>
      </w:r>
      <w:r w:rsidRPr="00E741A9">
        <w:rPr>
          <w:b/>
          <w:bCs/>
        </w:rPr>
        <w:t>98</w:t>
      </w:r>
      <w:r w:rsidRPr="00E741A9">
        <w:t>, 396–403</w:t>
      </w:r>
      <w:r w:rsidR="00E741A9">
        <w:t xml:space="preserve"> (</w:t>
      </w:r>
      <w:r w:rsidR="00E741A9" w:rsidRPr="00E741A9">
        <w:t>2012</w:t>
      </w:r>
      <w:r w:rsidR="00E741A9">
        <w:t>)</w:t>
      </w:r>
      <w:r w:rsidRPr="00E741A9">
        <w:t xml:space="preserve">. </w:t>
      </w:r>
    </w:p>
    <w:p w14:paraId="4FF1DB28" w14:textId="026C4D52" w:rsidR="005D7D69" w:rsidRPr="00E741A9" w:rsidRDefault="005D7D69" w:rsidP="005D7D69">
      <w:pPr>
        <w:pStyle w:val="Bibliography"/>
      </w:pPr>
      <w:r w:rsidRPr="00E741A9">
        <w:t xml:space="preserve">(16) </w:t>
      </w:r>
      <w:r w:rsidRPr="00E741A9">
        <w:tab/>
      </w:r>
      <w:proofErr w:type="spellStart"/>
      <w:r w:rsidRPr="00E741A9">
        <w:t>Dangol</w:t>
      </w:r>
      <w:proofErr w:type="spellEnd"/>
      <w:r w:rsidRPr="00E741A9">
        <w:t>, R.</w:t>
      </w:r>
      <w:r w:rsidR="00E741A9">
        <w:t>,</w:t>
      </w:r>
      <w:r w:rsidRPr="00E741A9">
        <w:t xml:space="preserve"> </w:t>
      </w:r>
      <w:proofErr w:type="spellStart"/>
      <w:r w:rsidRPr="00E741A9">
        <w:t>Kruisselbrink</w:t>
      </w:r>
      <w:proofErr w:type="spellEnd"/>
      <w:r w:rsidRPr="00E741A9">
        <w:t>, T. W.</w:t>
      </w:r>
      <w:r w:rsidR="00E741A9">
        <w:t>,</w:t>
      </w:r>
      <w:r w:rsidRPr="00E741A9">
        <w:t xml:space="preserve"> </w:t>
      </w:r>
      <w:proofErr w:type="spellStart"/>
      <w:r w:rsidRPr="00E741A9">
        <w:t>Rosemann</w:t>
      </w:r>
      <w:proofErr w:type="spellEnd"/>
      <w:r w:rsidRPr="00E741A9">
        <w:t>, A. L. P.</w:t>
      </w:r>
      <w:r w:rsidR="00E741A9">
        <w:t>:</w:t>
      </w:r>
      <w:r w:rsidRPr="00E741A9">
        <w:t xml:space="preserve"> Effect of Window Glazing on </w:t>
      </w:r>
      <w:proofErr w:type="spellStart"/>
      <w:r w:rsidRPr="00E741A9">
        <w:t>Colour</w:t>
      </w:r>
      <w:proofErr w:type="spellEnd"/>
      <w:r w:rsidRPr="00E741A9">
        <w:t xml:space="preserve"> Quality of Transmitted Daylight. </w:t>
      </w:r>
      <w:r w:rsidRPr="00E741A9">
        <w:rPr>
          <w:i/>
          <w:iCs/>
        </w:rPr>
        <w:t>J. Daylighting</w:t>
      </w:r>
      <w:r w:rsidRPr="00E741A9">
        <w:t xml:space="preserve">, </w:t>
      </w:r>
      <w:r w:rsidRPr="00E741A9">
        <w:rPr>
          <w:b/>
          <w:bCs/>
        </w:rPr>
        <w:t>4</w:t>
      </w:r>
      <w:r w:rsidRPr="00E741A9">
        <w:t xml:space="preserve"> (2), 37–47</w:t>
      </w:r>
      <w:r w:rsidR="00E741A9">
        <w:t xml:space="preserve"> (</w:t>
      </w:r>
      <w:r w:rsidR="00E741A9" w:rsidRPr="00E741A9">
        <w:t>2017</w:t>
      </w:r>
      <w:r w:rsidR="00E741A9">
        <w:t>)</w:t>
      </w:r>
      <w:r w:rsidRPr="00E741A9">
        <w:t xml:space="preserve">. </w:t>
      </w:r>
    </w:p>
    <w:p w14:paraId="0C717BC1" w14:textId="77994269" w:rsidR="005D7D69" w:rsidRPr="00E741A9" w:rsidRDefault="005D7D69" w:rsidP="005D7D69">
      <w:pPr>
        <w:pStyle w:val="Bibliography"/>
      </w:pPr>
      <w:r w:rsidRPr="00E741A9">
        <w:t xml:space="preserve">(17) </w:t>
      </w:r>
      <w:r w:rsidRPr="00E741A9">
        <w:tab/>
        <w:t>Al-</w:t>
      </w:r>
      <w:proofErr w:type="spellStart"/>
      <w:r w:rsidRPr="00E741A9">
        <w:t>Homoud</w:t>
      </w:r>
      <w:proofErr w:type="spellEnd"/>
      <w:r w:rsidRPr="00E741A9">
        <w:t>, M. S.</w:t>
      </w:r>
      <w:r w:rsidR="00E741A9">
        <w:t>:</w:t>
      </w:r>
      <w:r w:rsidRPr="00E741A9">
        <w:t xml:space="preserve"> Performance Characteristics and Practical Applications of Common Building Thermal Insulation Materials. </w:t>
      </w:r>
      <w:r w:rsidRPr="00E741A9">
        <w:rPr>
          <w:i/>
          <w:iCs/>
        </w:rPr>
        <w:t>Build. Environ.</w:t>
      </w:r>
      <w:r w:rsidRPr="00E741A9">
        <w:t xml:space="preserve">, </w:t>
      </w:r>
      <w:r w:rsidRPr="00E741A9">
        <w:rPr>
          <w:b/>
          <w:bCs/>
        </w:rPr>
        <w:t>40</w:t>
      </w:r>
      <w:r w:rsidRPr="00E741A9">
        <w:t xml:space="preserve"> (3), 353–366</w:t>
      </w:r>
      <w:r w:rsidR="00E741A9">
        <w:t xml:space="preserve"> (</w:t>
      </w:r>
      <w:r w:rsidR="00E741A9" w:rsidRPr="00E741A9">
        <w:t>2005</w:t>
      </w:r>
      <w:r w:rsidR="00E741A9">
        <w:t>)</w:t>
      </w:r>
      <w:r w:rsidRPr="00E741A9">
        <w:t xml:space="preserve">. </w:t>
      </w:r>
    </w:p>
    <w:p w14:paraId="78A55601" w14:textId="79F92B73" w:rsidR="005D7D69" w:rsidRPr="00E741A9" w:rsidRDefault="005D7D69" w:rsidP="005D7D69">
      <w:pPr>
        <w:pStyle w:val="Bibliography"/>
      </w:pPr>
      <w:r w:rsidRPr="00E741A9">
        <w:lastRenderedPageBreak/>
        <w:t xml:space="preserve">(18) </w:t>
      </w:r>
      <w:r w:rsidRPr="00E741A9">
        <w:tab/>
        <w:t xml:space="preserve">Lawrence Berkeley National Laboratory. </w:t>
      </w:r>
      <w:r w:rsidRPr="00E741A9">
        <w:rPr>
          <w:i/>
          <w:iCs/>
        </w:rPr>
        <w:t>THERM 7 /WINDOW 7 NFRC Simulation Manual.</w:t>
      </w:r>
      <w:r w:rsidRPr="00E741A9">
        <w:t xml:space="preserve"> </w:t>
      </w:r>
      <w:r w:rsidR="00E741A9">
        <w:t>(</w:t>
      </w:r>
      <w:r w:rsidRPr="00E741A9">
        <w:t>2016</w:t>
      </w:r>
      <w:r w:rsidR="00E741A9">
        <w:t>)</w:t>
      </w:r>
      <w:r w:rsidRPr="00E741A9">
        <w:t>.</w:t>
      </w:r>
    </w:p>
    <w:p w14:paraId="79E15BB9" w14:textId="3C8F5B0D" w:rsidR="005D7D69" w:rsidRPr="00E741A9" w:rsidRDefault="005D7D69" w:rsidP="005D7D69">
      <w:pPr>
        <w:pStyle w:val="Bibliography"/>
      </w:pPr>
      <w:r w:rsidRPr="00E741A9">
        <w:t xml:space="preserve">(19) </w:t>
      </w:r>
      <w:r w:rsidRPr="00E741A9">
        <w:tab/>
        <w:t xml:space="preserve">NFRC 100-2010. </w:t>
      </w:r>
      <w:r w:rsidRPr="00E741A9">
        <w:rPr>
          <w:i/>
          <w:iCs/>
        </w:rPr>
        <w:t>NFRC 100-2010. Procedure for Determining Fenestration Product U-Factors. National Fenestration Rating Council, Greenbelt MD.</w:t>
      </w:r>
      <w:r w:rsidR="0014450A">
        <w:t>,</w:t>
      </w:r>
      <w:r w:rsidRPr="00E741A9">
        <w:t xml:space="preserve"> Greenbelt MD., </w:t>
      </w:r>
      <w:r w:rsidR="00E741A9">
        <w:t>(</w:t>
      </w:r>
      <w:r w:rsidRPr="00E741A9">
        <w:t>2017</w:t>
      </w:r>
      <w:r w:rsidR="00E741A9">
        <w:t>)</w:t>
      </w:r>
      <w:r w:rsidRPr="00E741A9">
        <w:t>.</w:t>
      </w:r>
    </w:p>
    <w:p w14:paraId="5588AFAF" w14:textId="32A5134C" w:rsidR="005D7D69" w:rsidRPr="00E741A9" w:rsidRDefault="005D7D69" w:rsidP="005D7D69">
      <w:pPr>
        <w:pStyle w:val="Bibliography"/>
      </w:pPr>
      <w:r w:rsidRPr="00E741A9">
        <w:t xml:space="preserve">(20) </w:t>
      </w:r>
      <w:r w:rsidRPr="00E741A9">
        <w:tab/>
      </w:r>
      <w:proofErr w:type="spellStart"/>
      <w:r w:rsidRPr="00E741A9">
        <w:t>Brunauer</w:t>
      </w:r>
      <w:proofErr w:type="spellEnd"/>
      <w:r w:rsidRPr="00E741A9">
        <w:t>, S.</w:t>
      </w:r>
      <w:r w:rsidR="00E741A9">
        <w:t xml:space="preserve">, </w:t>
      </w:r>
      <w:r w:rsidRPr="00E741A9">
        <w:t>Emmett, P. H.</w:t>
      </w:r>
      <w:r w:rsidR="00E741A9">
        <w:t>,</w:t>
      </w:r>
      <w:r w:rsidRPr="00E741A9">
        <w:t xml:space="preserve"> Teller, E.</w:t>
      </w:r>
      <w:r w:rsidR="00E741A9">
        <w:t>:</w:t>
      </w:r>
      <w:r w:rsidRPr="00E741A9">
        <w:t xml:space="preserve"> Adsorption of Gases in Multimolecular Layers. </w:t>
      </w:r>
      <w:r w:rsidRPr="00E741A9">
        <w:rPr>
          <w:i/>
          <w:iCs/>
        </w:rPr>
        <w:t>J. Am. Chem. Soc.</w:t>
      </w:r>
      <w:r w:rsidRPr="00E741A9">
        <w:t xml:space="preserve">, </w:t>
      </w:r>
      <w:r w:rsidRPr="00E741A9">
        <w:rPr>
          <w:b/>
          <w:bCs/>
        </w:rPr>
        <w:t>60</w:t>
      </w:r>
      <w:r w:rsidRPr="00E741A9">
        <w:t xml:space="preserve"> (2), 309–319</w:t>
      </w:r>
      <w:r w:rsidR="00E741A9">
        <w:t xml:space="preserve"> (</w:t>
      </w:r>
      <w:r w:rsidR="00E741A9" w:rsidRPr="00E741A9">
        <w:t>1938</w:t>
      </w:r>
      <w:r w:rsidR="00E741A9">
        <w:t>)</w:t>
      </w:r>
      <w:r w:rsidRPr="00E741A9">
        <w:t xml:space="preserve">. </w:t>
      </w:r>
    </w:p>
    <w:p w14:paraId="77C8A091" w14:textId="77E4F85F" w:rsidR="005D7D69" w:rsidRPr="00E741A9" w:rsidRDefault="005D7D69" w:rsidP="005D7D69">
      <w:pPr>
        <w:pStyle w:val="Bibliography"/>
      </w:pPr>
      <w:r w:rsidRPr="00E741A9">
        <w:t xml:space="preserve">(21) </w:t>
      </w:r>
      <w:r w:rsidRPr="00E741A9">
        <w:tab/>
        <w:t>Kruk, M.</w:t>
      </w:r>
      <w:r w:rsidR="00E741A9">
        <w:t>,</w:t>
      </w:r>
      <w:r w:rsidRPr="00E741A9">
        <w:t xml:space="preserve"> </w:t>
      </w:r>
      <w:proofErr w:type="spellStart"/>
      <w:r w:rsidRPr="00E741A9">
        <w:t>Jaroniec</w:t>
      </w:r>
      <w:proofErr w:type="spellEnd"/>
      <w:r w:rsidRPr="00E741A9">
        <w:t>, M.</w:t>
      </w:r>
      <w:r w:rsidR="00E741A9">
        <w:t>:</w:t>
      </w:r>
      <w:r w:rsidRPr="00E741A9">
        <w:t xml:space="preserve"> Gas Adsorption Characterization of Ordered Organic−Inorganic Nanocomposite Materials. </w:t>
      </w:r>
      <w:r w:rsidRPr="00E741A9">
        <w:rPr>
          <w:i/>
          <w:iCs/>
        </w:rPr>
        <w:t>Chem. Mater.</w:t>
      </w:r>
      <w:r w:rsidRPr="00E741A9">
        <w:t xml:space="preserve">, </w:t>
      </w:r>
      <w:r w:rsidRPr="00E741A9">
        <w:rPr>
          <w:b/>
          <w:bCs/>
        </w:rPr>
        <w:t xml:space="preserve">13 </w:t>
      </w:r>
      <w:r w:rsidRPr="00E741A9">
        <w:t>(10), 3169–3183</w:t>
      </w:r>
      <w:r w:rsidR="00E741A9">
        <w:t xml:space="preserve"> (</w:t>
      </w:r>
      <w:r w:rsidR="00E741A9" w:rsidRPr="00E741A9">
        <w:t>2001</w:t>
      </w:r>
      <w:r w:rsidR="00E741A9">
        <w:t>)</w:t>
      </w:r>
      <w:r w:rsidRPr="00E741A9">
        <w:t xml:space="preserve">. </w:t>
      </w:r>
    </w:p>
    <w:p w14:paraId="66C4CC44" w14:textId="736CC016" w:rsidR="005D7D69" w:rsidRPr="00E741A9" w:rsidRDefault="005D7D69" w:rsidP="005D7D69">
      <w:pPr>
        <w:pStyle w:val="Bibliography"/>
      </w:pPr>
      <w:r w:rsidRPr="00E741A9">
        <w:t xml:space="preserve">(22) </w:t>
      </w:r>
      <w:r w:rsidRPr="00E741A9">
        <w:tab/>
        <w:t>Barrett, E. P.</w:t>
      </w:r>
      <w:r w:rsidR="0014450A">
        <w:t>,</w:t>
      </w:r>
      <w:r w:rsidRPr="00E741A9">
        <w:t xml:space="preserve"> Joyner, L. G.</w:t>
      </w:r>
      <w:r w:rsidR="0014450A">
        <w:t>,</w:t>
      </w:r>
      <w:r w:rsidRPr="00E741A9">
        <w:t xml:space="preserve"> </w:t>
      </w:r>
      <w:proofErr w:type="spellStart"/>
      <w:r w:rsidRPr="00E741A9">
        <w:t>Halenda</w:t>
      </w:r>
      <w:proofErr w:type="spellEnd"/>
      <w:r w:rsidRPr="00E741A9">
        <w:t>, P. P.</w:t>
      </w:r>
      <w:r w:rsidR="0014450A">
        <w:t>:</w:t>
      </w:r>
      <w:r w:rsidRPr="00E741A9">
        <w:t xml:space="preserve"> The Determination of Pore Volume and Area Distributions in Porous Substances. I. Computations from Nitrogen Isotherms. </w:t>
      </w:r>
      <w:r w:rsidRPr="00E741A9">
        <w:rPr>
          <w:i/>
          <w:iCs/>
        </w:rPr>
        <w:t>J. Am. Chem. Soc.</w:t>
      </w:r>
      <w:r w:rsidRPr="00E741A9">
        <w:t xml:space="preserve">, </w:t>
      </w:r>
      <w:r w:rsidRPr="00E741A9">
        <w:rPr>
          <w:b/>
          <w:bCs/>
        </w:rPr>
        <w:t>73</w:t>
      </w:r>
      <w:r w:rsidRPr="00E741A9">
        <w:t xml:space="preserve"> (1), 373–380</w:t>
      </w:r>
      <w:r w:rsidR="00E741A9">
        <w:t xml:space="preserve"> (</w:t>
      </w:r>
      <w:r w:rsidR="00E741A9" w:rsidRPr="00E741A9">
        <w:t>1951</w:t>
      </w:r>
      <w:r w:rsidR="00E741A9">
        <w:t>)</w:t>
      </w:r>
      <w:r w:rsidRPr="00E741A9">
        <w:t xml:space="preserve">. </w:t>
      </w:r>
    </w:p>
    <w:p w14:paraId="26DD34A1" w14:textId="2FFFBF32" w:rsidR="005D7D69" w:rsidRPr="00E741A9" w:rsidRDefault="005D7D69" w:rsidP="005D7D69">
      <w:pPr>
        <w:pStyle w:val="Bibliography"/>
      </w:pPr>
      <w:r w:rsidRPr="00E741A9">
        <w:t xml:space="preserve">(23) </w:t>
      </w:r>
      <w:r w:rsidRPr="00E741A9">
        <w:tab/>
        <w:t>Kruk, M.</w:t>
      </w:r>
      <w:r w:rsidR="0014450A">
        <w:t>,</w:t>
      </w:r>
      <w:r w:rsidRPr="00E741A9">
        <w:t xml:space="preserve"> </w:t>
      </w:r>
      <w:proofErr w:type="spellStart"/>
      <w:r w:rsidRPr="00E741A9">
        <w:t>Jaroniec</w:t>
      </w:r>
      <w:proofErr w:type="spellEnd"/>
      <w:r w:rsidRPr="00E741A9">
        <w:t>, M.</w:t>
      </w:r>
      <w:r w:rsidR="0014450A">
        <w:t>,</w:t>
      </w:r>
      <w:r w:rsidRPr="00E741A9">
        <w:t xml:space="preserve"> </w:t>
      </w:r>
      <w:proofErr w:type="spellStart"/>
      <w:r w:rsidRPr="00E741A9">
        <w:t>Sayari</w:t>
      </w:r>
      <w:proofErr w:type="spellEnd"/>
      <w:r w:rsidRPr="00E741A9">
        <w:t>, A.</w:t>
      </w:r>
      <w:r w:rsidR="0014450A">
        <w:t>:</w:t>
      </w:r>
      <w:r w:rsidRPr="00E741A9">
        <w:t xml:space="preserve"> Application of Large Pore MCM-41 Molecular Sieves </w:t>
      </w:r>
      <w:proofErr w:type="gramStart"/>
      <w:r w:rsidRPr="00E741A9">
        <w:t>To</w:t>
      </w:r>
      <w:proofErr w:type="gramEnd"/>
      <w:r w:rsidRPr="00E741A9">
        <w:t xml:space="preserve"> Improve Pore Size Analysis Using Nitrogen Adsorption Measurements. </w:t>
      </w:r>
      <w:r w:rsidRPr="00E741A9">
        <w:rPr>
          <w:i/>
          <w:iCs/>
        </w:rPr>
        <w:t>Langmuir</w:t>
      </w:r>
      <w:r w:rsidRPr="00E741A9">
        <w:t xml:space="preserve">, </w:t>
      </w:r>
      <w:r w:rsidRPr="00E741A9">
        <w:rPr>
          <w:b/>
          <w:bCs/>
        </w:rPr>
        <w:t>13</w:t>
      </w:r>
      <w:r w:rsidRPr="00E741A9">
        <w:t xml:space="preserve"> (23), 6267–6273</w:t>
      </w:r>
      <w:r w:rsidR="00E741A9">
        <w:t xml:space="preserve"> (</w:t>
      </w:r>
      <w:r w:rsidR="00E741A9" w:rsidRPr="00E741A9">
        <w:t>1997</w:t>
      </w:r>
      <w:r w:rsidR="00E741A9">
        <w:t>)</w:t>
      </w:r>
      <w:r w:rsidRPr="00E741A9">
        <w:t xml:space="preserve">. </w:t>
      </w:r>
    </w:p>
    <w:p w14:paraId="0F38DBDC" w14:textId="240CB06B" w:rsidR="005D7D69" w:rsidRPr="00E741A9" w:rsidRDefault="005D7D69" w:rsidP="005D7D69">
      <w:pPr>
        <w:pStyle w:val="Bibliography"/>
      </w:pPr>
      <w:r w:rsidRPr="00E741A9">
        <w:t xml:space="preserve">(24) </w:t>
      </w:r>
      <w:r w:rsidRPr="00E741A9">
        <w:tab/>
      </w:r>
      <w:proofErr w:type="spellStart"/>
      <w:r w:rsidRPr="00E741A9">
        <w:t>Jaroniec</w:t>
      </w:r>
      <w:proofErr w:type="spellEnd"/>
      <w:r w:rsidRPr="00E741A9">
        <w:t>, M.</w:t>
      </w:r>
      <w:r w:rsidR="0014450A">
        <w:t>,</w:t>
      </w:r>
      <w:r w:rsidRPr="00E741A9">
        <w:t xml:space="preserve"> Kruk, M.</w:t>
      </w:r>
      <w:r w:rsidR="0014450A">
        <w:t>,</w:t>
      </w:r>
      <w:r w:rsidRPr="00E741A9">
        <w:t xml:space="preserve"> Olivier, J. P.</w:t>
      </w:r>
      <w:r w:rsidR="0014450A">
        <w:t>:</w:t>
      </w:r>
      <w:r w:rsidRPr="00E741A9">
        <w:t xml:space="preserve"> Standard Nitrogen Adsorption Data for Characterization of </w:t>
      </w:r>
      <w:proofErr w:type="spellStart"/>
      <w:r w:rsidRPr="00E741A9">
        <w:t>Nanoporous</w:t>
      </w:r>
      <w:proofErr w:type="spellEnd"/>
      <w:r w:rsidRPr="00E741A9">
        <w:t xml:space="preserve"> Silicas. </w:t>
      </w:r>
      <w:r w:rsidRPr="00E741A9">
        <w:rPr>
          <w:i/>
          <w:iCs/>
        </w:rPr>
        <w:t>Langmuir</w:t>
      </w:r>
      <w:r w:rsidRPr="00E741A9">
        <w:t xml:space="preserve">, </w:t>
      </w:r>
      <w:r w:rsidRPr="00E741A9">
        <w:rPr>
          <w:b/>
          <w:bCs/>
        </w:rPr>
        <w:t xml:space="preserve">15 </w:t>
      </w:r>
      <w:r w:rsidRPr="00E741A9">
        <w:t>(16), 5410–5413</w:t>
      </w:r>
      <w:r w:rsidR="00E741A9">
        <w:t xml:space="preserve"> (</w:t>
      </w:r>
      <w:r w:rsidR="00E741A9" w:rsidRPr="00E741A9">
        <w:t>1999</w:t>
      </w:r>
      <w:r w:rsidR="00E741A9">
        <w:t>)</w:t>
      </w:r>
      <w:r w:rsidRPr="00E741A9">
        <w:t xml:space="preserve">. </w:t>
      </w:r>
    </w:p>
    <w:p w14:paraId="13573275" w14:textId="54849DE5" w:rsidR="005D7D69" w:rsidRPr="00E741A9" w:rsidRDefault="005D7D69" w:rsidP="005D7D69">
      <w:pPr>
        <w:pStyle w:val="Bibliography"/>
      </w:pPr>
      <w:r w:rsidRPr="00E741A9">
        <w:t xml:space="preserve">(25) </w:t>
      </w:r>
      <w:r w:rsidRPr="00E741A9">
        <w:tab/>
      </w:r>
      <w:proofErr w:type="spellStart"/>
      <w:r w:rsidRPr="00E741A9">
        <w:t>Jaroniec</w:t>
      </w:r>
      <w:proofErr w:type="spellEnd"/>
      <w:r w:rsidRPr="00E741A9">
        <w:t>, M.</w:t>
      </w:r>
      <w:r w:rsidR="0014450A">
        <w:t>:</w:t>
      </w:r>
      <w:r w:rsidRPr="00E741A9">
        <w:t xml:space="preserve"> Evaluation of the Fractal Dimension from a Single Adsorption Isotherm. </w:t>
      </w:r>
      <w:r w:rsidRPr="00E741A9">
        <w:rPr>
          <w:i/>
          <w:iCs/>
        </w:rPr>
        <w:t>Langmuir</w:t>
      </w:r>
      <w:r w:rsidRPr="00E741A9">
        <w:t xml:space="preserve">, </w:t>
      </w:r>
      <w:r w:rsidRPr="00E741A9">
        <w:rPr>
          <w:b/>
          <w:bCs/>
        </w:rPr>
        <w:t>11</w:t>
      </w:r>
      <w:r w:rsidRPr="00E741A9">
        <w:t xml:space="preserve"> (6), 2316–2317</w:t>
      </w:r>
      <w:r w:rsidR="00E741A9">
        <w:t xml:space="preserve"> (</w:t>
      </w:r>
      <w:r w:rsidR="00E741A9" w:rsidRPr="00E741A9">
        <w:t>1995</w:t>
      </w:r>
      <w:r w:rsidR="00E741A9">
        <w:t>)</w:t>
      </w:r>
      <w:r w:rsidRPr="00E741A9">
        <w:t xml:space="preserve">. </w:t>
      </w:r>
    </w:p>
    <w:p w14:paraId="13377A70" w14:textId="1532ADE6" w:rsidR="005D7D69" w:rsidRPr="00E741A9" w:rsidRDefault="005D7D69" w:rsidP="005D7D69">
      <w:pPr>
        <w:pStyle w:val="Bibliography"/>
      </w:pPr>
      <w:r w:rsidRPr="00E741A9">
        <w:t xml:space="preserve">(26) </w:t>
      </w:r>
      <w:r w:rsidRPr="00E741A9">
        <w:tab/>
      </w:r>
      <w:r w:rsidRPr="00E741A9">
        <w:rPr>
          <w:i/>
          <w:iCs/>
        </w:rPr>
        <w:t>Test Method for Determining the Solar Optical Properties of Glazing Materials and Systems</w:t>
      </w:r>
      <w:r w:rsidR="0014450A">
        <w:t>,</w:t>
      </w:r>
      <w:r w:rsidRPr="00E741A9">
        <w:t xml:space="preserve"> NFRC300-2014</w:t>
      </w:r>
      <w:r w:rsidR="00ED19AF">
        <w:t>,</w:t>
      </w:r>
      <w:r w:rsidRPr="00E741A9">
        <w:t xml:space="preserve"> National Fenestration Rating Council, </w:t>
      </w:r>
      <w:r w:rsidR="00E741A9">
        <w:t>(</w:t>
      </w:r>
      <w:r w:rsidRPr="00E741A9">
        <w:t>2013</w:t>
      </w:r>
      <w:r w:rsidR="00E741A9">
        <w:t>)</w:t>
      </w:r>
      <w:r w:rsidRPr="00E741A9">
        <w:t>.</w:t>
      </w:r>
    </w:p>
    <w:p w14:paraId="5260DC8C" w14:textId="2B60CD92" w:rsidR="005D7D69" w:rsidRPr="00E741A9" w:rsidRDefault="005D7D69" w:rsidP="005D7D69">
      <w:pPr>
        <w:pStyle w:val="Bibliography"/>
      </w:pPr>
      <w:r w:rsidRPr="00E741A9">
        <w:t xml:space="preserve">(27) </w:t>
      </w:r>
      <w:r w:rsidRPr="00E741A9">
        <w:tab/>
        <w:t>Hunt, R. W. G.</w:t>
      </w:r>
      <w:r w:rsidR="0014450A">
        <w:t>,</w:t>
      </w:r>
      <w:r w:rsidRPr="00E741A9">
        <w:t xml:space="preserve"> Wright, W. D.</w:t>
      </w:r>
      <w:r w:rsidR="0014450A">
        <w:t>:</w:t>
      </w:r>
      <w:r w:rsidRPr="00E741A9">
        <w:t xml:space="preserve"> </w:t>
      </w:r>
      <w:r w:rsidRPr="00E741A9">
        <w:rPr>
          <w:i/>
          <w:iCs/>
        </w:rPr>
        <w:t xml:space="preserve">The Reproduction of </w:t>
      </w:r>
      <w:proofErr w:type="spellStart"/>
      <w:r w:rsidRPr="00E741A9">
        <w:rPr>
          <w:i/>
          <w:iCs/>
        </w:rPr>
        <w:t>Colour</w:t>
      </w:r>
      <w:proofErr w:type="spellEnd"/>
      <w:r w:rsidR="0014450A">
        <w:rPr>
          <w:i/>
          <w:iCs/>
        </w:rPr>
        <w:t xml:space="preserve"> </w:t>
      </w:r>
      <w:r w:rsidR="0014450A" w:rsidRPr="00ED19AF">
        <w:rPr>
          <w:i/>
          <w:iCs/>
        </w:rPr>
        <w:t>Vol. 4</w:t>
      </w:r>
      <w:r w:rsidR="00ED19AF">
        <w:t>,</w:t>
      </w:r>
      <w:r w:rsidRPr="00E741A9">
        <w:t xml:space="preserve"> </w:t>
      </w:r>
      <w:r w:rsidR="0014450A">
        <w:t>(</w:t>
      </w:r>
      <w:r w:rsidRPr="00E741A9">
        <w:t>Fountain press</w:t>
      </w:r>
      <w:r w:rsidR="0014450A">
        <w:t>,</w:t>
      </w:r>
      <w:r w:rsidRPr="00E741A9">
        <w:t xml:space="preserve"> England, 1995</w:t>
      </w:r>
      <w:r w:rsidR="0014450A">
        <w:t>).</w:t>
      </w:r>
    </w:p>
    <w:p w14:paraId="68F9DA19" w14:textId="0FA6CE12" w:rsidR="005D7D69" w:rsidRPr="00E741A9" w:rsidRDefault="005D7D69" w:rsidP="005D7D69">
      <w:pPr>
        <w:pStyle w:val="Bibliography"/>
      </w:pPr>
      <w:r w:rsidRPr="00E741A9">
        <w:t xml:space="preserve">(28) </w:t>
      </w:r>
      <w:r w:rsidRPr="00E741A9">
        <w:tab/>
      </w:r>
      <w:r w:rsidRPr="00E741A9">
        <w:rPr>
          <w:i/>
          <w:iCs/>
        </w:rPr>
        <w:t>Glass in Building - Determination of Luminous and Solar Characteristics of Glazing</w:t>
      </w:r>
      <w:r w:rsidRPr="00E741A9">
        <w:t xml:space="preserve">; I.S. EN 410:2011; National Standards Authority of Ireland., </w:t>
      </w:r>
      <w:r w:rsidR="0014450A">
        <w:t>(</w:t>
      </w:r>
      <w:r w:rsidRPr="00E741A9">
        <w:t>2011</w:t>
      </w:r>
      <w:r w:rsidR="0014450A">
        <w:t>)</w:t>
      </w:r>
      <w:r w:rsidRPr="00E741A9">
        <w:t>.</w:t>
      </w:r>
    </w:p>
    <w:p w14:paraId="5430D8DB" w14:textId="4D0CF370" w:rsidR="005D7D69" w:rsidRPr="00E741A9" w:rsidRDefault="005D7D69" w:rsidP="005D7D69">
      <w:pPr>
        <w:pStyle w:val="Bibliography"/>
      </w:pPr>
      <w:r w:rsidRPr="00E741A9">
        <w:t xml:space="preserve">(29) </w:t>
      </w:r>
      <w:r w:rsidRPr="00E741A9">
        <w:tab/>
        <w:t>Hu, Y.</w:t>
      </w:r>
      <w:r w:rsidR="0014450A">
        <w:t>,</w:t>
      </w:r>
      <w:r w:rsidRPr="00E741A9">
        <w:t xml:space="preserve"> Zeng, L.</w:t>
      </w:r>
      <w:r w:rsidR="0014450A">
        <w:t>,</w:t>
      </w:r>
      <w:r w:rsidRPr="00E741A9">
        <w:t xml:space="preserve"> </w:t>
      </w:r>
      <w:proofErr w:type="spellStart"/>
      <w:r w:rsidRPr="00E741A9">
        <w:t>Minnich</w:t>
      </w:r>
      <w:proofErr w:type="spellEnd"/>
      <w:r w:rsidRPr="00E741A9">
        <w:t>, A. J.</w:t>
      </w:r>
      <w:r w:rsidR="0014450A">
        <w:t>,</w:t>
      </w:r>
      <w:r w:rsidRPr="00E741A9">
        <w:t xml:space="preserve"> </w:t>
      </w:r>
      <w:proofErr w:type="spellStart"/>
      <w:r w:rsidRPr="00E741A9">
        <w:t>Dresselhaus</w:t>
      </w:r>
      <w:proofErr w:type="spellEnd"/>
      <w:r w:rsidRPr="00E741A9">
        <w:t>, M. S.</w:t>
      </w:r>
      <w:r w:rsidR="0014450A">
        <w:t>,</w:t>
      </w:r>
      <w:r w:rsidRPr="00E741A9">
        <w:t xml:space="preserve"> Chen, G.</w:t>
      </w:r>
      <w:r w:rsidR="0014450A">
        <w:t>:</w:t>
      </w:r>
      <w:r w:rsidRPr="00E741A9">
        <w:t xml:space="preserve"> Spectral Mapping of Thermal Conductivity through Nanoscale Ballistic Transport. </w:t>
      </w:r>
      <w:r w:rsidRPr="00E741A9">
        <w:rPr>
          <w:i/>
          <w:iCs/>
        </w:rPr>
        <w:t xml:space="preserve">Nat. </w:t>
      </w:r>
      <w:proofErr w:type="spellStart"/>
      <w:r w:rsidRPr="00E741A9">
        <w:rPr>
          <w:i/>
          <w:iCs/>
        </w:rPr>
        <w:t>Nanotechnol</w:t>
      </w:r>
      <w:proofErr w:type="spellEnd"/>
      <w:r w:rsidRPr="00E741A9">
        <w:rPr>
          <w:i/>
          <w:iCs/>
        </w:rPr>
        <w:t>.</w:t>
      </w:r>
      <w:r w:rsidRPr="00E741A9">
        <w:t xml:space="preserve">, </w:t>
      </w:r>
      <w:r w:rsidRPr="0014450A">
        <w:rPr>
          <w:b/>
          <w:bCs/>
        </w:rPr>
        <w:t xml:space="preserve">10 </w:t>
      </w:r>
      <w:r w:rsidRPr="00E741A9">
        <w:t>(8), 701–706</w:t>
      </w:r>
      <w:r w:rsidR="0014450A">
        <w:t xml:space="preserve"> (</w:t>
      </w:r>
      <w:r w:rsidR="0014450A" w:rsidRPr="00E741A9">
        <w:t>2015</w:t>
      </w:r>
      <w:r w:rsidR="0014450A">
        <w:t>)</w:t>
      </w:r>
      <w:r w:rsidR="00E741A9" w:rsidRPr="00E741A9">
        <w:t>.</w:t>
      </w:r>
    </w:p>
    <w:p w14:paraId="70FC3959" w14:textId="36AACE22" w:rsidR="005D7D69" w:rsidRPr="00E741A9" w:rsidRDefault="005D7D69" w:rsidP="005D7D69">
      <w:pPr>
        <w:pStyle w:val="Bibliography"/>
      </w:pPr>
      <w:r w:rsidRPr="00E741A9">
        <w:t xml:space="preserve">(30) </w:t>
      </w:r>
      <w:r w:rsidRPr="00E741A9">
        <w:tab/>
        <w:t>Hopkins, P. E</w:t>
      </w:r>
      <w:r w:rsidR="00851F27">
        <w:t>.,</w:t>
      </w:r>
      <w:r w:rsidRPr="00E741A9">
        <w:t xml:space="preserve"> </w:t>
      </w:r>
      <w:proofErr w:type="spellStart"/>
      <w:r w:rsidRPr="00E741A9">
        <w:t>Kaehr</w:t>
      </w:r>
      <w:proofErr w:type="spellEnd"/>
      <w:r w:rsidRPr="00E741A9">
        <w:t>, B.</w:t>
      </w:r>
      <w:r w:rsidR="00851F27">
        <w:t>,</w:t>
      </w:r>
      <w:r w:rsidRPr="00E741A9">
        <w:t xml:space="preserve"> </w:t>
      </w:r>
      <w:proofErr w:type="spellStart"/>
      <w:r w:rsidRPr="00E741A9">
        <w:t>Piekos</w:t>
      </w:r>
      <w:proofErr w:type="spellEnd"/>
      <w:r w:rsidRPr="00E741A9">
        <w:t>, E. S.</w:t>
      </w:r>
      <w:r w:rsidR="00851F27">
        <w:t>,</w:t>
      </w:r>
      <w:r w:rsidRPr="00E741A9">
        <w:t xml:space="preserve"> Dunphy, D.</w:t>
      </w:r>
      <w:r w:rsidR="00851F27">
        <w:t>,</w:t>
      </w:r>
      <w:r w:rsidRPr="00E741A9">
        <w:t xml:space="preserve"> Jeffrey Brinker, C.</w:t>
      </w:r>
      <w:r w:rsidR="00851F27">
        <w:t>:</w:t>
      </w:r>
      <w:r w:rsidRPr="00E741A9">
        <w:t xml:space="preserve"> Minimum Thermal Conductivity Considerations in Aerogel Thin Films. </w:t>
      </w:r>
      <w:r w:rsidRPr="00E741A9">
        <w:rPr>
          <w:i/>
          <w:iCs/>
        </w:rPr>
        <w:t>J. Appl. Phys.</w:t>
      </w:r>
      <w:r w:rsidRPr="00E741A9">
        <w:t xml:space="preserve">, </w:t>
      </w:r>
      <w:r w:rsidRPr="0014450A">
        <w:rPr>
          <w:b/>
          <w:bCs/>
        </w:rPr>
        <w:t xml:space="preserve">111 </w:t>
      </w:r>
      <w:r w:rsidRPr="00E741A9">
        <w:t>(11), 113532</w:t>
      </w:r>
      <w:r w:rsidR="0014450A">
        <w:t xml:space="preserve"> (</w:t>
      </w:r>
      <w:r w:rsidR="0014450A" w:rsidRPr="00E741A9">
        <w:t>2012</w:t>
      </w:r>
      <w:r w:rsidR="0014450A">
        <w:t>)</w:t>
      </w:r>
      <w:r w:rsidRPr="00E741A9">
        <w:t xml:space="preserve">. </w:t>
      </w:r>
    </w:p>
    <w:p w14:paraId="17310BD6" w14:textId="7FFDB203" w:rsidR="005D7D69" w:rsidRPr="00E741A9" w:rsidRDefault="005D7D69" w:rsidP="005D7D69">
      <w:pPr>
        <w:pStyle w:val="Bibliography"/>
      </w:pPr>
      <w:r w:rsidRPr="00E741A9">
        <w:t xml:space="preserve">(31) </w:t>
      </w:r>
      <w:r w:rsidRPr="00E741A9">
        <w:tab/>
        <w:t>Li, M.; Kang, J. S.</w:t>
      </w:r>
      <w:r w:rsidR="00851F27">
        <w:t>,</w:t>
      </w:r>
      <w:r w:rsidRPr="00E741A9">
        <w:t xml:space="preserve"> Hu, Y.</w:t>
      </w:r>
      <w:r w:rsidR="00851F27">
        <w:t>:</w:t>
      </w:r>
      <w:r w:rsidRPr="00E741A9">
        <w:t xml:space="preserve"> Anisotropic Thermal Conductivity Measurement Using a New Asymmetric-Beam Time-Domain </w:t>
      </w:r>
      <w:proofErr w:type="spellStart"/>
      <w:r w:rsidRPr="00E741A9">
        <w:t>Thermoreflectance</w:t>
      </w:r>
      <w:proofErr w:type="spellEnd"/>
      <w:r w:rsidRPr="00E741A9">
        <w:t xml:space="preserve"> (AB-TDTR) Method. </w:t>
      </w:r>
      <w:r w:rsidRPr="00E741A9">
        <w:rPr>
          <w:i/>
          <w:iCs/>
        </w:rPr>
        <w:t xml:space="preserve">Rev. Sci. </w:t>
      </w:r>
      <w:proofErr w:type="spellStart"/>
      <w:r w:rsidRPr="00E741A9">
        <w:rPr>
          <w:i/>
          <w:iCs/>
        </w:rPr>
        <w:t>Instrum</w:t>
      </w:r>
      <w:proofErr w:type="spellEnd"/>
      <w:r w:rsidRPr="00E741A9">
        <w:rPr>
          <w:i/>
          <w:iCs/>
        </w:rPr>
        <w:t>.</w:t>
      </w:r>
      <w:r w:rsidRPr="00E741A9">
        <w:t xml:space="preserve">, </w:t>
      </w:r>
      <w:r w:rsidRPr="0014450A">
        <w:rPr>
          <w:b/>
          <w:bCs/>
        </w:rPr>
        <w:t>89</w:t>
      </w:r>
      <w:r w:rsidRPr="00E741A9">
        <w:t xml:space="preserve"> (8), 084901</w:t>
      </w:r>
      <w:r w:rsidR="0014450A">
        <w:t xml:space="preserve"> (</w:t>
      </w:r>
      <w:r w:rsidR="0014450A" w:rsidRPr="00E741A9">
        <w:t>2018</w:t>
      </w:r>
      <w:r w:rsidR="0014450A">
        <w:t>)</w:t>
      </w:r>
      <w:r w:rsidRPr="00E741A9">
        <w:t xml:space="preserve">. </w:t>
      </w:r>
    </w:p>
    <w:p w14:paraId="4F9FD800" w14:textId="5B666AE4" w:rsidR="005D7D69" w:rsidRPr="00E741A9" w:rsidRDefault="005D7D69" w:rsidP="005D7D69">
      <w:pPr>
        <w:pStyle w:val="Bibliography"/>
      </w:pPr>
      <w:r w:rsidRPr="00E741A9">
        <w:t xml:space="preserve">(32) </w:t>
      </w:r>
      <w:r w:rsidRPr="00E741A9">
        <w:tab/>
      </w:r>
      <w:proofErr w:type="spellStart"/>
      <w:r w:rsidRPr="00E741A9">
        <w:t>Marszewski</w:t>
      </w:r>
      <w:proofErr w:type="spellEnd"/>
      <w:r w:rsidRPr="00E741A9">
        <w:t>, M.</w:t>
      </w:r>
      <w:r w:rsidR="00851F27">
        <w:t>,</w:t>
      </w:r>
      <w:r w:rsidRPr="00E741A9">
        <w:t xml:space="preserve"> Butts, D.</w:t>
      </w:r>
      <w:r w:rsidR="00851F27">
        <w:t>,</w:t>
      </w:r>
      <w:r w:rsidRPr="00E741A9">
        <w:t xml:space="preserve"> Lan, E.</w:t>
      </w:r>
      <w:r w:rsidR="00851F27">
        <w:t>,</w:t>
      </w:r>
      <w:r w:rsidRPr="00E741A9">
        <w:t xml:space="preserve"> Yan, Y.</w:t>
      </w:r>
      <w:r w:rsidR="00851F27">
        <w:t>,</w:t>
      </w:r>
      <w:r w:rsidRPr="00E741A9">
        <w:t xml:space="preserve"> King, S. C.</w:t>
      </w:r>
      <w:r w:rsidR="00851F27">
        <w:t>,</w:t>
      </w:r>
      <w:r w:rsidRPr="00E741A9">
        <w:t xml:space="preserve"> McNeil, P. E.</w:t>
      </w:r>
      <w:r w:rsidR="00851F27">
        <w:t>,</w:t>
      </w:r>
      <w:r w:rsidRPr="00E741A9">
        <w:t xml:space="preserve"> </w:t>
      </w:r>
      <w:proofErr w:type="spellStart"/>
      <w:r w:rsidRPr="00E741A9">
        <w:t>Galy</w:t>
      </w:r>
      <w:proofErr w:type="spellEnd"/>
      <w:r w:rsidRPr="00E741A9">
        <w:t>, T.</w:t>
      </w:r>
      <w:r w:rsidR="00851F27">
        <w:t>,</w:t>
      </w:r>
      <w:r w:rsidRPr="00E741A9">
        <w:t xml:space="preserve"> Dunn, B.</w:t>
      </w:r>
      <w:r w:rsidR="00851F27">
        <w:t>,</w:t>
      </w:r>
      <w:r w:rsidRPr="00E741A9">
        <w:t xml:space="preserve"> Tolbert, S. H.</w:t>
      </w:r>
      <w:r w:rsidR="00851F27">
        <w:t>,</w:t>
      </w:r>
      <w:r w:rsidRPr="00E741A9">
        <w:t xml:space="preserve"> Hu, Y.</w:t>
      </w:r>
      <w:r w:rsidR="00851F27">
        <w:t>,</w:t>
      </w:r>
      <w:r w:rsidRPr="00E741A9">
        <w:t xml:space="preserve"> Pilon, L.</w:t>
      </w:r>
      <w:r w:rsidR="00851F27">
        <w:t>:</w:t>
      </w:r>
      <w:r w:rsidRPr="00E741A9">
        <w:t xml:space="preserve"> Effect of Surface Hydroxyl Groups on Heat Capacity of Mesoporous Silica. </w:t>
      </w:r>
      <w:r w:rsidRPr="00E741A9">
        <w:rPr>
          <w:i/>
          <w:iCs/>
        </w:rPr>
        <w:t>Appl. Phys. Lett.</w:t>
      </w:r>
      <w:r w:rsidRPr="00E741A9">
        <w:t xml:space="preserve">, </w:t>
      </w:r>
      <w:r w:rsidRPr="0014450A">
        <w:rPr>
          <w:b/>
          <w:bCs/>
        </w:rPr>
        <w:t xml:space="preserve">112 </w:t>
      </w:r>
      <w:r w:rsidRPr="00E741A9">
        <w:t>(20), 201903</w:t>
      </w:r>
      <w:r w:rsidR="0014450A">
        <w:t xml:space="preserve"> (</w:t>
      </w:r>
      <w:r w:rsidR="0014450A" w:rsidRPr="00E741A9">
        <w:t>2018</w:t>
      </w:r>
      <w:r w:rsidR="0014450A">
        <w:t>)</w:t>
      </w:r>
      <w:r w:rsidRPr="00E741A9">
        <w:t xml:space="preserve">. </w:t>
      </w:r>
    </w:p>
    <w:p w14:paraId="422E47E0" w14:textId="42A3174C" w:rsidR="005D7D69" w:rsidRPr="00E741A9" w:rsidRDefault="005D7D69" w:rsidP="005D7D69">
      <w:pPr>
        <w:pStyle w:val="Bibliography"/>
      </w:pPr>
      <w:r w:rsidRPr="00E741A9">
        <w:t xml:space="preserve">(33) </w:t>
      </w:r>
      <w:r w:rsidRPr="00E741A9">
        <w:tab/>
      </w:r>
      <w:proofErr w:type="spellStart"/>
      <w:r w:rsidRPr="00E741A9">
        <w:t>Ricklefs</w:t>
      </w:r>
      <w:proofErr w:type="spellEnd"/>
      <w:r w:rsidRPr="00E741A9">
        <w:t>, A.</w:t>
      </w:r>
      <w:r w:rsidR="00851F27">
        <w:t>,</w:t>
      </w:r>
      <w:r w:rsidRPr="00E741A9">
        <w:t xml:space="preserve"> Thiele, A. M.</w:t>
      </w:r>
      <w:r w:rsidR="00851F27">
        <w:t>,</w:t>
      </w:r>
      <w:r w:rsidRPr="00E741A9">
        <w:t xml:space="preserve"> </w:t>
      </w:r>
      <w:proofErr w:type="spellStart"/>
      <w:r w:rsidRPr="00E741A9">
        <w:t>Falzone</w:t>
      </w:r>
      <w:proofErr w:type="spellEnd"/>
      <w:r w:rsidRPr="00E741A9">
        <w:t>, G.</w:t>
      </w:r>
      <w:r w:rsidR="00851F27">
        <w:t>,</w:t>
      </w:r>
      <w:r w:rsidRPr="00E741A9">
        <w:t xml:space="preserve"> Sant, G.</w:t>
      </w:r>
      <w:r w:rsidR="00851F27">
        <w:t>,</w:t>
      </w:r>
      <w:r w:rsidRPr="00E741A9">
        <w:t xml:space="preserve"> Pilon, L.</w:t>
      </w:r>
      <w:r w:rsidR="00851F27">
        <w:t>:</w:t>
      </w:r>
      <w:r w:rsidRPr="00E741A9">
        <w:t xml:space="preserve"> Thermal Conductivity of Cementitious Composites Containing Microencapsulated Phase Change Materials. </w:t>
      </w:r>
      <w:r w:rsidRPr="00E741A9">
        <w:rPr>
          <w:i/>
          <w:iCs/>
        </w:rPr>
        <w:t>Int. J. Heat Mass Transf.</w:t>
      </w:r>
      <w:r w:rsidRPr="00E741A9">
        <w:t xml:space="preserve">, </w:t>
      </w:r>
      <w:r w:rsidRPr="0014450A">
        <w:rPr>
          <w:b/>
          <w:bCs/>
        </w:rPr>
        <w:t>104</w:t>
      </w:r>
      <w:r w:rsidRPr="00E741A9">
        <w:t>, 71–82</w:t>
      </w:r>
      <w:r w:rsidR="0014450A">
        <w:t xml:space="preserve"> (</w:t>
      </w:r>
      <w:r w:rsidR="0014450A" w:rsidRPr="00E741A9">
        <w:t>2017</w:t>
      </w:r>
      <w:r w:rsidR="0014450A">
        <w:t>)</w:t>
      </w:r>
      <w:r w:rsidRPr="00E741A9">
        <w:t xml:space="preserve">. </w:t>
      </w:r>
    </w:p>
    <w:p w14:paraId="4054BC5E" w14:textId="42AA2C39" w:rsidR="00C10A5F" w:rsidRDefault="00C10A5F"/>
    <w:sectPr w:rsidR="00C10A5F" w:rsidSect="000C2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75EF" w14:textId="77777777" w:rsidR="002D40DF" w:rsidRDefault="002D40DF" w:rsidP="0017782D">
      <w:r>
        <w:separator/>
      </w:r>
    </w:p>
  </w:endnote>
  <w:endnote w:type="continuationSeparator" w:id="0">
    <w:p w14:paraId="586F3327" w14:textId="77777777" w:rsidR="002D40DF" w:rsidRDefault="002D40DF" w:rsidP="0017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Monaco">
    <w:panose1 w:val="00000000000000000000"/>
    <w:charset w:val="4D"/>
    <w:family w:val="auto"/>
    <w:pitch w:val="variable"/>
    <w:sig w:usb0="A00002FF" w:usb1="500039FB"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8912" w14:textId="77777777" w:rsidR="002D40DF" w:rsidRDefault="002D40DF" w:rsidP="0017782D">
      <w:r>
        <w:separator/>
      </w:r>
    </w:p>
  </w:footnote>
  <w:footnote w:type="continuationSeparator" w:id="0">
    <w:p w14:paraId="02097F91" w14:textId="77777777" w:rsidR="002D40DF" w:rsidRDefault="002D40DF" w:rsidP="0017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05B"/>
    <w:multiLevelType w:val="hybridMultilevel"/>
    <w:tmpl w:val="46AE1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2D"/>
    <w:rsid w:val="000912F7"/>
    <w:rsid w:val="000C206F"/>
    <w:rsid w:val="000C3BDF"/>
    <w:rsid w:val="0014450A"/>
    <w:rsid w:val="0017782D"/>
    <w:rsid w:val="001E6F84"/>
    <w:rsid w:val="001F5488"/>
    <w:rsid w:val="002D40DF"/>
    <w:rsid w:val="002F2868"/>
    <w:rsid w:val="003329FA"/>
    <w:rsid w:val="003444D4"/>
    <w:rsid w:val="003D2D86"/>
    <w:rsid w:val="004529A8"/>
    <w:rsid w:val="004561F0"/>
    <w:rsid w:val="004D6542"/>
    <w:rsid w:val="0052420E"/>
    <w:rsid w:val="00541CF1"/>
    <w:rsid w:val="00551E37"/>
    <w:rsid w:val="00557D72"/>
    <w:rsid w:val="005D5239"/>
    <w:rsid w:val="005D731A"/>
    <w:rsid w:val="005D7D69"/>
    <w:rsid w:val="00704088"/>
    <w:rsid w:val="00723912"/>
    <w:rsid w:val="00752CBF"/>
    <w:rsid w:val="007F1BCC"/>
    <w:rsid w:val="007F5BCC"/>
    <w:rsid w:val="0084661D"/>
    <w:rsid w:val="00851F27"/>
    <w:rsid w:val="00866AE3"/>
    <w:rsid w:val="00874BE2"/>
    <w:rsid w:val="0089353E"/>
    <w:rsid w:val="008C1B0E"/>
    <w:rsid w:val="0090351E"/>
    <w:rsid w:val="009851B0"/>
    <w:rsid w:val="009A202F"/>
    <w:rsid w:val="009B1B54"/>
    <w:rsid w:val="00A3168E"/>
    <w:rsid w:val="00A36419"/>
    <w:rsid w:val="00AD1BDC"/>
    <w:rsid w:val="00AD6D79"/>
    <w:rsid w:val="00B61BD6"/>
    <w:rsid w:val="00C10A5F"/>
    <w:rsid w:val="00C12C5E"/>
    <w:rsid w:val="00C307A0"/>
    <w:rsid w:val="00C35985"/>
    <w:rsid w:val="00C4566F"/>
    <w:rsid w:val="00C81ADB"/>
    <w:rsid w:val="00C862B6"/>
    <w:rsid w:val="00C9010C"/>
    <w:rsid w:val="00CD5986"/>
    <w:rsid w:val="00D11A60"/>
    <w:rsid w:val="00D41DDE"/>
    <w:rsid w:val="00D97949"/>
    <w:rsid w:val="00E741A9"/>
    <w:rsid w:val="00EA1A0F"/>
    <w:rsid w:val="00ED19AF"/>
    <w:rsid w:val="00EE05E4"/>
    <w:rsid w:val="00F941CF"/>
    <w:rsid w:val="00F9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0662"/>
  <w15:chartTrackingRefBased/>
  <w15:docId w15:val="{D12673B4-E5DD-4648-B3CF-03BC3713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78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7782D"/>
    <w:pPr>
      <w:tabs>
        <w:tab w:val="left" w:pos="0"/>
        <w:tab w:val="left" w:pos="260"/>
        <w:tab w:val="left" w:pos="500"/>
        <w:tab w:val="left" w:pos="620"/>
      </w:tabs>
      <w:ind w:left="624" w:hanging="624"/>
    </w:pPr>
  </w:style>
  <w:style w:type="paragraph" w:styleId="ListParagraph">
    <w:name w:val="List Paragraph"/>
    <w:basedOn w:val="Normal"/>
    <w:uiPriority w:val="34"/>
    <w:qFormat/>
    <w:rsid w:val="0017782D"/>
    <w:pPr>
      <w:ind w:left="720"/>
      <w:contextualSpacing/>
    </w:pPr>
  </w:style>
  <w:style w:type="character" w:styleId="CommentReference">
    <w:name w:val="annotation reference"/>
    <w:basedOn w:val="DefaultParagraphFont"/>
    <w:uiPriority w:val="99"/>
    <w:semiHidden/>
    <w:unhideWhenUsed/>
    <w:rsid w:val="0017782D"/>
    <w:rPr>
      <w:sz w:val="16"/>
      <w:szCs w:val="16"/>
    </w:rPr>
  </w:style>
  <w:style w:type="paragraph" w:styleId="CommentText">
    <w:name w:val="annotation text"/>
    <w:basedOn w:val="Normal"/>
    <w:link w:val="CommentTextChar"/>
    <w:uiPriority w:val="99"/>
    <w:semiHidden/>
    <w:unhideWhenUsed/>
    <w:rsid w:val="0017782D"/>
    <w:rPr>
      <w:sz w:val="20"/>
      <w:szCs w:val="20"/>
    </w:rPr>
  </w:style>
  <w:style w:type="character" w:customStyle="1" w:styleId="CommentTextChar">
    <w:name w:val="Comment Text Char"/>
    <w:basedOn w:val="DefaultParagraphFont"/>
    <w:link w:val="CommentText"/>
    <w:uiPriority w:val="99"/>
    <w:semiHidden/>
    <w:rsid w:val="0017782D"/>
    <w:rPr>
      <w:rFonts w:ascii="Times New Roman" w:eastAsia="Times New Roman" w:hAnsi="Times New Roman" w:cs="Times New Roman"/>
      <w:sz w:val="20"/>
      <w:szCs w:val="20"/>
    </w:rPr>
  </w:style>
  <w:style w:type="paragraph" w:customStyle="1" w:styleId="TableHead">
    <w:name w:val="TableHead"/>
    <w:basedOn w:val="Normal"/>
    <w:rsid w:val="0017782D"/>
    <w:pPr>
      <w:pBdr>
        <w:top w:val="single" w:sz="4" w:space="4" w:color="FFFFFF"/>
        <w:left w:val="single" w:sz="4" w:space="4" w:color="FFFFFF"/>
        <w:bottom w:val="single" w:sz="4" w:space="4" w:color="FFFFFF"/>
        <w:right w:val="single" w:sz="4" w:space="4" w:color="FFFFFF"/>
      </w:pBdr>
      <w:spacing w:line="190" w:lineRule="exact"/>
      <w:jc w:val="both"/>
    </w:pPr>
    <w:rPr>
      <w:rFonts w:ascii="Arial" w:eastAsia="MS Mincho" w:hAnsi="Arial"/>
      <w:sz w:val="16"/>
      <w:szCs w:val="14"/>
      <w:lang w:val="en-GB" w:eastAsia="ja-JP"/>
    </w:rPr>
  </w:style>
  <w:style w:type="paragraph" w:customStyle="1" w:styleId="TableBody">
    <w:name w:val="TableBody"/>
    <w:basedOn w:val="TableHead"/>
    <w:rsid w:val="0017782D"/>
  </w:style>
  <w:style w:type="paragraph" w:styleId="FootnoteText">
    <w:name w:val="footnote text"/>
    <w:basedOn w:val="Normal"/>
    <w:link w:val="FootnoteTextChar"/>
    <w:uiPriority w:val="99"/>
    <w:semiHidden/>
    <w:unhideWhenUsed/>
    <w:rsid w:val="0017782D"/>
    <w:rPr>
      <w:sz w:val="20"/>
      <w:szCs w:val="20"/>
    </w:rPr>
  </w:style>
  <w:style w:type="character" w:customStyle="1" w:styleId="FootnoteTextChar">
    <w:name w:val="Footnote Text Char"/>
    <w:basedOn w:val="DefaultParagraphFont"/>
    <w:link w:val="FootnoteText"/>
    <w:uiPriority w:val="99"/>
    <w:semiHidden/>
    <w:rsid w:val="001778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782D"/>
    <w:rPr>
      <w:vertAlign w:val="superscript"/>
    </w:rPr>
  </w:style>
  <w:style w:type="paragraph" w:styleId="BalloonText">
    <w:name w:val="Balloon Text"/>
    <w:basedOn w:val="Normal"/>
    <w:link w:val="BalloonTextChar"/>
    <w:uiPriority w:val="99"/>
    <w:semiHidden/>
    <w:unhideWhenUsed/>
    <w:rsid w:val="0017782D"/>
    <w:rPr>
      <w:sz w:val="18"/>
      <w:szCs w:val="18"/>
    </w:rPr>
  </w:style>
  <w:style w:type="character" w:customStyle="1" w:styleId="BalloonTextChar">
    <w:name w:val="Balloon Text Char"/>
    <w:basedOn w:val="DefaultParagraphFont"/>
    <w:link w:val="BalloonText"/>
    <w:uiPriority w:val="99"/>
    <w:semiHidden/>
    <w:rsid w:val="0017782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F5BCC"/>
    <w:rPr>
      <w:color w:val="0563C1" w:themeColor="hyperlink"/>
      <w:u w:val="single"/>
    </w:rPr>
  </w:style>
  <w:style w:type="character" w:styleId="EndnoteReference">
    <w:name w:val="endnote reference"/>
    <w:basedOn w:val="DefaultParagraphFont"/>
    <w:uiPriority w:val="99"/>
    <w:semiHidden/>
    <w:unhideWhenUsed/>
    <w:rsid w:val="00524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bdunn@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Butts</dc:creator>
  <cp:keywords/>
  <dc:description/>
  <cp:lastModifiedBy>Danielle Butts</cp:lastModifiedBy>
  <cp:revision>9</cp:revision>
  <dcterms:created xsi:type="dcterms:W3CDTF">2020-09-25T22:15:00Z</dcterms:created>
  <dcterms:modified xsi:type="dcterms:W3CDTF">2020-09-29T15:16:00Z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id="pwD5pPTq"/&gt;&lt;style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 name="delayCitationUpdates" value="true"/&gt;&lt;pref name="dontAskDelayCitationUpdates" value="true"/&gt;&lt;/prefs&gt;&lt;/data&gt;</vt:lpwstr>
  </property>
</Properties>
</file>