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0AC3A7" w14:textId="3E6F04D1" w:rsidR="002C5D8F" w:rsidRPr="009E1E3C" w:rsidRDefault="002C5D8F" w:rsidP="00643C29">
      <w:pPr>
        <w:pStyle w:val="Title2"/>
        <w:spacing w:line="360" w:lineRule="auto"/>
        <w:jc w:val="center"/>
        <w:rPr>
          <w:b w:val="0"/>
          <w:color w:val="000000"/>
          <w:sz w:val="32"/>
          <w:szCs w:val="32"/>
        </w:rPr>
      </w:pPr>
      <w:r w:rsidRPr="009E1E3C">
        <w:rPr>
          <w:b w:val="0"/>
          <w:color w:val="000000"/>
          <w:sz w:val="32"/>
          <w:szCs w:val="32"/>
        </w:rPr>
        <w:t>Supporting Information</w:t>
      </w:r>
    </w:p>
    <w:p w14:paraId="055C4FAB" w14:textId="77777777" w:rsidR="005001AC" w:rsidRPr="009E1E3C" w:rsidRDefault="005001AC" w:rsidP="002C5D8F">
      <w:pPr>
        <w:spacing w:line="360" w:lineRule="auto"/>
      </w:pPr>
    </w:p>
    <w:p w14:paraId="79FA82AB" w14:textId="77777777" w:rsidR="00BC2E33" w:rsidRPr="009E1E3C" w:rsidRDefault="00BC2E33" w:rsidP="00BC2E33">
      <w:pPr>
        <w:spacing w:after="160" w:line="276" w:lineRule="auto"/>
        <w:rPr>
          <w:rFonts w:eastAsia="DengXian"/>
          <w:b/>
          <w:sz w:val="32"/>
          <w:szCs w:val="24"/>
          <w:lang w:eastAsia="zh-CN"/>
        </w:rPr>
      </w:pPr>
      <w:bookmarkStart w:id="0" w:name="_Hlk38575836"/>
      <w:r w:rsidRPr="009E1E3C">
        <w:rPr>
          <w:rFonts w:eastAsia="Yu Mincho"/>
          <w:b/>
          <w:sz w:val="32"/>
          <w:szCs w:val="24"/>
        </w:rPr>
        <w:t>Sustainable Design of Fully Recyclable All Solid-State Batteries</w:t>
      </w:r>
    </w:p>
    <w:p w14:paraId="1A73DB86" w14:textId="77777777" w:rsidR="00BC2E33" w:rsidRPr="009E1E3C" w:rsidRDefault="00BC2E33" w:rsidP="00BC2E33">
      <w:pPr>
        <w:spacing w:after="160" w:line="276" w:lineRule="auto"/>
        <w:rPr>
          <w:rFonts w:eastAsia="Yu Mincho"/>
          <w:i/>
          <w:szCs w:val="24"/>
        </w:rPr>
      </w:pPr>
      <w:r w:rsidRPr="009E1E3C">
        <w:rPr>
          <w:rFonts w:eastAsia="Yu Mincho"/>
          <w:i/>
          <w:szCs w:val="24"/>
        </w:rPr>
        <w:t>Darren H. S. Tan,</w:t>
      </w:r>
      <w:r w:rsidRPr="009E1E3C">
        <w:rPr>
          <w:rFonts w:eastAsia="Yu Mincho"/>
          <w:i/>
          <w:szCs w:val="24"/>
          <w:vertAlign w:val="superscript"/>
        </w:rPr>
        <w:t>a,</w:t>
      </w:r>
      <w:r w:rsidRPr="009E1E3C">
        <w:rPr>
          <w:rFonts w:eastAsia="Yu Mincho"/>
          <w:color w:val="242729"/>
          <w:szCs w:val="24"/>
          <w:shd w:val="clear" w:color="auto" w:fill="FFFFFF"/>
          <w:vertAlign w:val="superscript"/>
        </w:rPr>
        <w:t>†</w:t>
      </w:r>
      <w:r w:rsidRPr="009E1E3C">
        <w:rPr>
          <w:rFonts w:eastAsia="Yu Mincho"/>
          <w:szCs w:val="24"/>
        </w:rPr>
        <w:t xml:space="preserve"> </w:t>
      </w:r>
      <w:r w:rsidRPr="009E1E3C">
        <w:rPr>
          <w:rFonts w:eastAsia="Yu Mincho"/>
          <w:i/>
          <w:szCs w:val="24"/>
        </w:rPr>
        <w:t>Panpan Xu,</w:t>
      </w:r>
      <w:r w:rsidRPr="009E1E3C">
        <w:rPr>
          <w:rFonts w:eastAsia="Yu Mincho"/>
          <w:i/>
          <w:szCs w:val="24"/>
          <w:vertAlign w:val="superscript"/>
        </w:rPr>
        <w:t>a,</w:t>
      </w:r>
      <w:r w:rsidRPr="009E1E3C">
        <w:rPr>
          <w:rFonts w:eastAsia="Yu Mincho"/>
          <w:color w:val="242729"/>
          <w:szCs w:val="24"/>
          <w:shd w:val="clear" w:color="auto" w:fill="FFFFFF"/>
          <w:vertAlign w:val="superscript"/>
        </w:rPr>
        <w:t>†</w:t>
      </w:r>
      <w:r w:rsidRPr="009E1E3C">
        <w:rPr>
          <w:rFonts w:eastAsia="Yu Mincho"/>
          <w:szCs w:val="24"/>
        </w:rPr>
        <w:t xml:space="preserve"> </w:t>
      </w:r>
      <w:r w:rsidRPr="009E1E3C">
        <w:rPr>
          <w:rFonts w:eastAsia="Yu Mincho"/>
          <w:i/>
          <w:szCs w:val="24"/>
        </w:rPr>
        <w:t>Hedi Yang,</w:t>
      </w:r>
      <w:r w:rsidRPr="009E1E3C">
        <w:rPr>
          <w:rFonts w:eastAsia="Yu Mincho"/>
          <w:i/>
          <w:szCs w:val="24"/>
          <w:vertAlign w:val="superscript"/>
        </w:rPr>
        <w:t>a</w:t>
      </w:r>
      <w:r w:rsidRPr="009E1E3C">
        <w:rPr>
          <w:rFonts w:eastAsia="Yu Mincho"/>
          <w:i/>
          <w:szCs w:val="24"/>
        </w:rPr>
        <w:t xml:space="preserve"> Min-cheol Kim,</w:t>
      </w:r>
      <w:r w:rsidRPr="009E1E3C">
        <w:rPr>
          <w:rFonts w:eastAsia="Yu Mincho"/>
          <w:i/>
          <w:szCs w:val="24"/>
          <w:vertAlign w:val="superscript"/>
        </w:rPr>
        <w:t>a</w:t>
      </w:r>
      <w:r w:rsidRPr="009E1E3C">
        <w:rPr>
          <w:rFonts w:eastAsia="Yu Mincho"/>
          <w:i/>
          <w:szCs w:val="24"/>
        </w:rPr>
        <w:t xml:space="preserve"> Han Nguyen,</w:t>
      </w:r>
      <w:r w:rsidRPr="009E1E3C">
        <w:rPr>
          <w:rFonts w:eastAsia="Yu Mincho"/>
          <w:i/>
          <w:szCs w:val="24"/>
          <w:vertAlign w:val="superscript"/>
        </w:rPr>
        <w:t>a</w:t>
      </w:r>
      <w:r w:rsidRPr="009E1E3C">
        <w:rPr>
          <w:rFonts w:eastAsia="Yu Mincho"/>
          <w:i/>
          <w:szCs w:val="24"/>
        </w:rPr>
        <w:t xml:space="preserve"> Erik A. Wu,</w:t>
      </w:r>
      <w:r w:rsidRPr="009E1E3C">
        <w:rPr>
          <w:rFonts w:eastAsia="Yu Mincho"/>
          <w:i/>
          <w:szCs w:val="24"/>
          <w:vertAlign w:val="superscript"/>
        </w:rPr>
        <w:t>a</w:t>
      </w:r>
      <w:r w:rsidRPr="009E1E3C">
        <w:rPr>
          <w:rFonts w:eastAsia="Yu Mincho"/>
          <w:i/>
          <w:szCs w:val="24"/>
        </w:rPr>
        <w:t xml:space="preserve"> Jean-Marie Doux,</w:t>
      </w:r>
      <w:r w:rsidRPr="009E1E3C">
        <w:rPr>
          <w:rFonts w:eastAsia="Yu Mincho"/>
          <w:i/>
          <w:szCs w:val="24"/>
          <w:vertAlign w:val="superscript"/>
        </w:rPr>
        <w:t>a</w:t>
      </w:r>
      <w:r w:rsidRPr="009E1E3C">
        <w:rPr>
          <w:rFonts w:eastAsia="Yu Mincho"/>
          <w:i/>
          <w:szCs w:val="24"/>
        </w:rPr>
        <w:t xml:space="preserve"> Abhik Banerjee,</w:t>
      </w:r>
      <w:r w:rsidRPr="009E1E3C">
        <w:rPr>
          <w:rFonts w:eastAsia="Yu Mincho"/>
          <w:i/>
          <w:szCs w:val="24"/>
          <w:vertAlign w:val="superscript"/>
        </w:rPr>
        <w:t>a</w:t>
      </w:r>
      <w:r w:rsidRPr="009E1E3C">
        <w:rPr>
          <w:rFonts w:eastAsia="Yu Mincho"/>
          <w:i/>
          <w:szCs w:val="24"/>
        </w:rPr>
        <w:t xml:space="preserve"> Ying. Shirley Meng,</w:t>
      </w:r>
      <w:r w:rsidRPr="009E1E3C">
        <w:rPr>
          <w:rFonts w:eastAsia="Yu Mincho"/>
          <w:i/>
          <w:szCs w:val="24"/>
          <w:vertAlign w:val="superscript"/>
        </w:rPr>
        <w:t xml:space="preserve">a,b </w:t>
      </w:r>
      <w:r w:rsidRPr="009E1E3C">
        <w:rPr>
          <w:rFonts w:eastAsia="Yu Mincho"/>
          <w:i/>
          <w:szCs w:val="24"/>
        </w:rPr>
        <w:t>and Zheng Chen,</w:t>
      </w:r>
      <w:r w:rsidRPr="009E1E3C">
        <w:rPr>
          <w:rFonts w:eastAsia="Yu Mincho"/>
          <w:i/>
          <w:szCs w:val="24"/>
          <w:vertAlign w:val="superscript"/>
        </w:rPr>
        <w:t>a,b,c*</w:t>
      </w:r>
    </w:p>
    <w:p w14:paraId="69B971D4" w14:textId="77777777" w:rsidR="00BC2E33" w:rsidRPr="009E1E3C" w:rsidRDefault="00BC2E33" w:rsidP="00BC2E33">
      <w:pPr>
        <w:spacing w:after="160" w:line="276" w:lineRule="auto"/>
        <w:rPr>
          <w:rFonts w:eastAsia="Yu Mincho"/>
          <w:szCs w:val="24"/>
        </w:rPr>
      </w:pPr>
      <w:r w:rsidRPr="009E1E3C">
        <w:rPr>
          <w:rFonts w:eastAsia="Yu Mincho"/>
          <w:szCs w:val="24"/>
          <w:vertAlign w:val="superscript"/>
        </w:rPr>
        <w:t xml:space="preserve">a </w:t>
      </w:r>
      <w:r w:rsidRPr="009E1E3C">
        <w:rPr>
          <w:rFonts w:eastAsia="Yu Mincho"/>
          <w:szCs w:val="24"/>
        </w:rPr>
        <w:t>Department of NanoEngineering, University of California San Diego, La Jolla, CA 92093</w:t>
      </w:r>
    </w:p>
    <w:p w14:paraId="0A50BD2B" w14:textId="77777777" w:rsidR="00BC2E33" w:rsidRPr="009E1E3C" w:rsidRDefault="00BC2E33" w:rsidP="00BC2E33">
      <w:pPr>
        <w:spacing w:after="160" w:line="276" w:lineRule="auto"/>
        <w:rPr>
          <w:rFonts w:eastAsia="Yu Mincho"/>
          <w:szCs w:val="24"/>
        </w:rPr>
      </w:pPr>
      <w:r w:rsidRPr="009E1E3C">
        <w:rPr>
          <w:rFonts w:eastAsia="Yu Mincho"/>
          <w:szCs w:val="24"/>
          <w:vertAlign w:val="superscript"/>
        </w:rPr>
        <w:t xml:space="preserve">b </w:t>
      </w:r>
      <w:r w:rsidRPr="009E1E3C">
        <w:rPr>
          <w:rFonts w:eastAsia="Yu Mincho"/>
          <w:szCs w:val="24"/>
        </w:rPr>
        <w:t>Sustainable Power &amp; Energy Center (SPEC), University of California San Diego, La Jolla, CA 92093</w:t>
      </w:r>
    </w:p>
    <w:p w14:paraId="5675C45B" w14:textId="77777777" w:rsidR="00BC2E33" w:rsidRPr="009E1E3C" w:rsidRDefault="00BC2E33" w:rsidP="00BC2E33">
      <w:pPr>
        <w:spacing w:after="160" w:line="276" w:lineRule="auto"/>
        <w:rPr>
          <w:rFonts w:eastAsia="DengXian"/>
          <w:szCs w:val="24"/>
          <w:lang w:eastAsia="zh-CN"/>
        </w:rPr>
      </w:pPr>
      <w:r w:rsidRPr="009E1E3C">
        <w:rPr>
          <w:rFonts w:eastAsia="Yu Mincho"/>
          <w:szCs w:val="24"/>
          <w:vertAlign w:val="superscript"/>
        </w:rPr>
        <w:t>c</w:t>
      </w:r>
      <w:r w:rsidRPr="009E1E3C">
        <w:rPr>
          <w:rFonts w:eastAsia="Yu Mincho"/>
          <w:szCs w:val="24"/>
        </w:rPr>
        <w:t xml:space="preserve"> Program of Chemical Engineering, University of California San Diego, La Jolla, CA 92093</w:t>
      </w:r>
    </w:p>
    <w:p w14:paraId="7EFAB790" w14:textId="77777777" w:rsidR="00BC2E33" w:rsidRPr="009E1E3C" w:rsidRDefault="00BC2E33" w:rsidP="00BC2E33">
      <w:pPr>
        <w:spacing w:after="160" w:line="276" w:lineRule="auto"/>
        <w:rPr>
          <w:rFonts w:eastAsia="Yu Mincho"/>
          <w:szCs w:val="24"/>
        </w:rPr>
      </w:pPr>
      <w:r w:rsidRPr="009E1E3C">
        <w:rPr>
          <w:rFonts w:eastAsia="Yu Mincho"/>
          <w:szCs w:val="24"/>
        </w:rPr>
        <w:t xml:space="preserve">*Correspondence to: </w:t>
      </w:r>
      <w:hyperlink r:id="rId8" w:history="1">
        <w:r w:rsidRPr="009E1E3C">
          <w:rPr>
            <w:rFonts w:eastAsia="Yu Mincho"/>
            <w:color w:val="0000FF"/>
            <w:szCs w:val="24"/>
            <w:u w:val="single"/>
          </w:rPr>
          <w:t>zhengchen@eng.ucsd.edu</w:t>
        </w:r>
      </w:hyperlink>
      <w:r w:rsidRPr="009E1E3C">
        <w:rPr>
          <w:rFonts w:eastAsia="Yu Mincho"/>
          <w:szCs w:val="24"/>
        </w:rPr>
        <w:t xml:space="preserve">; </w:t>
      </w:r>
    </w:p>
    <w:bookmarkEnd w:id="0"/>
    <w:p w14:paraId="1EBDE992" w14:textId="77777777" w:rsidR="000F0DCE" w:rsidRPr="009E1E3C" w:rsidRDefault="000F0DCE" w:rsidP="00037285">
      <w:pPr>
        <w:spacing w:line="360" w:lineRule="auto"/>
        <w:jc w:val="center"/>
        <w:rPr>
          <w:szCs w:val="24"/>
        </w:rPr>
      </w:pPr>
    </w:p>
    <w:p w14:paraId="41FAE993" w14:textId="77777777" w:rsidR="002C030F" w:rsidRPr="009E1E3C" w:rsidRDefault="002C030F" w:rsidP="002C5D8F">
      <w:pPr>
        <w:spacing w:line="360" w:lineRule="auto"/>
      </w:pPr>
    </w:p>
    <w:p w14:paraId="09920EA7" w14:textId="77777777" w:rsidR="002C030F" w:rsidRPr="009E1E3C" w:rsidRDefault="009743A9" w:rsidP="002C5D8F">
      <w:pPr>
        <w:spacing w:line="360" w:lineRule="auto"/>
        <w:rPr>
          <w:b/>
        </w:rPr>
      </w:pPr>
      <w:r w:rsidRPr="009E1E3C">
        <w:rPr>
          <w:b/>
        </w:rPr>
        <w:t xml:space="preserve">This PDF file </w:t>
      </w:r>
      <w:r w:rsidR="002C030F" w:rsidRPr="009E1E3C">
        <w:rPr>
          <w:b/>
        </w:rPr>
        <w:t>includes:</w:t>
      </w:r>
    </w:p>
    <w:p w14:paraId="4348D444" w14:textId="77777777" w:rsidR="002C030F" w:rsidRPr="009E1E3C" w:rsidRDefault="002C030F" w:rsidP="002C5D8F">
      <w:pPr>
        <w:spacing w:line="360" w:lineRule="auto"/>
      </w:pPr>
    </w:p>
    <w:p w14:paraId="5C040600" w14:textId="149EC3A7" w:rsidR="002C030F" w:rsidRPr="009E1E3C" w:rsidRDefault="00BB2D2A" w:rsidP="002C5D8F">
      <w:pPr>
        <w:spacing w:line="360" w:lineRule="auto"/>
        <w:ind w:left="720"/>
      </w:pPr>
      <w:r w:rsidRPr="009E1E3C">
        <w:t>Supplementary</w:t>
      </w:r>
      <w:r w:rsidR="007B5946" w:rsidRPr="009E1E3C">
        <w:t xml:space="preserve"> </w:t>
      </w:r>
      <w:r w:rsidR="00D346C2" w:rsidRPr="009E1E3C">
        <w:t>t</w:t>
      </w:r>
      <w:r w:rsidR="002C030F" w:rsidRPr="009E1E3C">
        <w:t>ext</w:t>
      </w:r>
    </w:p>
    <w:p w14:paraId="7679992B" w14:textId="65137F84" w:rsidR="00A84B5F" w:rsidRPr="009E1E3C" w:rsidRDefault="00A84B5F" w:rsidP="00A84B5F">
      <w:pPr>
        <w:spacing w:line="360" w:lineRule="auto"/>
        <w:ind w:left="720"/>
      </w:pPr>
      <w:r w:rsidRPr="009E1E3C">
        <w:t>Table S1</w:t>
      </w:r>
      <w:r w:rsidR="00A2741D" w:rsidRPr="009E1E3C">
        <w:t xml:space="preserve"> </w:t>
      </w:r>
    </w:p>
    <w:p w14:paraId="21670AEA" w14:textId="2F74B2A4" w:rsidR="002C030F" w:rsidRPr="009E1E3C" w:rsidRDefault="002C030F" w:rsidP="002C5D8F">
      <w:pPr>
        <w:spacing w:line="360" w:lineRule="auto"/>
        <w:ind w:left="720"/>
      </w:pPr>
      <w:r w:rsidRPr="009E1E3C">
        <w:t>Fig</w:t>
      </w:r>
      <w:r w:rsidR="00A3403B" w:rsidRPr="009E1E3C">
        <w:t xml:space="preserve">s. </w:t>
      </w:r>
      <w:r w:rsidRPr="009E1E3C">
        <w:t>S1</w:t>
      </w:r>
      <w:r w:rsidR="00A3403B" w:rsidRPr="009E1E3C">
        <w:t xml:space="preserve"> to </w:t>
      </w:r>
      <w:r w:rsidRPr="009E1E3C">
        <w:t>S</w:t>
      </w:r>
      <w:r w:rsidR="00E14FDB" w:rsidRPr="009E1E3C">
        <w:t>5</w:t>
      </w:r>
    </w:p>
    <w:p w14:paraId="7702D235" w14:textId="77777777" w:rsidR="002C030F" w:rsidRPr="009E1E3C" w:rsidRDefault="002C030F" w:rsidP="002C5D8F">
      <w:pPr>
        <w:spacing w:line="360" w:lineRule="auto"/>
      </w:pPr>
    </w:p>
    <w:p w14:paraId="0624FFEC" w14:textId="77777777" w:rsidR="00065EBD" w:rsidRPr="009E1E3C" w:rsidRDefault="00065EBD" w:rsidP="002C5D8F">
      <w:pPr>
        <w:spacing w:line="360" w:lineRule="auto"/>
        <w:ind w:left="720"/>
      </w:pPr>
    </w:p>
    <w:p w14:paraId="3CE912A9" w14:textId="77777777" w:rsidR="002C5D8F" w:rsidRPr="009E1E3C" w:rsidRDefault="002C5D8F" w:rsidP="002C5D8F">
      <w:pPr>
        <w:pStyle w:val="SMText"/>
        <w:spacing w:line="360" w:lineRule="auto"/>
        <w:ind w:firstLine="0"/>
        <w:rPr>
          <w:noProof/>
        </w:rPr>
      </w:pPr>
      <w:bookmarkStart w:id="1" w:name="Tables"/>
      <w:bookmarkStart w:id="2" w:name="MaterialsMethods"/>
      <w:bookmarkEnd w:id="1"/>
      <w:bookmarkEnd w:id="2"/>
      <w:r w:rsidRPr="009E1E3C">
        <w:rPr>
          <w:noProof/>
        </w:rPr>
        <w:br w:type="page"/>
      </w:r>
    </w:p>
    <w:p w14:paraId="448D0031" w14:textId="77777777" w:rsidR="00BC2E33" w:rsidRPr="009E1E3C" w:rsidRDefault="00BC2E33" w:rsidP="00BC2E33">
      <w:pPr>
        <w:pStyle w:val="ListParagraph"/>
        <w:numPr>
          <w:ilvl w:val="0"/>
          <w:numId w:val="13"/>
        </w:numPr>
        <w:spacing w:after="160" w:line="360" w:lineRule="auto"/>
        <w:contextualSpacing/>
        <w:jc w:val="both"/>
        <w:rPr>
          <w:b/>
          <w:szCs w:val="24"/>
        </w:rPr>
      </w:pPr>
      <w:r w:rsidRPr="009E1E3C">
        <w:rPr>
          <w:b/>
          <w:szCs w:val="24"/>
        </w:rPr>
        <w:lastRenderedPageBreak/>
        <w:t>METHODS &amp; MODELS</w:t>
      </w:r>
    </w:p>
    <w:p w14:paraId="704D402C" w14:textId="77777777" w:rsidR="00BC2E33" w:rsidRPr="009E1E3C" w:rsidRDefault="00BC2E33" w:rsidP="00643C29">
      <w:pPr>
        <w:pStyle w:val="ListParagraph"/>
        <w:spacing w:after="240" w:line="480" w:lineRule="auto"/>
        <w:ind w:left="0" w:firstLine="360"/>
        <w:jc w:val="both"/>
      </w:pPr>
      <w:r w:rsidRPr="009E1E3C">
        <w:rPr>
          <w:b/>
          <w:szCs w:val="24"/>
        </w:rPr>
        <w:t xml:space="preserve">Materials preparation. </w:t>
      </w:r>
      <w:r w:rsidRPr="009E1E3C">
        <w:rPr>
          <w:szCs w:val="24"/>
        </w:rPr>
        <w:t>Commercial Li</w:t>
      </w:r>
      <w:r w:rsidRPr="009E1E3C">
        <w:rPr>
          <w:szCs w:val="24"/>
          <w:vertAlign w:val="subscript"/>
        </w:rPr>
        <w:t>6</w:t>
      </w:r>
      <w:r w:rsidRPr="009E1E3C">
        <w:rPr>
          <w:szCs w:val="24"/>
        </w:rPr>
        <w:t>PS</w:t>
      </w:r>
      <w:r w:rsidRPr="009E1E3C">
        <w:rPr>
          <w:szCs w:val="24"/>
          <w:vertAlign w:val="subscript"/>
        </w:rPr>
        <w:t>5</w:t>
      </w:r>
      <w:r w:rsidRPr="009E1E3C">
        <w:rPr>
          <w:szCs w:val="24"/>
        </w:rPr>
        <w:t xml:space="preserve">Cl was obtained from NEI Corporation. XRD and Raman was conducted on the commercial sample to ensure phase purity before use. </w:t>
      </w:r>
      <w:r w:rsidRPr="009E1E3C">
        <w:rPr>
          <w:szCs w:val="24"/>
          <w:lang w:val="en-GB"/>
        </w:rPr>
        <w:t>The Li</w:t>
      </w:r>
      <w:r w:rsidRPr="009E1E3C">
        <w:rPr>
          <w:szCs w:val="24"/>
          <w:vertAlign w:val="subscript"/>
          <w:lang w:val="en-GB"/>
        </w:rPr>
        <w:t>6</w:t>
      </w:r>
      <w:r w:rsidRPr="009E1E3C">
        <w:rPr>
          <w:szCs w:val="24"/>
          <w:lang w:val="en-GB"/>
        </w:rPr>
        <w:t>PS</w:t>
      </w:r>
      <w:r w:rsidRPr="009E1E3C">
        <w:rPr>
          <w:szCs w:val="24"/>
          <w:vertAlign w:val="subscript"/>
          <w:lang w:val="en-GB"/>
        </w:rPr>
        <w:t>5</w:t>
      </w:r>
      <w:r w:rsidRPr="009E1E3C">
        <w:rPr>
          <w:szCs w:val="24"/>
          <w:lang w:val="en-GB"/>
        </w:rPr>
        <w:t>Cl-LiCoO</w:t>
      </w:r>
      <w:r w:rsidRPr="009E1E3C">
        <w:rPr>
          <w:szCs w:val="24"/>
          <w:vertAlign w:val="subscript"/>
          <w:lang w:val="en-GB"/>
        </w:rPr>
        <w:t>2</w:t>
      </w:r>
      <w:r w:rsidRPr="009E1E3C">
        <w:rPr>
          <w:szCs w:val="24"/>
          <w:lang w:val="en-GB"/>
        </w:rPr>
        <w:t xml:space="preserve"> electrode composite was prepared by hand mixing LiCoO</w:t>
      </w:r>
      <w:r w:rsidRPr="009E1E3C">
        <w:rPr>
          <w:szCs w:val="24"/>
          <w:vertAlign w:val="subscript"/>
          <w:lang w:val="en-GB"/>
        </w:rPr>
        <w:t>2</w:t>
      </w:r>
      <w:r w:rsidRPr="009E1E3C">
        <w:rPr>
          <w:szCs w:val="24"/>
          <w:lang w:val="en-GB"/>
        </w:rPr>
        <w:t xml:space="preserve"> (MTI Corporation) and Li</w:t>
      </w:r>
      <w:r w:rsidRPr="009E1E3C">
        <w:rPr>
          <w:szCs w:val="24"/>
          <w:vertAlign w:val="subscript"/>
          <w:lang w:val="en-GB"/>
        </w:rPr>
        <w:t>6</w:t>
      </w:r>
      <w:r w:rsidRPr="009E1E3C">
        <w:rPr>
          <w:szCs w:val="24"/>
          <w:lang w:val="en-GB"/>
        </w:rPr>
        <w:t>PS</w:t>
      </w:r>
      <w:r w:rsidRPr="009E1E3C">
        <w:rPr>
          <w:szCs w:val="24"/>
          <w:vertAlign w:val="subscript"/>
          <w:lang w:val="en-GB"/>
        </w:rPr>
        <w:t>5</w:t>
      </w:r>
      <w:r w:rsidRPr="009E1E3C">
        <w:rPr>
          <w:szCs w:val="24"/>
          <w:lang w:val="en-GB"/>
        </w:rPr>
        <w:t>Cl in a 70:30 weight ratio in an agate mortar and pestle for 5 minutes. Commercial lithium metal foil (FMC) was used as the counter electrode; the surface of the foil was first polished and pressed between stainless steel plates to reduce its thickness to 50-100 µm before use. Approximately 2wt% of LiNbO</w:t>
      </w:r>
      <w:r w:rsidRPr="009E1E3C">
        <w:rPr>
          <w:szCs w:val="24"/>
          <w:vertAlign w:val="subscript"/>
          <w:lang w:val="en-GB"/>
        </w:rPr>
        <w:t>3</w:t>
      </w:r>
      <w:r w:rsidRPr="009E1E3C">
        <w:rPr>
          <w:szCs w:val="24"/>
          <w:lang w:val="en-GB"/>
        </w:rPr>
        <w:t xml:space="preserve"> protective coating was applied onto the LiCoO</w:t>
      </w:r>
      <w:r w:rsidRPr="009E1E3C">
        <w:rPr>
          <w:szCs w:val="24"/>
          <w:vertAlign w:val="subscript"/>
          <w:lang w:val="en-GB"/>
        </w:rPr>
        <w:t>2</w:t>
      </w:r>
      <w:r w:rsidRPr="009E1E3C">
        <w:rPr>
          <w:szCs w:val="24"/>
          <w:lang w:val="en-GB"/>
        </w:rPr>
        <w:t xml:space="preserve"> particles via the sol-gel method before use.</w:t>
      </w:r>
    </w:p>
    <w:p w14:paraId="5EA3D929" w14:textId="77777777" w:rsidR="00BC2E33" w:rsidRPr="009E1E3C" w:rsidRDefault="00BC2E33" w:rsidP="00643C29">
      <w:pPr>
        <w:spacing w:after="240" w:line="480" w:lineRule="auto"/>
        <w:ind w:firstLine="360"/>
        <w:jc w:val="both"/>
      </w:pPr>
      <w:r w:rsidRPr="009E1E3C">
        <w:rPr>
          <w:b/>
        </w:rPr>
        <w:t>Materials Characterizatio</w:t>
      </w:r>
      <w:r w:rsidRPr="009E1E3C">
        <w:rPr>
          <w:b/>
          <w:szCs w:val="24"/>
        </w:rPr>
        <w:t>n</w:t>
      </w:r>
      <w:r w:rsidRPr="009E1E3C">
        <w:rPr>
          <w:b/>
        </w:rPr>
        <w:t>.</w:t>
      </w:r>
      <w:r w:rsidRPr="009E1E3C">
        <w:rPr>
          <w:b/>
          <w:vertAlign w:val="subscript"/>
        </w:rPr>
        <w:t xml:space="preserve"> </w:t>
      </w:r>
      <w:r w:rsidRPr="009E1E3C">
        <w:t xml:space="preserve">XRD was conducted using Cu Kα radiation (λ=1.54178 Å) over a 2θ range of 5-70° with a step size of 0.01°. The ICSD database was used to identify the peaks of </w:t>
      </w:r>
      <w:r w:rsidRPr="009E1E3C">
        <w:rPr>
          <w:szCs w:val="24"/>
          <w:lang w:val="en-GB"/>
        </w:rPr>
        <w:t>Li</w:t>
      </w:r>
      <w:r w:rsidRPr="009E1E3C">
        <w:rPr>
          <w:szCs w:val="24"/>
          <w:vertAlign w:val="subscript"/>
          <w:lang w:val="en-GB"/>
        </w:rPr>
        <w:t>6</w:t>
      </w:r>
      <w:r w:rsidRPr="009E1E3C">
        <w:rPr>
          <w:szCs w:val="24"/>
          <w:lang w:val="en-GB"/>
        </w:rPr>
        <w:t>PS</w:t>
      </w:r>
      <w:r w:rsidRPr="009E1E3C">
        <w:rPr>
          <w:szCs w:val="24"/>
          <w:vertAlign w:val="subscript"/>
          <w:lang w:val="en-GB"/>
        </w:rPr>
        <w:t>5</w:t>
      </w:r>
      <w:r w:rsidRPr="009E1E3C">
        <w:rPr>
          <w:szCs w:val="24"/>
          <w:lang w:val="en-GB"/>
        </w:rPr>
        <w:t>Cl</w:t>
      </w:r>
      <w:r w:rsidRPr="009E1E3C">
        <w:t>. A Perkin Elmer Raman Station 400F Spectrometer was used to collect Raman spectra intensity values from 134 to 1500 cm</w:t>
      </w:r>
      <w:r w:rsidRPr="009E1E3C">
        <w:rPr>
          <w:vertAlign w:val="superscript"/>
        </w:rPr>
        <w:t>-1</w:t>
      </w:r>
      <w:r w:rsidRPr="009E1E3C">
        <w:t>. As sulfide-based materials are sensitive to air and moisture, decomposing to form toxic gases such as H</w:t>
      </w:r>
      <w:r w:rsidRPr="009E1E3C">
        <w:rPr>
          <w:vertAlign w:val="subscript"/>
        </w:rPr>
        <w:t>2</w:t>
      </w:r>
      <w:r w:rsidRPr="009E1E3C">
        <w:t>S, all synthesis and characterization steps were done within an Argon-filled glovebox (MBraun MB 200B, H</w:t>
      </w:r>
      <w:r w:rsidRPr="009E1E3C">
        <w:rPr>
          <w:vertAlign w:val="subscript"/>
        </w:rPr>
        <w:t>2</w:t>
      </w:r>
      <w:r w:rsidRPr="009E1E3C">
        <w:t>O &lt; 0.5 ppm, O</w:t>
      </w:r>
      <w:r w:rsidRPr="009E1E3C">
        <w:rPr>
          <w:vertAlign w:val="subscript"/>
        </w:rPr>
        <w:t>2</w:t>
      </w:r>
      <w:r w:rsidRPr="009E1E3C">
        <w:t xml:space="preserve"> &lt; 5.0 ppm).</w:t>
      </w:r>
    </w:p>
    <w:p w14:paraId="4ECED96D" w14:textId="0B6644ED" w:rsidR="00BC2E33" w:rsidRPr="009E1E3C" w:rsidRDefault="00BC2E33" w:rsidP="00643C29">
      <w:pPr>
        <w:spacing w:after="240" w:line="480" w:lineRule="auto"/>
        <w:ind w:firstLine="360"/>
        <w:jc w:val="both"/>
        <w:rPr>
          <w:szCs w:val="24"/>
        </w:rPr>
      </w:pPr>
      <w:r w:rsidRPr="009E1E3C">
        <w:rPr>
          <w:b/>
        </w:rPr>
        <w:t xml:space="preserve">Electrochemical Characterization. </w:t>
      </w:r>
      <w:bookmarkStart w:id="3" w:name="_Toc517981650"/>
      <w:r w:rsidRPr="009E1E3C">
        <w:rPr>
          <w:szCs w:val="24"/>
        </w:rPr>
        <w:t xml:space="preserve">EIS was performed with a Solartron 1260 impedance analyzer for the pristine </w:t>
      </w:r>
      <w:r w:rsidRPr="009E1E3C">
        <w:rPr>
          <w:szCs w:val="24"/>
          <w:lang w:val="en-GB"/>
        </w:rPr>
        <w:t xml:space="preserve">and </w:t>
      </w:r>
      <w:r w:rsidRPr="009E1E3C">
        <w:rPr>
          <w:szCs w:val="24"/>
        </w:rPr>
        <w:t xml:space="preserve">recycled SSE. </w:t>
      </w:r>
      <w:bookmarkStart w:id="4" w:name="_Hlk526609205"/>
      <w:r w:rsidRPr="009E1E3C">
        <w:rPr>
          <w:szCs w:val="24"/>
        </w:rPr>
        <w:t xml:space="preserve">In an EIS setup, 70 mg of </w:t>
      </w:r>
      <w:r w:rsidRPr="009E1E3C">
        <w:rPr>
          <w:szCs w:val="24"/>
          <w:lang w:val="en-GB"/>
        </w:rPr>
        <w:t>Li</w:t>
      </w:r>
      <w:r w:rsidRPr="009E1E3C">
        <w:rPr>
          <w:szCs w:val="24"/>
          <w:vertAlign w:val="subscript"/>
          <w:lang w:val="en-GB"/>
        </w:rPr>
        <w:t>6</w:t>
      </w:r>
      <w:r w:rsidRPr="009E1E3C">
        <w:rPr>
          <w:szCs w:val="24"/>
          <w:lang w:val="en-GB"/>
        </w:rPr>
        <w:t>PS</w:t>
      </w:r>
      <w:r w:rsidRPr="009E1E3C">
        <w:rPr>
          <w:szCs w:val="24"/>
          <w:vertAlign w:val="subscript"/>
          <w:lang w:val="en-GB"/>
        </w:rPr>
        <w:t>5</w:t>
      </w:r>
      <w:r w:rsidRPr="009E1E3C">
        <w:rPr>
          <w:szCs w:val="24"/>
          <w:lang w:val="en-GB"/>
        </w:rPr>
        <w:t>Cl was cold pressed between two titanium current collectors. An</w:t>
      </w:r>
      <w:r w:rsidRPr="009E1E3C">
        <w:rPr>
          <w:szCs w:val="24"/>
        </w:rPr>
        <w:t xml:space="preserve"> applied AC potential of 30 mV over a frequency range from 1 MHz to 0.1 Hz was used for the EIS measurement.</w:t>
      </w:r>
      <w:bookmarkEnd w:id="4"/>
      <w:r w:rsidRPr="009E1E3C">
        <w:rPr>
          <w:szCs w:val="24"/>
        </w:rPr>
        <w:t xml:space="preserve"> The measurements were conducted at room temperature. </w:t>
      </w:r>
      <w:bookmarkStart w:id="5" w:name="_Hlk43417085"/>
      <w:r w:rsidRPr="009E1E3C">
        <w:rPr>
          <w:szCs w:val="24"/>
        </w:rPr>
        <w:t xml:space="preserve">For cell cycling, </w:t>
      </w:r>
      <w:r w:rsidR="00C74C52" w:rsidRPr="009E1E3C">
        <w:rPr>
          <w:szCs w:val="24"/>
        </w:rPr>
        <w:t xml:space="preserve">the solid </w:t>
      </w:r>
      <w:r w:rsidRPr="009E1E3C">
        <w:rPr>
          <w:szCs w:val="24"/>
        </w:rPr>
        <w:t xml:space="preserve">electrolyte </w:t>
      </w:r>
      <w:r w:rsidR="00C74C52" w:rsidRPr="009E1E3C">
        <w:rPr>
          <w:szCs w:val="24"/>
        </w:rPr>
        <w:t xml:space="preserve">powders </w:t>
      </w:r>
      <w:r w:rsidRPr="009E1E3C">
        <w:rPr>
          <w:szCs w:val="24"/>
        </w:rPr>
        <w:t>were first pressed at 370 MPa between the titanium plungers</w:t>
      </w:r>
      <w:r w:rsidR="00C74C52" w:rsidRPr="009E1E3C">
        <w:rPr>
          <w:szCs w:val="24"/>
        </w:rPr>
        <w:t xml:space="preserve"> enclosed in a </w:t>
      </w:r>
      <w:r w:rsidR="0047760F" w:rsidRPr="009E1E3C">
        <w:rPr>
          <w:szCs w:val="24"/>
        </w:rPr>
        <w:t>polyetheretherketone (</w:t>
      </w:r>
      <w:r w:rsidR="00C74C52" w:rsidRPr="009E1E3C">
        <w:rPr>
          <w:szCs w:val="24"/>
        </w:rPr>
        <w:t>PEEK</w:t>
      </w:r>
      <w:r w:rsidR="0047760F" w:rsidRPr="009E1E3C">
        <w:rPr>
          <w:szCs w:val="24"/>
        </w:rPr>
        <w:t>)</w:t>
      </w:r>
      <w:r w:rsidR="00C74C52" w:rsidRPr="009E1E3C">
        <w:rPr>
          <w:szCs w:val="24"/>
        </w:rPr>
        <w:t xml:space="preserve"> intermediate holder to form a separator pellet. Next 10</w:t>
      </w:r>
      <w:r w:rsidR="0047760F" w:rsidRPr="009E1E3C">
        <w:rPr>
          <w:szCs w:val="24"/>
        </w:rPr>
        <w:t xml:space="preserve"> </w:t>
      </w:r>
      <w:r w:rsidR="00C74C52" w:rsidRPr="009E1E3C">
        <w:rPr>
          <w:szCs w:val="24"/>
        </w:rPr>
        <w:t>mg of electrode composite powders (70wt% LiCoO</w:t>
      </w:r>
      <w:r w:rsidR="00C74C52" w:rsidRPr="009E1E3C">
        <w:rPr>
          <w:szCs w:val="24"/>
          <w:vertAlign w:val="subscript"/>
        </w:rPr>
        <w:t>2</w:t>
      </w:r>
      <w:r w:rsidR="00C74C52" w:rsidRPr="009E1E3C">
        <w:rPr>
          <w:szCs w:val="24"/>
        </w:rPr>
        <w:t>) was placed on one side of the pellet and once again pressed at 370 MPa.</w:t>
      </w:r>
      <w:r w:rsidRPr="009E1E3C">
        <w:rPr>
          <w:szCs w:val="24"/>
        </w:rPr>
        <w:t xml:space="preserve"> </w:t>
      </w:r>
      <w:r w:rsidR="00C74C52" w:rsidRPr="009E1E3C">
        <w:rPr>
          <w:szCs w:val="24"/>
        </w:rPr>
        <w:t>Finally,</w:t>
      </w:r>
      <w:r w:rsidRPr="009E1E3C">
        <w:rPr>
          <w:szCs w:val="24"/>
        </w:rPr>
        <w:t xml:space="preserve"> the lithium metal foil </w:t>
      </w:r>
      <w:r w:rsidR="00C74C52" w:rsidRPr="009E1E3C">
        <w:rPr>
          <w:szCs w:val="24"/>
        </w:rPr>
        <w:t xml:space="preserve">is </w:t>
      </w:r>
      <w:r w:rsidR="00C74C52" w:rsidRPr="009E1E3C">
        <w:rPr>
          <w:szCs w:val="24"/>
        </w:rPr>
        <w:lastRenderedPageBreak/>
        <w:t xml:space="preserve">placed </w:t>
      </w:r>
      <w:r w:rsidRPr="009E1E3C">
        <w:rPr>
          <w:szCs w:val="24"/>
        </w:rPr>
        <w:t>on the opposite side</w:t>
      </w:r>
      <w:r w:rsidR="00C74C52" w:rsidRPr="009E1E3C">
        <w:rPr>
          <w:szCs w:val="24"/>
        </w:rPr>
        <w:t xml:space="preserve"> of the pellet and pressed lightly to adhere the foil to the entire cell</w:t>
      </w:r>
      <w:r w:rsidRPr="009E1E3C">
        <w:rPr>
          <w:szCs w:val="24"/>
        </w:rPr>
        <w:t xml:space="preserve">. </w:t>
      </w:r>
      <w:r w:rsidR="00C74C52" w:rsidRPr="009E1E3C">
        <w:rPr>
          <w:szCs w:val="24"/>
        </w:rPr>
        <w:t>The entire cell was then placed in an aluminum jig for mechanical support, a</w:t>
      </w:r>
      <w:r w:rsidRPr="009E1E3C">
        <w:rPr>
          <w:szCs w:val="24"/>
        </w:rPr>
        <w:t xml:space="preserve"> load cell used</w:t>
      </w:r>
      <w:r w:rsidR="00C74C52" w:rsidRPr="009E1E3C">
        <w:rPr>
          <w:szCs w:val="24"/>
        </w:rPr>
        <w:t xml:space="preserve"> on one end of the cell</w:t>
      </w:r>
      <w:r w:rsidRPr="009E1E3C">
        <w:rPr>
          <w:szCs w:val="24"/>
        </w:rPr>
        <w:t xml:space="preserve"> to maintain the pressure at 5 MPa throughout the cycling process. Cells were</w:t>
      </w:r>
      <w:r w:rsidR="00C74C52" w:rsidRPr="009E1E3C">
        <w:rPr>
          <w:szCs w:val="24"/>
        </w:rPr>
        <w:t xml:space="preserve"> electronically connected via the titanium plungers as the current collectors and</w:t>
      </w:r>
      <w:r w:rsidRPr="009E1E3C">
        <w:rPr>
          <w:szCs w:val="24"/>
        </w:rPr>
        <w:t xml:space="preserve"> cycled using the Neware Battery cycler and analyzed with the BTS9000 software.</w:t>
      </w:r>
      <w:bookmarkEnd w:id="3"/>
      <w:r w:rsidR="00C74C52" w:rsidRPr="009E1E3C">
        <w:rPr>
          <w:szCs w:val="24"/>
        </w:rPr>
        <w:t xml:space="preserve"> All cells were cycled under galvanostatic conditions between 2.5-4.2V at 0.1C rate at room temperature with no rest between each cycle.</w:t>
      </w:r>
      <w:bookmarkEnd w:id="5"/>
    </w:p>
    <w:p w14:paraId="70781B23" w14:textId="7B2C80B8" w:rsidR="00BC2E33" w:rsidRPr="009E1E3C" w:rsidRDefault="00BC2E33" w:rsidP="00BC2E33">
      <w:pPr>
        <w:spacing w:line="480" w:lineRule="auto"/>
        <w:ind w:firstLine="360"/>
        <w:jc w:val="both"/>
        <w:rPr>
          <w:szCs w:val="24"/>
        </w:rPr>
      </w:pPr>
      <w:bookmarkStart w:id="6" w:name="_Hlk43418895"/>
      <w:r w:rsidRPr="009E1E3C">
        <w:rPr>
          <w:b/>
          <w:szCs w:val="24"/>
        </w:rPr>
        <w:t xml:space="preserve">Recycling Methods. </w:t>
      </w:r>
      <w:r w:rsidR="009758C3" w:rsidRPr="009E1E3C">
        <w:rPr>
          <w:bCs/>
          <w:szCs w:val="24"/>
        </w:rPr>
        <w:t xml:space="preserve">After cell cycling, the cell was removed from its aluminum jig and the entire cell pellet was immersed in anhydrous ethanol to dissolve the solid electrolyte, with the undissolved cathode remaining as the solutes. </w:t>
      </w:r>
      <w:r w:rsidRPr="009E1E3C">
        <w:rPr>
          <w:bCs/>
          <w:szCs w:val="24"/>
        </w:rPr>
        <w:t>After dissolution</w:t>
      </w:r>
      <w:r w:rsidR="009758C3" w:rsidRPr="009E1E3C">
        <w:rPr>
          <w:bCs/>
          <w:szCs w:val="24"/>
        </w:rPr>
        <w:t xml:space="preserve">, the entire suspension was phase separated using </w:t>
      </w:r>
      <w:r w:rsidRPr="009E1E3C">
        <w:rPr>
          <w:bCs/>
          <w:szCs w:val="24"/>
        </w:rPr>
        <w:t xml:space="preserve">centrifugal </w:t>
      </w:r>
      <w:r w:rsidR="009758C3" w:rsidRPr="009E1E3C">
        <w:rPr>
          <w:bCs/>
          <w:szCs w:val="24"/>
        </w:rPr>
        <w:t>methods sealed under inert conditions. After separation, the solution was decanted and</w:t>
      </w:r>
      <w:r w:rsidRPr="009E1E3C">
        <w:rPr>
          <w:bCs/>
          <w:szCs w:val="24"/>
        </w:rPr>
        <w:t xml:space="preserve"> the dissolved </w:t>
      </w:r>
      <w:r w:rsidRPr="009E1E3C">
        <w:rPr>
          <w:szCs w:val="24"/>
        </w:rPr>
        <w:t>Li</w:t>
      </w:r>
      <w:r w:rsidRPr="009E1E3C">
        <w:rPr>
          <w:szCs w:val="24"/>
          <w:vertAlign w:val="subscript"/>
        </w:rPr>
        <w:t>6</w:t>
      </w:r>
      <w:r w:rsidRPr="009E1E3C">
        <w:rPr>
          <w:szCs w:val="24"/>
        </w:rPr>
        <w:t>PS</w:t>
      </w:r>
      <w:r w:rsidRPr="009E1E3C">
        <w:rPr>
          <w:szCs w:val="24"/>
          <w:vertAlign w:val="subscript"/>
        </w:rPr>
        <w:t>5</w:t>
      </w:r>
      <w:r w:rsidRPr="009E1E3C">
        <w:rPr>
          <w:szCs w:val="24"/>
        </w:rPr>
        <w:t xml:space="preserve">Cl was recovered using a rotavapor </w:t>
      </w:r>
      <w:r w:rsidR="009758C3" w:rsidRPr="009E1E3C">
        <w:rPr>
          <w:szCs w:val="24"/>
        </w:rPr>
        <w:t>under 80</w:t>
      </w:r>
      <w:r w:rsidR="009758C3" w:rsidRPr="009E1E3C">
        <w:rPr>
          <w:rFonts w:ascii="Corbel" w:hAnsi="Corbel"/>
          <w:szCs w:val="24"/>
        </w:rPr>
        <w:t>˚</w:t>
      </w:r>
      <w:r w:rsidR="009758C3" w:rsidRPr="009E1E3C">
        <w:rPr>
          <w:szCs w:val="24"/>
        </w:rPr>
        <w:t>C and vacuum conditions. The recovered solid electrolyte powder was then</w:t>
      </w:r>
      <w:r w:rsidRPr="009E1E3C">
        <w:rPr>
          <w:szCs w:val="24"/>
        </w:rPr>
        <w:t xml:space="preserve"> annealed at 450</w:t>
      </w:r>
      <w:r w:rsidRPr="009E1E3C">
        <w:rPr>
          <w:rFonts w:ascii="Calibri" w:hAnsi="Calibri" w:cs="Calibri"/>
          <w:szCs w:val="24"/>
        </w:rPr>
        <w:t>°</w:t>
      </w:r>
      <w:r w:rsidRPr="009E1E3C">
        <w:rPr>
          <w:szCs w:val="24"/>
        </w:rPr>
        <w:t>C under vacuum</w:t>
      </w:r>
      <w:r w:rsidR="009758C3" w:rsidRPr="009E1E3C">
        <w:rPr>
          <w:szCs w:val="24"/>
        </w:rPr>
        <w:t xml:space="preserve"> to regain its ionic conductivity</w:t>
      </w:r>
      <w:r w:rsidRPr="009E1E3C">
        <w:rPr>
          <w:szCs w:val="24"/>
        </w:rPr>
        <w:t>. The ethanol used for the dissolution was recovered via distillation from the rotavapor. For the cathode hydrothermal regeneration, recovered cathodes</w:t>
      </w:r>
      <w:r w:rsidR="009758C3" w:rsidRPr="009E1E3C">
        <w:rPr>
          <w:szCs w:val="24"/>
        </w:rPr>
        <w:t xml:space="preserve"> after decanting</w:t>
      </w:r>
      <w:r w:rsidRPr="009E1E3C">
        <w:rPr>
          <w:szCs w:val="24"/>
        </w:rPr>
        <w:t xml:space="preserve"> were first washed with distilled water </w:t>
      </w:r>
      <w:r w:rsidR="009758C3" w:rsidRPr="009E1E3C">
        <w:rPr>
          <w:szCs w:val="24"/>
        </w:rPr>
        <w:t xml:space="preserve">and sonicated </w:t>
      </w:r>
      <w:r w:rsidRPr="009E1E3C">
        <w:rPr>
          <w:szCs w:val="24"/>
        </w:rPr>
        <w:t>to remove the CEI before being loaded into a 100 mL Teflon-lined autoclave filled with 80 mL of 4 M lithium hydroxide (LiOH) solution and heated at 220</w:t>
      </w:r>
      <w:r w:rsidRPr="009E1E3C">
        <w:rPr>
          <w:rFonts w:ascii="Calibri" w:hAnsi="Calibri" w:cs="Calibri"/>
          <w:szCs w:val="24"/>
        </w:rPr>
        <w:t>°</w:t>
      </w:r>
      <w:r w:rsidRPr="009E1E3C">
        <w:rPr>
          <w:szCs w:val="24"/>
        </w:rPr>
        <w:t>C for 4 hours. The treated LiCoO</w:t>
      </w:r>
      <w:r w:rsidRPr="009E1E3C">
        <w:rPr>
          <w:szCs w:val="24"/>
          <w:vertAlign w:val="subscript"/>
        </w:rPr>
        <w:t>2</w:t>
      </w:r>
      <w:r w:rsidRPr="009E1E3C">
        <w:rPr>
          <w:szCs w:val="24"/>
        </w:rPr>
        <w:t xml:space="preserve"> powders were washed thoroughly with deionized water before heat treatment</w:t>
      </w:r>
      <w:r w:rsidR="009758C3" w:rsidRPr="009E1E3C">
        <w:rPr>
          <w:szCs w:val="24"/>
        </w:rPr>
        <w:t xml:space="preserve"> under flowing oxygen in a tube furnace</w:t>
      </w:r>
      <w:r w:rsidRPr="009E1E3C">
        <w:rPr>
          <w:szCs w:val="24"/>
        </w:rPr>
        <w:t xml:space="preserve"> to remove impurities.</w:t>
      </w:r>
      <w:r w:rsidR="009758C3" w:rsidRPr="009E1E3C">
        <w:rPr>
          <w:szCs w:val="24"/>
        </w:rPr>
        <w:t xml:space="preserve"> </w:t>
      </w:r>
      <w:bookmarkStart w:id="7" w:name="_Hlk43419109"/>
      <w:r w:rsidR="00B45B5D" w:rsidRPr="009E1E3C">
        <w:rPr>
          <w:szCs w:val="24"/>
        </w:rPr>
        <w:t>This</w:t>
      </w:r>
      <w:r w:rsidR="009758C3" w:rsidRPr="009E1E3C">
        <w:rPr>
          <w:szCs w:val="24"/>
        </w:rPr>
        <w:t xml:space="preserve"> procedure was designed to simulate scalable conditions where the full ASSB removed from its </w:t>
      </w:r>
      <w:r w:rsidR="00B45B5D" w:rsidRPr="009E1E3C">
        <w:rPr>
          <w:szCs w:val="24"/>
        </w:rPr>
        <w:t xml:space="preserve">external pouch </w:t>
      </w:r>
      <w:r w:rsidR="009758C3" w:rsidRPr="009E1E3C">
        <w:rPr>
          <w:szCs w:val="24"/>
        </w:rPr>
        <w:t xml:space="preserve">packaging </w:t>
      </w:r>
      <w:r w:rsidR="00B45B5D" w:rsidRPr="009E1E3C">
        <w:rPr>
          <w:szCs w:val="24"/>
        </w:rPr>
        <w:t>can be directly processed for recycling without additional separation into its sub-components.</w:t>
      </w:r>
      <w:bookmarkEnd w:id="7"/>
    </w:p>
    <w:bookmarkEnd w:id="6"/>
    <w:p w14:paraId="4AB6072C" w14:textId="69E6F43D" w:rsidR="00BC2E33" w:rsidRPr="009E1E3C" w:rsidRDefault="00BC2E33" w:rsidP="00BC2E33">
      <w:pPr>
        <w:pStyle w:val="SMHeading"/>
        <w:spacing w:line="480" w:lineRule="auto"/>
        <w:ind w:firstLine="360"/>
        <w:jc w:val="both"/>
        <w:rPr>
          <w:sz w:val="22"/>
          <w:szCs w:val="22"/>
        </w:rPr>
      </w:pPr>
      <w:r w:rsidRPr="009E1E3C">
        <w:lastRenderedPageBreak/>
        <w:t xml:space="preserve">EverBatt Model. </w:t>
      </w:r>
      <w:r w:rsidRPr="009E1E3C">
        <w:rPr>
          <w:b w:val="0"/>
          <w:bCs w:val="0"/>
        </w:rPr>
        <w:t>The impacts of battery recycling were modelled by the EverBatt model. The output parameters of energy consumption and environmental emissions were extracted for comparison. Evaluation of recycling energy consumption and emissions for cathode and electrolytes were conducted</w:t>
      </w:r>
      <w:r w:rsidRPr="00953A16">
        <w:rPr>
          <w:b w:val="0"/>
          <w:bCs w:val="0"/>
        </w:rPr>
        <w:t xml:space="preserve">. </w:t>
      </w:r>
      <w:r w:rsidR="0083337E" w:rsidRPr="00953A16">
        <w:rPr>
          <w:b w:val="0"/>
          <w:bCs w:val="0"/>
        </w:rPr>
        <w:t xml:space="preserve">The anode is excluded from the modelling considerations. </w:t>
      </w:r>
      <w:r w:rsidRPr="00953A16">
        <w:rPr>
          <w:b w:val="0"/>
          <w:bCs w:val="0"/>
        </w:rPr>
        <w:t>Cathode</w:t>
      </w:r>
      <w:r w:rsidRPr="009E1E3C">
        <w:rPr>
          <w:b w:val="0"/>
          <w:bCs w:val="0"/>
        </w:rPr>
        <w:t>: Three recycling technologies: direct, hydrometallurgical, and pyrometallurgical cathode recycling are considered in the EverBatt model. Electrolyte: Two recycling technologies, solid electrolyte and liquid electrolyte recycling, are considered in the EverBatt model. Both cases consider direct cathode recycling in order to retain the electrolytes for recycling. Direct cathode recycling is modelled for the electrolyte recycling cases as there would be no remaining electrolyte to be recycled if hydro/pyro processes were used.</w:t>
      </w:r>
      <w:bookmarkStart w:id="8" w:name="_GoBack"/>
      <w:bookmarkEnd w:id="8"/>
    </w:p>
    <w:p w14:paraId="443E0DC2" w14:textId="77777777" w:rsidR="00BC2E33" w:rsidRPr="009E1E3C" w:rsidRDefault="00BC2E33" w:rsidP="00BC2E33">
      <w:pPr>
        <w:pStyle w:val="SMHeading"/>
        <w:spacing w:line="480" w:lineRule="auto"/>
        <w:ind w:firstLine="360"/>
        <w:jc w:val="both"/>
        <w:rPr>
          <w:szCs w:val="22"/>
        </w:rPr>
      </w:pPr>
      <w:r w:rsidRPr="009E1E3C">
        <w:rPr>
          <w:szCs w:val="22"/>
        </w:rPr>
        <w:t xml:space="preserve">Hydrometallurgy (cathode). </w:t>
      </w:r>
      <w:r w:rsidRPr="009E1E3C">
        <w:rPr>
          <w:b w:val="0"/>
          <w:bCs w:val="0"/>
          <w:szCs w:val="22"/>
        </w:rPr>
        <w:t>H</w:t>
      </w:r>
      <w:r w:rsidRPr="009E1E3C">
        <w:rPr>
          <w:b w:val="0"/>
          <w:szCs w:val="22"/>
        </w:rPr>
        <w:t xml:space="preserve">ydrometallurgical methods for cathode recycling without electrolyte considerations are modelled in </w:t>
      </w:r>
      <w:r w:rsidRPr="009E1E3C">
        <w:rPr>
          <w:bCs w:val="0"/>
          <w:szCs w:val="22"/>
        </w:rPr>
        <w:t>Figure 5</w:t>
      </w:r>
      <w:r w:rsidRPr="009E1E3C">
        <w:rPr>
          <w:b w:val="0"/>
          <w:szCs w:val="22"/>
        </w:rPr>
        <w:t>. Discharged and disassembled spent batteries are shredded, undergo a low temperature calcination process to burn off the binder and any other organics. Next, several physical separation processes are conducted to separate out aluminum, copper, steel, and metal scraps and plastics. A leaching process is used followed by solvent extraction and precipitation to produce compounds (such as lithium carbonate) for new cathode material production.</w:t>
      </w:r>
    </w:p>
    <w:p w14:paraId="1BA29F19" w14:textId="77777777" w:rsidR="00BC2E33" w:rsidRPr="009E1E3C" w:rsidRDefault="00BC2E33" w:rsidP="00BC2E33">
      <w:pPr>
        <w:spacing w:line="480" w:lineRule="auto"/>
        <w:ind w:firstLine="360"/>
        <w:jc w:val="both"/>
        <w:rPr>
          <w:szCs w:val="28"/>
        </w:rPr>
      </w:pPr>
      <w:r w:rsidRPr="009E1E3C">
        <w:rPr>
          <w:b/>
          <w:bCs/>
          <w:szCs w:val="28"/>
        </w:rPr>
        <w:t xml:space="preserve">Pyrometallurgy (cathode). </w:t>
      </w:r>
      <w:r w:rsidRPr="009E1E3C">
        <w:rPr>
          <w:szCs w:val="28"/>
        </w:rPr>
        <w:t xml:space="preserve">Pyrometallurgical methods for the cathode recycling without electrolyte considerations are modelled in </w:t>
      </w:r>
      <w:r w:rsidRPr="009E1E3C">
        <w:rPr>
          <w:b/>
          <w:bCs/>
          <w:szCs w:val="28"/>
        </w:rPr>
        <w:t>Figure 6</w:t>
      </w:r>
      <w:r w:rsidRPr="009E1E3C">
        <w:rPr>
          <w:szCs w:val="28"/>
        </w:rPr>
        <w:t xml:space="preserve">. spent batteries are sent to a smelter, where the electrolyte and plastics in the batteries are burned off to supply heat. Binder/carbon and aluminum in the batteries act as reductants for the metals and are oxidized. Copper and iron in the batteries end up in the matte, and the rest of the materials, including oxidized aluminum, end up in the slag. </w:t>
      </w:r>
      <w:r w:rsidRPr="009E1E3C">
        <w:rPr>
          <w:szCs w:val="28"/>
        </w:rPr>
        <w:lastRenderedPageBreak/>
        <w:t>The Cu/Fe matte is then further processed by acid leaching followed by solvent extraction and precipitation to produce compounds that can be used to produce new cathode materials.</w:t>
      </w:r>
    </w:p>
    <w:p w14:paraId="48BE50D5" w14:textId="77777777" w:rsidR="00BC2E33" w:rsidRPr="009E1E3C" w:rsidRDefault="00BC2E33" w:rsidP="00BC2E33">
      <w:pPr>
        <w:spacing w:line="480" w:lineRule="auto"/>
        <w:ind w:firstLine="360"/>
        <w:jc w:val="both"/>
        <w:rPr>
          <w:szCs w:val="22"/>
        </w:rPr>
      </w:pPr>
      <w:r w:rsidRPr="009E1E3C">
        <w:rPr>
          <w:b/>
          <w:bCs/>
          <w:szCs w:val="24"/>
        </w:rPr>
        <w:t>Direct Recycling (cathode).</w:t>
      </w:r>
      <w:r w:rsidRPr="009E1E3C">
        <w:rPr>
          <w:szCs w:val="24"/>
        </w:rPr>
        <w:t xml:space="preserve"> Direct methods for the cathode recycling without electrolyte considerations are modelled in </w:t>
      </w:r>
      <w:r w:rsidRPr="009E1E3C">
        <w:rPr>
          <w:b/>
          <w:bCs/>
          <w:szCs w:val="24"/>
        </w:rPr>
        <w:t>Figure 7</w:t>
      </w:r>
      <w:r w:rsidRPr="009E1E3C">
        <w:rPr>
          <w:szCs w:val="24"/>
        </w:rPr>
        <w:t>. Discharged and disassembled batteries undergo a series of similar up-stream procedures to hydrometallurgical recycling process before acid leaching. After shredding and physical separation processes, the harvested cathode material is then re-lithiated to produce the recycled cathode powder.</w:t>
      </w:r>
    </w:p>
    <w:p w14:paraId="482FD18C" w14:textId="77777777" w:rsidR="00BC2E33" w:rsidRPr="009E1E3C" w:rsidRDefault="00BC2E33" w:rsidP="00BC2E33">
      <w:pPr>
        <w:pStyle w:val="SMHeading"/>
        <w:spacing w:line="480" w:lineRule="auto"/>
        <w:ind w:firstLine="360"/>
        <w:jc w:val="both"/>
        <w:rPr>
          <w:szCs w:val="22"/>
        </w:rPr>
      </w:pPr>
      <w:r w:rsidRPr="009E1E3C">
        <w:t>Direct Recycling (full LIB)</w:t>
      </w:r>
      <w:r w:rsidRPr="009E1E3C">
        <w:rPr>
          <w:i/>
          <w:iCs/>
          <w:szCs w:val="22"/>
        </w:rPr>
        <w:t>.</w:t>
      </w:r>
      <w:r w:rsidRPr="009E1E3C">
        <w:rPr>
          <w:b w:val="0"/>
          <w:bCs w:val="0"/>
          <w:szCs w:val="22"/>
        </w:rPr>
        <w:t xml:space="preserve"> Direct recycling of a full cell with liquid electrolyte considerations is modelled in </w:t>
      </w:r>
      <w:r w:rsidRPr="009E1E3C">
        <w:t>Figure 8</w:t>
      </w:r>
      <w:r w:rsidRPr="009E1E3C">
        <w:rPr>
          <w:b w:val="0"/>
          <w:bCs w:val="0"/>
        </w:rPr>
        <w:t>.</w:t>
      </w:r>
      <w:r w:rsidRPr="009E1E3C">
        <w:rPr>
          <w:b w:val="0"/>
          <w:bCs w:val="0"/>
          <w:szCs w:val="22"/>
        </w:rPr>
        <w:t xml:space="preserve"> discharged and disassembled batteries are perforated and then undergo supercritical CO</w:t>
      </w:r>
      <w:r w:rsidRPr="009E1E3C">
        <w:rPr>
          <w:b w:val="0"/>
          <w:bCs w:val="0"/>
          <w:szCs w:val="22"/>
          <w:vertAlign w:val="subscript"/>
        </w:rPr>
        <w:t>2</w:t>
      </w:r>
      <w:r w:rsidRPr="009E1E3C">
        <w:rPr>
          <w:b w:val="0"/>
          <w:bCs w:val="0"/>
          <w:szCs w:val="22"/>
        </w:rPr>
        <w:t xml:space="preserve"> extraction to recycle the electrolyte solvents and lithium salts. The rest of the battery is then shredded and a series of physical separation processes is performed to recover plastics, metals, the anode material, and cathode material, respectively. The recovered cathode material is then re-lithiated to produce the recycled cathode powder.</w:t>
      </w:r>
    </w:p>
    <w:p w14:paraId="6D86BD5A" w14:textId="5C34BA46" w:rsidR="00BC2E33" w:rsidRPr="009E1E3C" w:rsidRDefault="00BC2E33" w:rsidP="00BC2E33">
      <w:pPr>
        <w:pStyle w:val="SMHeading"/>
        <w:spacing w:line="480" w:lineRule="auto"/>
        <w:ind w:firstLine="360"/>
        <w:jc w:val="both"/>
        <w:rPr>
          <w:b w:val="0"/>
          <w:szCs w:val="22"/>
        </w:rPr>
      </w:pPr>
      <w:r w:rsidRPr="009E1E3C">
        <w:t>Direct Recycling (full ASSB)</w:t>
      </w:r>
      <w:r w:rsidRPr="009E1E3C">
        <w:rPr>
          <w:i/>
          <w:iCs/>
          <w:szCs w:val="22"/>
        </w:rPr>
        <w:t xml:space="preserve">. </w:t>
      </w:r>
      <w:r w:rsidRPr="009E1E3C">
        <w:rPr>
          <w:b w:val="0"/>
          <w:bCs w:val="0"/>
          <w:szCs w:val="22"/>
        </w:rPr>
        <w:t>D</w:t>
      </w:r>
      <w:r w:rsidRPr="009E1E3C">
        <w:rPr>
          <w:b w:val="0"/>
          <w:szCs w:val="22"/>
        </w:rPr>
        <w:t xml:space="preserve">irect recycling of a full cell with solid electrolyte is modelled in </w:t>
      </w:r>
      <w:r w:rsidRPr="009E1E3C">
        <w:rPr>
          <w:bCs w:val="0"/>
          <w:szCs w:val="22"/>
        </w:rPr>
        <w:t>Figure 9</w:t>
      </w:r>
      <w:r w:rsidRPr="009E1E3C">
        <w:rPr>
          <w:b w:val="0"/>
          <w:szCs w:val="22"/>
        </w:rPr>
        <w:t>. Discharged and disassembled batteries are directly processed with an alcohol solvent and undergo filtration or gravitational separation to separate the solution and precipitates. The solution is vacuum dried under heat to recover the solid electrolyte before thermal annealing to directly regenerate it. The recovered cathode material (precipitates) are then re-lithiated to produce the recycled cathode powder.</w:t>
      </w:r>
      <w:r w:rsidR="00746E2B" w:rsidRPr="009E1E3C">
        <w:rPr>
          <w:b w:val="0"/>
          <w:szCs w:val="22"/>
        </w:rPr>
        <w:t xml:space="preserve"> While anhydrous alcohol is assumed in this model, it is possible that moisture impurities are present in </w:t>
      </w:r>
      <w:r w:rsidR="00C47CA9" w:rsidRPr="009E1E3C">
        <w:rPr>
          <w:b w:val="0"/>
          <w:szCs w:val="22"/>
        </w:rPr>
        <w:t>industrial</w:t>
      </w:r>
      <w:r w:rsidR="00746E2B" w:rsidRPr="009E1E3C">
        <w:rPr>
          <w:b w:val="0"/>
          <w:szCs w:val="22"/>
        </w:rPr>
        <w:t xml:space="preserve"> processing that result in minor H</w:t>
      </w:r>
      <w:r w:rsidR="00746E2B" w:rsidRPr="009E1E3C">
        <w:rPr>
          <w:b w:val="0"/>
          <w:szCs w:val="22"/>
          <w:vertAlign w:val="subscript"/>
        </w:rPr>
        <w:t>2</w:t>
      </w:r>
      <w:r w:rsidR="00746E2B" w:rsidRPr="009E1E3C">
        <w:rPr>
          <w:b w:val="0"/>
          <w:szCs w:val="22"/>
        </w:rPr>
        <w:t xml:space="preserve">S gas formation during the cell dissolution step. </w:t>
      </w:r>
      <w:r w:rsidR="00C47CA9" w:rsidRPr="009E1E3C">
        <w:rPr>
          <w:b w:val="0"/>
          <w:szCs w:val="22"/>
        </w:rPr>
        <w:t>To avoid release of acid gases, all fumes will first pass through an alkali NaOH treatment step to neutralize gasses before being vented.</w:t>
      </w:r>
    </w:p>
    <w:p w14:paraId="651B0933" w14:textId="77777777" w:rsidR="00BC2E33" w:rsidRPr="009E1E3C" w:rsidRDefault="00BC2E33" w:rsidP="00BC2E33">
      <w:pPr>
        <w:pStyle w:val="SMHeading"/>
        <w:jc w:val="both"/>
        <w:rPr>
          <w:i/>
          <w:iCs/>
          <w:szCs w:val="22"/>
        </w:rPr>
      </w:pPr>
      <w:r w:rsidRPr="009E1E3C">
        <w:rPr>
          <w:i/>
          <w:iCs/>
          <w:szCs w:val="22"/>
        </w:rPr>
        <w:br w:type="page"/>
      </w:r>
    </w:p>
    <w:p w14:paraId="593CCBC2" w14:textId="42EBE001" w:rsidR="00BC2E33" w:rsidRPr="009E1E3C" w:rsidRDefault="00BC2E33" w:rsidP="00BC2E33">
      <w:pPr>
        <w:pStyle w:val="SMHeading"/>
        <w:jc w:val="both"/>
        <w:rPr>
          <w:b w:val="0"/>
          <w:bCs w:val="0"/>
          <w:i/>
          <w:iCs/>
          <w:szCs w:val="22"/>
        </w:rPr>
      </w:pPr>
      <w:r w:rsidRPr="009E1E3C">
        <w:rPr>
          <w:i/>
          <w:iCs/>
          <w:szCs w:val="22"/>
        </w:rPr>
        <w:lastRenderedPageBreak/>
        <w:t>Table S1</w:t>
      </w:r>
      <w:r w:rsidRPr="009E1E3C">
        <w:rPr>
          <w:b w:val="0"/>
          <w:bCs w:val="0"/>
          <w:i/>
          <w:iCs/>
          <w:szCs w:val="22"/>
        </w:rPr>
        <w:t xml:space="preserve">. Energy requirements to recycle 1 kg of spent batteries through different recycling technologies. Only the consumption from recycling (without upstream processes) are included. </w:t>
      </w:r>
    </w:p>
    <w:tbl>
      <w:tblPr>
        <w:tblStyle w:val="TableGrid"/>
        <w:tblW w:w="0" w:type="auto"/>
        <w:jc w:val="center"/>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1558"/>
        <w:gridCol w:w="1558"/>
        <w:gridCol w:w="1558"/>
        <w:gridCol w:w="1559"/>
        <w:gridCol w:w="1559"/>
      </w:tblGrid>
      <w:tr w:rsidR="00BC2E33" w:rsidRPr="009E1E3C" w14:paraId="3EA8D9C5" w14:textId="77777777" w:rsidTr="0091564F">
        <w:trPr>
          <w:jc w:val="center"/>
        </w:trPr>
        <w:tc>
          <w:tcPr>
            <w:tcW w:w="1436" w:type="dxa"/>
            <w:vMerge w:val="restart"/>
            <w:vAlign w:val="center"/>
          </w:tcPr>
          <w:p w14:paraId="0C61B057" w14:textId="77777777" w:rsidR="00BC2E33" w:rsidRPr="009E1E3C" w:rsidRDefault="00BC2E33" w:rsidP="0091564F">
            <w:pPr>
              <w:spacing w:line="360" w:lineRule="auto"/>
              <w:jc w:val="center"/>
              <w:rPr>
                <w:rFonts w:ascii="Times New Roman" w:hAnsi="Times New Roman" w:cs="Times New Roman"/>
                <w:sz w:val="22"/>
                <w:szCs w:val="22"/>
              </w:rPr>
            </w:pPr>
            <w:r w:rsidRPr="009E1E3C">
              <w:rPr>
                <w:rFonts w:ascii="Times New Roman" w:eastAsia="DengXian" w:hAnsi="Times New Roman" w:cs="Times New Roman"/>
                <w:b/>
                <w:bCs/>
                <w:color w:val="000000" w:themeColor="text1"/>
                <w:kern w:val="2"/>
                <w:sz w:val="22"/>
                <w:szCs w:val="22"/>
              </w:rPr>
              <w:t>In MJ</w:t>
            </w:r>
          </w:p>
        </w:tc>
        <w:tc>
          <w:tcPr>
            <w:tcW w:w="4674" w:type="dxa"/>
            <w:gridSpan w:val="3"/>
            <w:tcBorders>
              <w:bottom w:val="nil"/>
            </w:tcBorders>
            <w:vAlign w:val="center"/>
          </w:tcPr>
          <w:p w14:paraId="1AB6AB6F" w14:textId="77777777" w:rsidR="00BC2E33" w:rsidRPr="009E1E3C" w:rsidRDefault="00BC2E33" w:rsidP="0091564F">
            <w:pPr>
              <w:spacing w:line="360" w:lineRule="auto"/>
              <w:jc w:val="center"/>
              <w:rPr>
                <w:rFonts w:ascii="Times New Roman" w:hAnsi="Times New Roman" w:cs="Times New Roman"/>
                <w:sz w:val="22"/>
                <w:szCs w:val="22"/>
              </w:rPr>
            </w:pPr>
            <w:r w:rsidRPr="009E1E3C">
              <w:rPr>
                <w:rFonts w:ascii="Times New Roman" w:eastAsia="DengXian" w:hAnsi="Times New Roman" w:cs="Times New Roman"/>
                <w:b/>
                <w:bCs/>
                <w:color w:val="000000" w:themeColor="text1"/>
                <w:kern w:val="2"/>
                <w:sz w:val="22"/>
                <w:szCs w:val="22"/>
              </w:rPr>
              <w:t>Only Cathode without Electrolyte</w:t>
            </w:r>
          </w:p>
        </w:tc>
        <w:tc>
          <w:tcPr>
            <w:tcW w:w="3118" w:type="dxa"/>
            <w:gridSpan w:val="2"/>
            <w:tcBorders>
              <w:bottom w:val="nil"/>
            </w:tcBorders>
            <w:vAlign w:val="center"/>
          </w:tcPr>
          <w:p w14:paraId="6CDB9325" w14:textId="77777777" w:rsidR="00BC2E33" w:rsidRPr="009E1E3C" w:rsidRDefault="00BC2E33" w:rsidP="0091564F">
            <w:pPr>
              <w:spacing w:line="360" w:lineRule="auto"/>
              <w:jc w:val="center"/>
              <w:rPr>
                <w:rFonts w:ascii="Times New Roman" w:hAnsi="Times New Roman" w:cs="Times New Roman"/>
                <w:sz w:val="22"/>
                <w:szCs w:val="22"/>
              </w:rPr>
            </w:pPr>
            <w:r w:rsidRPr="009E1E3C">
              <w:rPr>
                <w:rFonts w:ascii="Times New Roman" w:eastAsia="DengXian" w:hAnsi="Times New Roman" w:cs="Times New Roman"/>
                <w:b/>
                <w:bCs/>
                <w:color w:val="000000" w:themeColor="text1"/>
                <w:kern w:val="2"/>
                <w:sz w:val="22"/>
                <w:szCs w:val="22"/>
              </w:rPr>
              <w:t>Full Cell with Electrolyte</w:t>
            </w:r>
          </w:p>
        </w:tc>
      </w:tr>
      <w:tr w:rsidR="00BC2E33" w:rsidRPr="009E1E3C" w14:paraId="3CE692B0" w14:textId="77777777" w:rsidTr="0091564F">
        <w:trPr>
          <w:jc w:val="center"/>
        </w:trPr>
        <w:tc>
          <w:tcPr>
            <w:tcW w:w="1436" w:type="dxa"/>
            <w:vMerge/>
            <w:tcBorders>
              <w:bottom w:val="single" w:sz="4" w:space="0" w:color="auto"/>
            </w:tcBorders>
            <w:vAlign w:val="center"/>
          </w:tcPr>
          <w:p w14:paraId="6EB7209F" w14:textId="77777777" w:rsidR="00BC2E33" w:rsidRPr="009E1E3C" w:rsidRDefault="00BC2E33" w:rsidP="0091564F">
            <w:pPr>
              <w:spacing w:line="360" w:lineRule="auto"/>
              <w:jc w:val="center"/>
              <w:rPr>
                <w:rFonts w:ascii="Times New Roman" w:hAnsi="Times New Roman" w:cs="Times New Roman"/>
                <w:sz w:val="22"/>
                <w:szCs w:val="22"/>
              </w:rPr>
            </w:pPr>
          </w:p>
        </w:tc>
        <w:tc>
          <w:tcPr>
            <w:tcW w:w="1558" w:type="dxa"/>
            <w:tcBorders>
              <w:top w:val="nil"/>
              <w:bottom w:val="single" w:sz="4" w:space="0" w:color="auto"/>
            </w:tcBorders>
            <w:vAlign w:val="center"/>
          </w:tcPr>
          <w:p w14:paraId="026B6D99" w14:textId="77777777" w:rsidR="00BC2E33" w:rsidRPr="009E1E3C" w:rsidRDefault="00BC2E33" w:rsidP="0091564F">
            <w:pPr>
              <w:spacing w:line="360" w:lineRule="auto"/>
              <w:jc w:val="center"/>
              <w:rPr>
                <w:rFonts w:ascii="Times New Roman" w:hAnsi="Times New Roman" w:cs="Times New Roman"/>
                <w:sz w:val="22"/>
                <w:szCs w:val="22"/>
              </w:rPr>
            </w:pPr>
            <w:r w:rsidRPr="009E1E3C">
              <w:rPr>
                <w:rFonts w:ascii="Times New Roman" w:eastAsia="DengXian" w:hAnsi="Times New Roman" w:cs="Times New Roman"/>
                <w:b/>
                <w:bCs/>
                <w:color w:val="000000" w:themeColor="text1"/>
                <w:kern w:val="2"/>
                <w:sz w:val="22"/>
                <w:szCs w:val="22"/>
              </w:rPr>
              <w:t>Pyro-metallurgy</w:t>
            </w:r>
          </w:p>
        </w:tc>
        <w:tc>
          <w:tcPr>
            <w:tcW w:w="1558" w:type="dxa"/>
            <w:tcBorders>
              <w:top w:val="nil"/>
              <w:bottom w:val="single" w:sz="4" w:space="0" w:color="auto"/>
            </w:tcBorders>
            <w:vAlign w:val="center"/>
          </w:tcPr>
          <w:p w14:paraId="6E58478B" w14:textId="77777777" w:rsidR="00BC2E33" w:rsidRPr="009E1E3C" w:rsidRDefault="00BC2E33" w:rsidP="0091564F">
            <w:pPr>
              <w:spacing w:line="360" w:lineRule="auto"/>
              <w:jc w:val="center"/>
              <w:rPr>
                <w:rFonts w:ascii="Times New Roman" w:hAnsi="Times New Roman" w:cs="Times New Roman"/>
                <w:sz w:val="22"/>
                <w:szCs w:val="22"/>
              </w:rPr>
            </w:pPr>
            <w:r w:rsidRPr="009E1E3C">
              <w:rPr>
                <w:rFonts w:ascii="Times New Roman" w:eastAsia="DengXian" w:hAnsi="Times New Roman" w:cs="Times New Roman"/>
                <w:b/>
                <w:bCs/>
                <w:color w:val="000000" w:themeColor="text1"/>
                <w:kern w:val="2"/>
                <w:sz w:val="22"/>
                <w:szCs w:val="22"/>
              </w:rPr>
              <w:t>Hydro-metallurgy</w:t>
            </w:r>
          </w:p>
        </w:tc>
        <w:tc>
          <w:tcPr>
            <w:tcW w:w="1558" w:type="dxa"/>
            <w:tcBorders>
              <w:top w:val="nil"/>
              <w:bottom w:val="single" w:sz="4" w:space="0" w:color="auto"/>
            </w:tcBorders>
            <w:vAlign w:val="center"/>
          </w:tcPr>
          <w:p w14:paraId="4BBD8BD8" w14:textId="77777777" w:rsidR="00BC2E33" w:rsidRPr="009E1E3C" w:rsidRDefault="00BC2E33" w:rsidP="0091564F">
            <w:pPr>
              <w:spacing w:line="360" w:lineRule="auto"/>
              <w:jc w:val="center"/>
              <w:rPr>
                <w:rFonts w:ascii="Times New Roman" w:hAnsi="Times New Roman" w:cs="Times New Roman"/>
                <w:sz w:val="22"/>
                <w:szCs w:val="22"/>
              </w:rPr>
            </w:pPr>
            <w:r w:rsidRPr="009E1E3C">
              <w:rPr>
                <w:rFonts w:ascii="Times New Roman" w:eastAsia="DengXian" w:hAnsi="Times New Roman" w:cs="Times New Roman"/>
                <w:b/>
                <w:bCs/>
                <w:color w:val="000000" w:themeColor="text1"/>
                <w:kern w:val="2"/>
                <w:sz w:val="22"/>
                <w:szCs w:val="22"/>
              </w:rPr>
              <w:t>Direct Recycling</w:t>
            </w:r>
          </w:p>
        </w:tc>
        <w:tc>
          <w:tcPr>
            <w:tcW w:w="1559" w:type="dxa"/>
            <w:tcBorders>
              <w:top w:val="nil"/>
              <w:bottom w:val="single" w:sz="4" w:space="0" w:color="auto"/>
            </w:tcBorders>
            <w:vAlign w:val="center"/>
          </w:tcPr>
          <w:p w14:paraId="41AAC10C" w14:textId="77777777" w:rsidR="00BC2E33" w:rsidRPr="009E1E3C" w:rsidRDefault="00BC2E33" w:rsidP="0091564F">
            <w:pPr>
              <w:spacing w:line="360" w:lineRule="auto"/>
              <w:jc w:val="center"/>
              <w:rPr>
                <w:rFonts w:ascii="Times New Roman" w:hAnsi="Times New Roman" w:cs="Times New Roman"/>
                <w:sz w:val="22"/>
                <w:szCs w:val="22"/>
              </w:rPr>
            </w:pPr>
            <w:r w:rsidRPr="009E1E3C">
              <w:rPr>
                <w:rFonts w:ascii="Times New Roman" w:eastAsia="DengXian" w:hAnsi="Times New Roman" w:cs="Times New Roman"/>
                <w:b/>
                <w:bCs/>
                <w:color w:val="000000" w:themeColor="text1"/>
                <w:kern w:val="2"/>
                <w:sz w:val="22"/>
                <w:szCs w:val="22"/>
              </w:rPr>
              <w:t>Liquid Electrolyte</w:t>
            </w:r>
          </w:p>
        </w:tc>
        <w:tc>
          <w:tcPr>
            <w:tcW w:w="1559" w:type="dxa"/>
            <w:tcBorders>
              <w:top w:val="nil"/>
              <w:bottom w:val="single" w:sz="4" w:space="0" w:color="auto"/>
            </w:tcBorders>
            <w:vAlign w:val="center"/>
          </w:tcPr>
          <w:p w14:paraId="4EBCD28F" w14:textId="77777777" w:rsidR="00BC2E33" w:rsidRPr="009E1E3C" w:rsidRDefault="00BC2E33" w:rsidP="0091564F">
            <w:pPr>
              <w:spacing w:line="360" w:lineRule="auto"/>
              <w:jc w:val="center"/>
              <w:rPr>
                <w:rFonts w:ascii="Times New Roman" w:hAnsi="Times New Roman" w:cs="Times New Roman"/>
                <w:sz w:val="22"/>
                <w:szCs w:val="22"/>
              </w:rPr>
            </w:pPr>
            <w:r w:rsidRPr="009E1E3C">
              <w:rPr>
                <w:rFonts w:ascii="Times New Roman" w:eastAsia="DengXian" w:hAnsi="Times New Roman" w:cs="Times New Roman"/>
                <w:b/>
                <w:bCs/>
                <w:color w:val="000000" w:themeColor="text1"/>
                <w:kern w:val="2"/>
                <w:sz w:val="22"/>
                <w:szCs w:val="22"/>
              </w:rPr>
              <w:t>Solid Electrolyte</w:t>
            </w:r>
          </w:p>
        </w:tc>
      </w:tr>
      <w:tr w:rsidR="00BC2E33" w:rsidRPr="009E1E3C" w14:paraId="4A374B4B" w14:textId="77777777" w:rsidTr="0091564F">
        <w:trPr>
          <w:jc w:val="center"/>
        </w:trPr>
        <w:tc>
          <w:tcPr>
            <w:tcW w:w="1436" w:type="dxa"/>
            <w:tcBorders>
              <w:top w:val="single" w:sz="4" w:space="0" w:color="auto"/>
            </w:tcBorders>
            <w:vAlign w:val="center"/>
          </w:tcPr>
          <w:p w14:paraId="74964280" w14:textId="77777777" w:rsidR="00BC2E33" w:rsidRPr="009E1E3C" w:rsidRDefault="00BC2E33" w:rsidP="0091564F">
            <w:pPr>
              <w:spacing w:line="360" w:lineRule="auto"/>
              <w:jc w:val="center"/>
              <w:rPr>
                <w:rFonts w:ascii="Times New Roman" w:hAnsi="Times New Roman" w:cs="Times New Roman"/>
                <w:sz w:val="22"/>
                <w:szCs w:val="22"/>
              </w:rPr>
            </w:pPr>
            <w:r w:rsidRPr="009E1E3C">
              <w:rPr>
                <w:rFonts w:ascii="Times New Roman" w:eastAsia="DengXian" w:hAnsi="Times New Roman" w:cs="Times New Roman"/>
                <w:color w:val="000000" w:themeColor="text1"/>
                <w:kern w:val="2"/>
                <w:sz w:val="22"/>
                <w:szCs w:val="22"/>
              </w:rPr>
              <w:t>Diesel</w:t>
            </w:r>
          </w:p>
        </w:tc>
        <w:tc>
          <w:tcPr>
            <w:tcW w:w="1558" w:type="dxa"/>
            <w:tcBorders>
              <w:top w:val="single" w:sz="4" w:space="0" w:color="auto"/>
            </w:tcBorders>
            <w:vAlign w:val="center"/>
          </w:tcPr>
          <w:p w14:paraId="43821D2A" w14:textId="77777777" w:rsidR="00BC2E33" w:rsidRPr="009E1E3C" w:rsidRDefault="00BC2E33" w:rsidP="0091564F">
            <w:pPr>
              <w:spacing w:line="360" w:lineRule="auto"/>
              <w:jc w:val="center"/>
              <w:rPr>
                <w:rFonts w:ascii="Times New Roman" w:hAnsi="Times New Roman" w:cs="Times New Roman"/>
                <w:sz w:val="22"/>
                <w:szCs w:val="22"/>
              </w:rPr>
            </w:pPr>
            <w:r w:rsidRPr="009E1E3C">
              <w:rPr>
                <w:rFonts w:ascii="Times New Roman" w:eastAsia="DengXian" w:hAnsi="Times New Roman" w:cs="Times New Roman"/>
                <w:color w:val="000000" w:themeColor="text1"/>
                <w:kern w:val="2"/>
                <w:sz w:val="22"/>
                <w:szCs w:val="22"/>
              </w:rPr>
              <w:t>0.6</w:t>
            </w:r>
          </w:p>
        </w:tc>
        <w:tc>
          <w:tcPr>
            <w:tcW w:w="1558" w:type="dxa"/>
            <w:tcBorders>
              <w:top w:val="single" w:sz="4" w:space="0" w:color="auto"/>
            </w:tcBorders>
            <w:vAlign w:val="center"/>
          </w:tcPr>
          <w:p w14:paraId="71A5A70D" w14:textId="77777777" w:rsidR="00BC2E33" w:rsidRPr="009E1E3C" w:rsidRDefault="00BC2E33" w:rsidP="0091564F">
            <w:pPr>
              <w:spacing w:line="360" w:lineRule="auto"/>
              <w:jc w:val="center"/>
              <w:rPr>
                <w:rFonts w:ascii="Times New Roman" w:hAnsi="Times New Roman" w:cs="Times New Roman"/>
                <w:sz w:val="22"/>
                <w:szCs w:val="22"/>
              </w:rPr>
            </w:pPr>
            <w:r w:rsidRPr="009E1E3C">
              <w:rPr>
                <w:rFonts w:ascii="Times New Roman" w:eastAsia="DengXian" w:hAnsi="Times New Roman" w:cs="Times New Roman"/>
                <w:color w:val="000000" w:themeColor="text1"/>
                <w:kern w:val="2"/>
                <w:sz w:val="22"/>
                <w:szCs w:val="22"/>
              </w:rPr>
              <w:t>0.6</w:t>
            </w:r>
          </w:p>
        </w:tc>
        <w:tc>
          <w:tcPr>
            <w:tcW w:w="1558" w:type="dxa"/>
            <w:tcBorders>
              <w:top w:val="single" w:sz="4" w:space="0" w:color="auto"/>
            </w:tcBorders>
            <w:vAlign w:val="center"/>
          </w:tcPr>
          <w:p w14:paraId="7B0692E8" w14:textId="77777777" w:rsidR="00BC2E33" w:rsidRPr="009E1E3C" w:rsidRDefault="00BC2E33" w:rsidP="0091564F">
            <w:pPr>
              <w:spacing w:line="360" w:lineRule="auto"/>
              <w:jc w:val="center"/>
              <w:rPr>
                <w:rFonts w:ascii="Times New Roman" w:hAnsi="Times New Roman" w:cs="Times New Roman"/>
                <w:sz w:val="22"/>
                <w:szCs w:val="22"/>
              </w:rPr>
            </w:pPr>
            <w:r w:rsidRPr="009E1E3C">
              <w:rPr>
                <w:rFonts w:ascii="Times New Roman" w:eastAsia="DengXian" w:hAnsi="Times New Roman" w:cs="Times New Roman"/>
                <w:color w:val="000000" w:themeColor="text1"/>
                <w:kern w:val="2"/>
                <w:sz w:val="22"/>
                <w:szCs w:val="22"/>
              </w:rPr>
              <w:t>0.6</w:t>
            </w:r>
          </w:p>
        </w:tc>
        <w:tc>
          <w:tcPr>
            <w:tcW w:w="1559" w:type="dxa"/>
            <w:tcBorders>
              <w:top w:val="single" w:sz="4" w:space="0" w:color="auto"/>
            </w:tcBorders>
            <w:vAlign w:val="center"/>
          </w:tcPr>
          <w:p w14:paraId="463ED1C8" w14:textId="77777777" w:rsidR="00BC2E33" w:rsidRPr="009E1E3C" w:rsidRDefault="00BC2E33" w:rsidP="0091564F">
            <w:pPr>
              <w:spacing w:line="360" w:lineRule="auto"/>
              <w:jc w:val="center"/>
              <w:rPr>
                <w:rFonts w:ascii="Times New Roman" w:hAnsi="Times New Roman" w:cs="Times New Roman"/>
                <w:sz w:val="22"/>
                <w:szCs w:val="22"/>
              </w:rPr>
            </w:pPr>
            <w:r w:rsidRPr="009E1E3C">
              <w:rPr>
                <w:rFonts w:ascii="Times New Roman" w:eastAsia="DengXian" w:hAnsi="Times New Roman" w:cs="Times New Roman"/>
                <w:color w:val="000000" w:themeColor="text1"/>
                <w:kern w:val="2"/>
                <w:sz w:val="22"/>
                <w:szCs w:val="22"/>
              </w:rPr>
              <w:t>0.6</w:t>
            </w:r>
          </w:p>
        </w:tc>
        <w:tc>
          <w:tcPr>
            <w:tcW w:w="1559" w:type="dxa"/>
            <w:tcBorders>
              <w:top w:val="single" w:sz="4" w:space="0" w:color="auto"/>
            </w:tcBorders>
            <w:vAlign w:val="center"/>
          </w:tcPr>
          <w:p w14:paraId="7302B71A" w14:textId="77777777" w:rsidR="00BC2E33" w:rsidRPr="009E1E3C" w:rsidRDefault="00BC2E33" w:rsidP="0091564F">
            <w:pPr>
              <w:spacing w:line="360" w:lineRule="auto"/>
              <w:jc w:val="center"/>
              <w:rPr>
                <w:rFonts w:ascii="Times New Roman" w:hAnsi="Times New Roman" w:cs="Times New Roman"/>
                <w:sz w:val="22"/>
                <w:szCs w:val="22"/>
              </w:rPr>
            </w:pPr>
            <w:r w:rsidRPr="009E1E3C">
              <w:rPr>
                <w:rFonts w:ascii="Times New Roman" w:eastAsia="DengXian" w:hAnsi="Times New Roman" w:cs="Times New Roman"/>
                <w:color w:val="000000" w:themeColor="text1"/>
                <w:kern w:val="2"/>
                <w:sz w:val="22"/>
                <w:szCs w:val="22"/>
              </w:rPr>
              <w:t>0.6</w:t>
            </w:r>
          </w:p>
        </w:tc>
      </w:tr>
      <w:tr w:rsidR="00BC2E33" w:rsidRPr="009E1E3C" w14:paraId="5604523F" w14:textId="77777777" w:rsidTr="0091564F">
        <w:trPr>
          <w:jc w:val="center"/>
        </w:trPr>
        <w:tc>
          <w:tcPr>
            <w:tcW w:w="1436" w:type="dxa"/>
            <w:vAlign w:val="center"/>
          </w:tcPr>
          <w:p w14:paraId="465056FC" w14:textId="77777777" w:rsidR="00BC2E33" w:rsidRPr="009E1E3C" w:rsidRDefault="00BC2E33" w:rsidP="0091564F">
            <w:pPr>
              <w:spacing w:line="360" w:lineRule="auto"/>
              <w:jc w:val="center"/>
              <w:rPr>
                <w:rFonts w:ascii="Times New Roman" w:hAnsi="Times New Roman" w:cs="Times New Roman"/>
                <w:sz w:val="22"/>
                <w:szCs w:val="22"/>
              </w:rPr>
            </w:pPr>
            <w:r w:rsidRPr="009E1E3C">
              <w:rPr>
                <w:rFonts w:ascii="Times New Roman" w:eastAsia="DengXian" w:hAnsi="Times New Roman" w:cs="Times New Roman"/>
                <w:color w:val="000000" w:themeColor="text1"/>
                <w:kern w:val="2"/>
                <w:sz w:val="22"/>
                <w:szCs w:val="22"/>
              </w:rPr>
              <w:t>Natural gas</w:t>
            </w:r>
          </w:p>
        </w:tc>
        <w:tc>
          <w:tcPr>
            <w:tcW w:w="1558" w:type="dxa"/>
            <w:vAlign w:val="center"/>
          </w:tcPr>
          <w:p w14:paraId="1325DA1D" w14:textId="77777777" w:rsidR="00BC2E33" w:rsidRPr="009E1E3C" w:rsidRDefault="00BC2E33" w:rsidP="0091564F">
            <w:pPr>
              <w:spacing w:line="360" w:lineRule="auto"/>
              <w:jc w:val="center"/>
              <w:rPr>
                <w:rFonts w:ascii="Times New Roman" w:hAnsi="Times New Roman" w:cs="Times New Roman"/>
                <w:sz w:val="22"/>
                <w:szCs w:val="22"/>
              </w:rPr>
            </w:pPr>
            <w:r w:rsidRPr="009E1E3C">
              <w:rPr>
                <w:rFonts w:ascii="Times New Roman" w:eastAsia="DengXian" w:hAnsi="Times New Roman" w:cs="Times New Roman"/>
                <w:color w:val="000000" w:themeColor="text1"/>
                <w:kern w:val="2"/>
                <w:sz w:val="22"/>
                <w:szCs w:val="22"/>
              </w:rPr>
              <w:t>~</w:t>
            </w:r>
          </w:p>
        </w:tc>
        <w:tc>
          <w:tcPr>
            <w:tcW w:w="1558" w:type="dxa"/>
            <w:vAlign w:val="center"/>
          </w:tcPr>
          <w:p w14:paraId="2E2D58D6" w14:textId="77777777" w:rsidR="00BC2E33" w:rsidRPr="009E1E3C" w:rsidRDefault="00BC2E33" w:rsidP="0091564F">
            <w:pPr>
              <w:spacing w:line="360" w:lineRule="auto"/>
              <w:jc w:val="center"/>
              <w:rPr>
                <w:rFonts w:ascii="Times New Roman" w:hAnsi="Times New Roman" w:cs="Times New Roman"/>
                <w:sz w:val="22"/>
                <w:szCs w:val="22"/>
              </w:rPr>
            </w:pPr>
            <w:r w:rsidRPr="009E1E3C">
              <w:rPr>
                <w:rFonts w:ascii="Times New Roman" w:eastAsia="DengXian" w:hAnsi="Times New Roman" w:cs="Times New Roman"/>
                <w:color w:val="000000" w:themeColor="text1"/>
                <w:kern w:val="2"/>
                <w:sz w:val="22"/>
                <w:szCs w:val="22"/>
              </w:rPr>
              <w:t>2.5</w:t>
            </w:r>
          </w:p>
        </w:tc>
        <w:tc>
          <w:tcPr>
            <w:tcW w:w="1558" w:type="dxa"/>
            <w:vAlign w:val="center"/>
          </w:tcPr>
          <w:p w14:paraId="1CB5DC77" w14:textId="77777777" w:rsidR="00BC2E33" w:rsidRPr="009E1E3C" w:rsidRDefault="00BC2E33" w:rsidP="0091564F">
            <w:pPr>
              <w:spacing w:line="360" w:lineRule="auto"/>
              <w:jc w:val="center"/>
              <w:rPr>
                <w:rFonts w:ascii="Times New Roman" w:hAnsi="Times New Roman" w:cs="Times New Roman"/>
                <w:sz w:val="22"/>
                <w:szCs w:val="22"/>
              </w:rPr>
            </w:pPr>
            <w:r w:rsidRPr="009E1E3C">
              <w:rPr>
                <w:rFonts w:ascii="Times New Roman" w:eastAsia="DengXian" w:hAnsi="Times New Roman" w:cs="Times New Roman"/>
                <w:color w:val="000000" w:themeColor="text1"/>
                <w:kern w:val="2"/>
                <w:sz w:val="22"/>
                <w:szCs w:val="22"/>
              </w:rPr>
              <w:t>~</w:t>
            </w:r>
          </w:p>
        </w:tc>
        <w:tc>
          <w:tcPr>
            <w:tcW w:w="1559" w:type="dxa"/>
            <w:vAlign w:val="center"/>
          </w:tcPr>
          <w:p w14:paraId="07D78917" w14:textId="77777777" w:rsidR="00BC2E33" w:rsidRPr="009E1E3C" w:rsidRDefault="00BC2E33" w:rsidP="0091564F">
            <w:pPr>
              <w:spacing w:line="360" w:lineRule="auto"/>
              <w:jc w:val="center"/>
              <w:rPr>
                <w:rFonts w:ascii="Times New Roman" w:hAnsi="Times New Roman" w:cs="Times New Roman"/>
                <w:sz w:val="22"/>
                <w:szCs w:val="22"/>
              </w:rPr>
            </w:pPr>
            <w:r w:rsidRPr="009E1E3C">
              <w:rPr>
                <w:rFonts w:ascii="Times New Roman" w:eastAsia="DengXian" w:hAnsi="Times New Roman" w:cs="Times New Roman"/>
                <w:color w:val="000000" w:themeColor="text1"/>
                <w:kern w:val="2"/>
                <w:sz w:val="22"/>
                <w:szCs w:val="22"/>
              </w:rPr>
              <w:t>~</w:t>
            </w:r>
          </w:p>
        </w:tc>
        <w:tc>
          <w:tcPr>
            <w:tcW w:w="1559" w:type="dxa"/>
            <w:vAlign w:val="center"/>
          </w:tcPr>
          <w:p w14:paraId="72B2F23F" w14:textId="77777777" w:rsidR="00BC2E33" w:rsidRPr="009E1E3C" w:rsidRDefault="00BC2E33" w:rsidP="0091564F">
            <w:pPr>
              <w:spacing w:line="360" w:lineRule="auto"/>
              <w:jc w:val="center"/>
              <w:rPr>
                <w:rFonts w:ascii="Times New Roman" w:hAnsi="Times New Roman" w:cs="Times New Roman"/>
                <w:sz w:val="22"/>
                <w:szCs w:val="22"/>
              </w:rPr>
            </w:pPr>
            <w:r w:rsidRPr="009E1E3C">
              <w:rPr>
                <w:rFonts w:ascii="Times New Roman" w:eastAsia="DengXian" w:hAnsi="Times New Roman" w:cs="Times New Roman"/>
                <w:color w:val="000000" w:themeColor="text1"/>
                <w:kern w:val="2"/>
                <w:sz w:val="22"/>
                <w:szCs w:val="22"/>
              </w:rPr>
              <w:t>~</w:t>
            </w:r>
          </w:p>
        </w:tc>
      </w:tr>
      <w:tr w:rsidR="00BC2E33" w:rsidRPr="009E1E3C" w14:paraId="394F9E4E" w14:textId="77777777" w:rsidTr="0091564F">
        <w:trPr>
          <w:jc w:val="center"/>
        </w:trPr>
        <w:tc>
          <w:tcPr>
            <w:tcW w:w="1436" w:type="dxa"/>
            <w:vAlign w:val="center"/>
          </w:tcPr>
          <w:p w14:paraId="7ED4225C" w14:textId="77777777" w:rsidR="00BC2E33" w:rsidRPr="009E1E3C" w:rsidRDefault="00BC2E33" w:rsidP="0091564F">
            <w:pPr>
              <w:spacing w:line="360" w:lineRule="auto"/>
              <w:jc w:val="center"/>
              <w:rPr>
                <w:rFonts w:ascii="Times New Roman" w:hAnsi="Times New Roman" w:cs="Times New Roman"/>
                <w:sz w:val="22"/>
                <w:szCs w:val="22"/>
              </w:rPr>
            </w:pPr>
            <w:r w:rsidRPr="009E1E3C">
              <w:rPr>
                <w:rFonts w:ascii="Times New Roman" w:eastAsia="DengXian" w:hAnsi="Times New Roman" w:cs="Times New Roman"/>
                <w:color w:val="000000" w:themeColor="text1"/>
                <w:kern w:val="2"/>
                <w:sz w:val="22"/>
                <w:szCs w:val="22"/>
              </w:rPr>
              <w:t>Electricity</w:t>
            </w:r>
          </w:p>
        </w:tc>
        <w:tc>
          <w:tcPr>
            <w:tcW w:w="1558" w:type="dxa"/>
            <w:vAlign w:val="center"/>
          </w:tcPr>
          <w:p w14:paraId="2B371DB5" w14:textId="77777777" w:rsidR="00BC2E33" w:rsidRPr="009E1E3C" w:rsidRDefault="00BC2E33" w:rsidP="0091564F">
            <w:pPr>
              <w:spacing w:line="360" w:lineRule="auto"/>
              <w:jc w:val="center"/>
              <w:rPr>
                <w:rFonts w:ascii="Times New Roman" w:hAnsi="Times New Roman" w:cs="Times New Roman"/>
                <w:sz w:val="22"/>
                <w:szCs w:val="22"/>
              </w:rPr>
            </w:pPr>
            <w:r w:rsidRPr="009E1E3C">
              <w:rPr>
                <w:rFonts w:ascii="Times New Roman" w:eastAsia="DengXian" w:hAnsi="Times New Roman" w:cs="Times New Roman"/>
                <w:color w:val="000000" w:themeColor="text1"/>
                <w:kern w:val="2"/>
                <w:sz w:val="22"/>
                <w:szCs w:val="22"/>
              </w:rPr>
              <w:t>4.68</w:t>
            </w:r>
          </w:p>
        </w:tc>
        <w:tc>
          <w:tcPr>
            <w:tcW w:w="1558" w:type="dxa"/>
            <w:vAlign w:val="center"/>
          </w:tcPr>
          <w:p w14:paraId="7C7B6D03" w14:textId="77777777" w:rsidR="00BC2E33" w:rsidRPr="009E1E3C" w:rsidRDefault="00BC2E33" w:rsidP="0091564F">
            <w:pPr>
              <w:spacing w:line="360" w:lineRule="auto"/>
              <w:jc w:val="center"/>
              <w:rPr>
                <w:rFonts w:ascii="Times New Roman" w:hAnsi="Times New Roman" w:cs="Times New Roman"/>
                <w:sz w:val="22"/>
                <w:szCs w:val="22"/>
              </w:rPr>
            </w:pPr>
            <w:r w:rsidRPr="009E1E3C">
              <w:rPr>
                <w:rFonts w:ascii="Times New Roman" w:eastAsia="DengXian" w:hAnsi="Times New Roman" w:cs="Times New Roman"/>
                <w:color w:val="000000" w:themeColor="text1"/>
                <w:kern w:val="2"/>
                <w:sz w:val="22"/>
                <w:szCs w:val="22"/>
              </w:rPr>
              <w:t>0.125</w:t>
            </w:r>
          </w:p>
        </w:tc>
        <w:tc>
          <w:tcPr>
            <w:tcW w:w="1558" w:type="dxa"/>
            <w:vAlign w:val="center"/>
          </w:tcPr>
          <w:p w14:paraId="2611F823" w14:textId="77777777" w:rsidR="00BC2E33" w:rsidRPr="009E1E3C" w:rsidRDefault="00BC2E33" w:rsidP="0091564F">
            <w:pPr>
              <w:spacing w:line="360" w:lineRule="auto"/>
              <w:jc w:val="center"/>
              <w:rPr>
                <w:rFonts w:ascii="Times New Roman" w:hAnsi="Times New Roman" w:cs="Times New Roman"/>
                <w:sz w:val="22"/>
                <w:szCs w:val="22"/>
              </w:rPr>
            </w:pPr>
            <w:r w:rsidRPr="009E1E3C">
              <w:rPr>
                <w:rFonts w:ascii="Times New Roman" w:eastAsia="DengXian" w:hAnsi="Times New Roman" w:cs="Times New Roman"/>
                <w:color w:val="000000" w:themeColor="text1"/>
                <w:kern w:val="2"/>
                <w:sz w:val="22"/>
                <w:szCs w:val="22"/>
              </w:rPr>
              <w:t>0.29</w:t>
            </w:r>
          </w:p>
        </w:tc>
        <w:tc>
          <w:tcPr>
            <w:tcW w:w="1559" w:type="dxa"/>
            <w:vAlign w:val="center"/>
          </w:tcPr>
          <w:p w14:paraId="1A692DDC" w14:textId="77777777" w:rsidR="00BC2E33" w:rsidRPr="009E1E3C" w:rsidRDefault="00BC2E33" w:rsidP="0091564F">
            <w:pPr>
              <w:spacing w:line="360" w:lineRule="auto"/>
              <w:jc w:val="center"/>
              <w:rPr>
                <w:rFonts w:ascii="Times New Roman" w:hAnsi="Times New Roman" w:cs="Times New Roman"/>
                <w:sz w:val="22"/>
                <w:szCs w:val="22"/>
              </w:rPr>
            </w:pPr>
            <w:r w:rsidRPr="009E1E3C">
              <w:rPr>
                <w:rFonts w:ascii="Times New Roman" w:eastAsia="DengXian" w:hAnsi="Times New Roman" w:cs="Times New Roman"/>
                <w:color w:val="000000" w:themeColor="text1"/>
                <w:kern w:val="2"/>
                <w:sz w:val="22"/>
                <w:szCs w:val="22"/>
              </w:rPr>
              <w:t>2.73</w:t>
            </w:r>
          </w:p>
        </w:tc>
        <w:tc>
          <w:tcPr>
            <w:tcW w:w="1559" w:type="dxa"/>
            <w:vAlign w:val="center"/>
          </w:tcPr>
          <w:p w14:paraId="50110DEA" w14:textId="77777777" w:rsidR="00BC2E33" w:rsidRPr="009E1E3C" w:rsidRDefault="00BC2E33" w:rsidP="0091564F">
            <w:pPr>
              <w:spacing w:line="360" w:lineRule="auto"/>
              <w:jc w:val="center"/>
              <w:rPr>
                <w:rFonts w:ascii="Times New Roman" w:hAnsi="Times New Roman" w:cs="Times New Roman"/>
                <w:sz w:val="22"/>
                <w:szCs w:val="22"/>
              </w:rPr>
            </w:pPr>
            <w:r w:rsidRPr="009E1E3C">
              <w:rPr>
                <w:rFonts w:ascii="Times New Roman" w:eastAsia="DengXian" w:hAnsi="Times New Roman" w:cs="Times New Roman"/>
                <w:color w:val="000000" w:themeColor="text1"/>
                <w:kern w:val="2"/>
                <w:sz w:val="22"/>
                <w:szCs w:val="22"/>
              </w:rPr>
              <w:t>1.54</w:t>
            </w:r>
          </w:p>
        </w:tc>
      </w:tr>
    </w:tbl>
    <w:p w14:paraId="3E78D713" w14:textId="53FA46B7" w:rsidR="00BC2E33" w:rsidRPr="009E1E3C" w:rsidRDefault="00BC2E33" w:rsidP="00BC2E33">
      <w:pPr>
        <w:pStyle w:val="SMHeading"/>
        <w:spacing w:line="480" w:lineRule="auto"/>
        <w:jc w:val="both"/>
        <w:rPr>
          <w:b w:val="0"/>
          <w:szCs w:val="22"/>
        </w:rPr>
      </w:pPr>
      <w:r w:rsidRPr="009E1E3C">
        <w:rPr>
          <w:b w:val="0"/>
          <w:bCs w:val="0"/>
          <w:szCs w:val="22"/>
        </w:rPr>
        <w:t xml:space="preserve">From </w:t>
      </w:r>
      <w:r w:rsidRPr="009E1E3C">
        <w:rPr>
          <w:szCs w:val="22"/>
        </w:rPr>
        <w:t>Table S1</w:t>
      </w:r>
      <w:r w:rsidRPr="009E1E3C">
        <w:rPr>
          <w:b w:val="0"/>
          <w:bCs w:val="0"/>
          <w:szCs w:val="22"/>
        </w:rPr>
        <w:t>, it is seen that energy consumption from only the recycling processes is relatively low compared to the total energy required (</w:t>
      </w:r>
      <w:r w:rsidRPr="009E1E3C">
        <w:rPr>
          <w:szCs w:val="22"/>
        </w:rPr>
        <w:t>Figure 2</w:t>
      </w:r>
      <w:r w:rsidRPr="009E1E3C">
        <w:rPr>
          <w:b w:val="0"/>
          <w:bCs w:val="0"/>
          <w:szCs w:val="22"/>
        </w:rPr>
        <w:t>) when the upstream processes are included. Thus, it is vital to consider the cumulative impact on energy consumption as well as greenhouse gas emissions throughout the battery’s entire life cycle.</w:t>
      </w:r>
    </w:p>
    <w:p w14:paraId="3CDFCB58" w14:textId="77777777" w:rsidR="00BC2E33" w:rsidRPr="009E1E3C" w:rsidRDefault="00BC2E33" w:rsidP="00BC2E33">
      <w:pPr>
        <w:pStyle w:val="ListParagraph"/>
        <w:widowControl w:val="0"/>
        <w:numPr>
          <w:ilvl w:val="0"/>
          <w:numId w:val="14"/>
        </w:numPr>
        <w:spacing w:line="360" w:lineRule="auto"/>
        <w:jc w:val="both"/>
        <w:rPr>
          <w:b/>
          <w:szCs w:val="24"/>
        </w:rPr>
      </w:pPr>
      <w:r w:rsidRPr="009E1E3C">
        <w:rPr>
          <w:b/>
          <w:szCs w:val="24"/>
        </w:rPr>
        <w:br w:type="page"/>
      </w:r>
    </w:p>
    <w:p w14:paraId="7088C7D5" w14:textId="498C68F6" w:rsidR="00BC2E33" w:rsidRPr="009E1E3C" w:rsidRDefault="00643C29" w:rsidP="00BC2E33">
      <w:pPr>
        <w:pStyle w:val="SMHeading"/>
        <w:spacing w:line="360" w:lineRule="auto"/>
        <w:jc w:val="center"/>
        <w:rPr>
          <w:sz w:val="22"/>
          <w:szCs w:val="22"/>
        </w:rPr>
      </w:pPr>
      <w:r w:rsidRPr="009E1E3C">
        <w:rPr>
          <w:noProof/>
          <w:sz w:val="22"/>
          <w:szCs w:val="22"/>
        </w:rPr>
        <w:lastRenderedPageBreak/>
        <w:drawing>
          <wp:inline distT="0" distB="0" distL="0" distR="0" wp14:anchorId="2AA3861A" wp14:editId="3B267281">
            <wp:extent cx="5943600" cy="3489325"/>
            <wp:effectExtent l="0" t="0" r="0" b="0"/>
            <wp:docPr id="3" name="Picture 2">
              <a:extLst xmlns:a="http://schemas.openxmlformats.org/drawingml/2006/main">
                <a:ext uri="{FF2B5EF4-FFF2-40B4-BE49-F238E27FC236}">
                  <a16:creationId xmlns:a16="http://schemas.microsoft.com/office/drawing/2014/main" id="{1C576E6D-93E1-4E6D-B39B-A27323163C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C576E6D-93E1-4E6D-B39B-A27323163CFA}"/>
                        </a:ext>
                      </a:extLst>
                    </pic:cNvPr>
                    <pic:cNvPicPr>
                      <a:picLocks noChangeAspect="1"/>
                    </pic:cNvPicPr>
                  </pic:nvPicPr>
                  <pic:blipFill>
                    <a:blip r:embed="rId9"/>
                    <a:stretch>
                      <a:fillRect/>
                    </a:stretch>
                  </pic:blipFill>
                  <pic:spPr>
                    <a:xfrm>
                      <a:off x="0" y="0"/>
                      <a:ext cx="5943600" cy="3489325"/>
                    </a:xfrm>
                    <a:prstGeom prst="rect">
                      <a:avLst/>
                    </a:prstGeom>
                  </pic:spPr>
                </pic:pic>
              </a:graphicData>
            </a:graphic>
          </wp:inline>
        </w:drawing>
      </w:r>
    </w:p>
    <w:p w14:paraId="4A67208D" w14:textId="77777777" w:rsidR="00BC2E33" w:rsidRPr="009E1E3C" w:rsidRDefault="00BC2E33" w:rsidP="00BC2E33">
      <w:pPr>
        <w:pStyle w:val="SMHeading"/>
        <w:spacing w:line="360" w:lineRule="auto"/>
        <w:jc w:val="center"/>
        <w:rPr>
          <w:sz w:val="22"/>
          <w:szCs w:val="22"/>
        </w:rPr>
      </w:pPr>
      <w:r w:rsidRPr="009E1E3C">
        <w:rPr>
          <w:noProof/>
          <w:szCs w:val="22"/>
        </w:rPr>
        <w:drawing>
          <wp:inline distT="0" distB="0" distL="0" distR="0" wp14:anchorId="07D7B344" wp14:editId="7904E40F">
            <wp:extent cx="3238500" cy="2372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6751" cy="272281"/>
                    </a:xfrm>
                    <a:prstGeom prst="rect">
                      <a:avLst/>
                    </a:prstGeom>
                    <a:noFill/>
                  </pic:spPr>
                </pic:pic>
              </a:graphicData>
            </a:graphic>
          </wp:inline>
        </w:drawing>
      </w:r>
    </w:p>
    <w:p w14:paraId="7158A9E5" w14:textId="270B4FC9" w:rsidR="00BC2E33" w:rsidRPr="009E1E3C" w:rsidRDefault="00BC2E33" w:rsidP="00BC2E33">
      <w:pPr>
        <w:pStyle w:val="SMHeading"/>
        <w:spacing w:line="480" w:lineRule="auto"/>
        <w:jc w:val="both"/>
        <w:rPr>
          <w:szCs w:val="22"/>
        </w:rPr>
      </w:pPr>
      <w:r w:rsidRPr="009E1E3C">
        <w:rPr>
          <w:szCs w:val="22"/>
        </w:rPr>
        <w:t xml:space="preserve">Figure S1. </w:t>
      </w:r>
      <w:r w:rsidRPr="009E1E3C">
        <w:rPr>
          <w:b w:val="0"/>
          <w:szCs w:val="22"/>
        </w:rPr>
        <w:t xml:space="preserve">Process flow for a hydrometallurgical recycling model for cathode recycling (without electrolyte recycling considerations). </w:t>
      </w:r>
    </w:p>
    <w:p w14:paraId="717AACE0" w14:textId="77777777" w:rsidR="00BC2E33" w:rsidRPr="009E1E3C" w:rsidRDefault="00BC2E33" w:rsidP="00BC2E33">
      <w:pPr>
        <w:pStyle w:val="SMcaption"/>
        <w:spacing w:line="360" w:lineRule="auto"/>
        <w:rPr>
          <w:sz w:val="22"/>
          <w:szCs w:val="22"/>
        </w:rPr>
      </w:pPr>
    </w:p>
    <w:p w14:paraId="0A4702CB" w14:textId="77777777" w:rsidR="00BC2E33" w:rsidRPr="009E1E3C" w:rsidRDefault="00BC2E33" w:rsidP="00BC2E33">
      <w:pPr>
        <w:pStyle w:val="SMHeading"/>
        <w:spacing w:line="360" w:lineRule="auto"/>
        <w:jc w:val="center"/>
        <w:rPr>
          <w:sz w:val="22"/>
          <w:szCs w:val="22"/>
        </w:rPr>
      </w:pPr>
      <w:r w:rsidRPr="009E1E3C">
        <w:rPr>
          <w:sz w:val="22"/>
          <w:szCs w:val="22"/>
        </w:rPr>
        <w:br w:type="page"/>
      </w:r>
      <w:r w:rsidRPr="009E1E3C">
        <w:rPr>
          <w:noProof/>
          <w:sz w:val="22"/>
          <w:szCs w:val="22"/>
        </w:rPr>
        <w:lastRenderedPageBreak/>
        <w:drawing>
          <wp:inline distT="0" distB="0" distL="0" distR="0" wp14:anchorId="4BAE01AB" wp14:editId="6D82DE73">
            <wp:extent cx="5943600" cy="4315460"/>
            <wp:effectExtent l="0" t="0" r="0" b="8890"/>
            <wp:docPr id="5" name="图片 5">
              <a:extLst xmlns:a="http://schemas.openxmlformats.org/drawingml/2006/main">
                <a:ext uri="{FF2B5EF4-FFF2-40B4-BE49-F238E27FC236}">
                  <a16:creationId xmlns:a16="http://schemas.microsoft.com/office/drawing/2014/main" id="{E19766BC-C306-4825-B801-67E7C73F00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E19766BC-C306-4825-B801-67E7C73F00D4}"/>
                        </a:ext>
                      </a:extLst>
                    </pic:cNvPr>
                    <pic:cNvPicPr>
                      <a:picLocks noChangeAspect="1"/>
                    </pic:cNvPicPr>
                  </pic:nvPicPr>
                  <pic:blipFill>
                    <a:blip r:embed="rId11"/>
                    <a:stretch>
                      <a:fillRect/>
                    </a:stretch>
                  </pic:blipFill>
                  <pic:spPr>
                    <a:xfrm>
                      <a:off x="0" y="0"/>
                      <a:ext cx="5943600" cy="4315460"/>
                    </a:xfrm>
                    <a:prstGeom prst="rect">
                      <a:avLst/>
                    </a:prstGeom>
                  </pic:spPr>
                </pic:pic>
              </a:graphicData>
            </a:graphic>
          </wp:inline>
        </w:drawing>
      </w:r>
    </w:p>
    <w:p w14:paraId="6142CB22" w14:textId="77777777" w:rsidR="00BC2E33" w:rsidRPr="009E1E3C" w:rsidRDefault="00BC2E33" w:rsidP="00BC2E33">
      <w:pPr>
        <w:pStyle w:val="SMHeading"/>
        <w:spacing w:line="360" w:lineRule="auto"/>
        <w:jc w:val="center"/>
        <w:rPr>
          <w:sz w:val="22"/>
          <w:szCs w:val="22"/>
        </w:rPr>
      </w:pPr>
      <w:r w:rsidRPr="009E1E3C">
        <w:rPr>
          <w:noProof/>
          <w:szCs w:val="22"/>
        </w:rPr>
        <w:drawing>
          <wp:inline distT="0" distB="0" distL="0" distR="0" wp14:anchorId="509CE01B" wp14:editId="2D4E4F3D">
            <wp:extent cx="3238500" cy="2372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6751" cy="272281"/>
                    </a:xfrm>
                    <a:prstGeom prst="rect">
                      <a:avLst/>
                    </a:prstGeom>
                    <a:noFill/>
                  </pic:spPr>
                </pic:pic>
              </a:graphicData>
            </a:graphic>
          </wp:inline>
        </w:drawing>
      </w:r>
    </w:p>
    <w:p w14:paraId="5A77C9B1" w14:textId="0A871E24" w:rsidR="00BC2E33" w:rsidRPr="009E1E3C" w:rsidRDefault="00BC2E33" w:rsidP="00BC2E33">
      <w:pPr>
        <w:spacing w:line="480" w:lineRule="auto"/>
        <w:jc w:val="both"/>
        <w:rPr>
          <w:sz w:val="28"/>
          <w:szCs w:val="28"/>
        </w:rPr>
      </w:pPr>
      <w:r w:rsidRPr="009E1E3C">
        <w:rPr>
          <w:b/>
          <w:bCs/>
          <w:szCs w:val="28"/>
        </w:rPr>
        <w:t>Figure S2</w:t>
      </w:r>
      <w:r w:rsidRPr="009E1E3C">
        <w:rPr>
          <w:szCs w:val="28"/>
        </w:rPr>
        <w:t xml:space="preserve">. </w:t>
      </w:r>
      <w:r w:rsidRPr="009E1E3C">
        <w:rPr>
          <w:iCs/>
          <w:szCs w:val="28"/>
        </w:rPr>
        <w:t xml:space="preserve">Process flow for a pyrometallurgical recycling model for the cathode (without electrolyte recycling considerations). </w:t>
      </w:r>
    </w:p>
    <w:p w14:paraId="40816C2F" w14:textId="77777777" w:rsidR="00BC2E33" w:rsidRPr="009E1E3C" w:rsidRDefault="00BC2E33" w:rsidP="00BC2E33">
      <w:pPr>
        <w:spacing w:line="360" w:lineRule="auto"/>
        <w:rPr>
          <w:sz w:val="22"/>
          <w:szCs w:val="22"/>
        </w:rPr>
      </w:pPr>
    </w:p>
    <w:p w14:paraId="40201B98" w14:textId="698AFF15" w:rsidR="00BC2E33" w:rsidRPr="009E1E3C" w:rsidRDefault="00643C29" w:rsidP="00BC2E33">
      <w:pPr>
        <w:pStyle w:val="SMHeading"/>
        <w:spacing w:line="360" w:lineRule="auto"/>
        <w:jc w:val="center"/>
        <w:rPr>
          <w:sz w:val="22"/>
          <w:szCs w:val="22"/>
        </w:rPr>
      </w:pPr>
      <w:r w:rsidRPr="009E1E3C">
        <w:rPr>
          <w:noProof/>
          <w:sz w:val="22"/>
          <w:szCs w:val="22"/>
        </w:rPr>
        <w:lastRenderedPageBreak/>
        <w:drawing>
          <wp:inline distT="0" distB="0" distL="0" distR="0" wp14:anchorId="1468BA13" wp14:editId="28ECD69F">
            <wp:extent cx="5943600" cy="3273425"/>
            <wp:effectExtent l="0" t="0" r="0" b="3175"/>
            <wp:docPr id="99" name="Picture 13">
              <a:extLst xmlns:a="http://schemas.openxmlformats.org/drawingml/2006/main">
                <a:ext uri="{FF2B5EF4-FFF2-40B4-BE49-F238E27FC236}">
                  <a16:creationId xmlns:a16="http://schemas.microsoft.com/office/drawing/2014/main" id="{0BE8BCF8-A728-4CD0-9C97-A00FE7337E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0BE8BCF8-A728-4CD0-9C97-A00FE7337E76}"/>
                        </a:ext>
                      </a:extLst>
                    </pic:cNvPr>
                    <pic:cNvPicPr>
                      <a:picLocks noChangeAspect="1"/>
                    </pic:cNvPicPr>
                  </pic:nvPicPr>
                  <pic:blipFill>
                    <a:blip r:embed="rId12"/>
                    <a:stretch>
                      <a:fillRect/>
                    </a:stretch>
                  </pic:blipFill>
                  <pic:spPr>
                    <a:xfrm>
                      <a:off x="0" y="0"/>
                      <a:ext cx="5943600" cy="3273425"/>
                    </a:xfrm>
                    <a:prstGeom prst="rect">
                      <a:avLst/>
                    </a:prstGeom>
                  </pic:spPr>
                </pic:pic>
              </a:graphicData>
            </a:graphic>
          </wp:inline>
        </w:drawing>
      </w:r>
    </w:p>
    <w:p w14:paraId="2ACF6BDD" w14:textId="77777777" w:rsidR="00BC2E33" w:rsidRPr="009E1E3C" w:rsidRDefault="00BC2E33" w:rsidP="00BC2E33">
      <w:pPr>
        <w:pStyle w:val="SMHeading"/>
        <w:spacing w:line="360" w:lineRule="auto"/>
        <w:jc w:val="center"/>
        <w:rPr>
          <w:sz w:val="22"/>
          <w:szCs w:val="22"/>
        </w:rPr>
      </w:pPr>
      <w:r w:rsidRPr="009E1E3C">
        <w:rPr>
          <w:noProof/>
          <w:szCs w:val="22"/>
        </w:rPr>
        <w:drawing>
          <wp:inline distT="0" distB="0" distL="0" distR="0" wp14:anchorId="351861CC" wp14:editId="036CA475">
            <wp:extent cx="3238500" cy="237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6751" cy="272281"/>
                    </a:xfrm>
                    <a:prstGeom prst="rect">
                      <a:avLst/>
                    </a:prstGeom>
                    <a:noFill/>
                  </pic:spPr>
                </pic:pic>
              </a:graphicData>
            </a:graphic>
          </wp:inline>
        </w:drawing>
      </w:r>
    </w:p>
    <w:p w14:paraId="7269C85C" w14:textId="2A20F710" w:rsidR="00BC2E33" w:rsidRPr="009E1E3C" w:rsidRDefault="00BC2E33" w:rsidP="00BC2E33">
      <w:pPr>
        <w:pStyle w:val="SMHeading"/>
        <w:spacing w:line="480" w:lineRule="auto"/>
        <w:jc w:val="both"/>
        <w:rPr>
          <w:szCs w:val="22"/>
        </w:rPr>
      </w:pPr>
      <w:r w:rsidRPr="009E1E3C">
        <w:rPr>
          <w:szCs w:val="22"/>
        </w:rPr>
        <w:t xml:space="preserve">Figure S3. </w:t>
      </w:r>
      <w:r w:rsidRPr="009E1E3C">
        <w:rPr>
          <w:b w:val="0"/>
          <w:szCs w:val="22"/>
        </w:rPr>
        <w:t xml:space="preserve">Process flow for direct recycling of the cathode (without electrolyte considerations). </w:t>
      </w:r>
    </w:p>
    <w:p w14:paraId="5F3871C6" w14:textId="77777777" w:rsidR="00BC2E33" w:rsidRPr="009E1E3C" w:rsidRDefault="00BC2E33" w:rsidP="00BC2E33">
      <w:pPr>
        <w:spacing w:line="360" w:lineRule="auto"/>
        <w:rPr>
          <w:b/>
          <w:iCs/>
          <w:szCs w:val="22"/>
        </w:rPr>
      </w:pPr>
    </w:p>
    <w:p w14:paraId="1371989E" w14:textId="77777777" w:rsidR="00BC2E33" w:rsidRPr="009E1E3C" w:rsidRDefault="00BC2E33" w:rsidP="00BC2E33">
      <w:pPr>
        <w:pStyle w:val="SMHeading"/>
        <w:spacing w:line="360" w:lineRule="auto"/>
        <w:rPr>
          <w:szCs w:val="22"/>
        </w:rPr>
      </w:pPr>
    </w:p>
    <w:p w14:paraId="07F89728" w14:textId="77777777" w:rsidR="00BC2E33" w:rsidRPr="009E1E3C" w:rsidRDefault="00BC2E33" w:rsidP="00BC2E33">
      <w:pPr>
        <w:pStyle w:val="SMHeading"/>
        <w:spacing w:line="360" w:lineRule="auto"/>
        <w:rPr>
          <w:szCs w:val="22"/>
        </w:rPr>
      </w:pPr>
      <w:r w:rsidRPr="009E1E3C">
        <w:rPr>
          <w:szCs w:val="22"/>
        </w:rPr>
        <w:br w:type="page"/>
      </w:r>
    </w:p>
    <w:p w14:paraId="66CB7E05" w14:textId="2565B0A5" w:rsidR="00BC2E33" w:rsidRPr="009E1E3C" w:rsidRDefault="00643C29" w:rsidP="00BC2E33">
      <w:pPr>
        <w:pStyle w:val="SMHeading"/>
        <w:spacing w:line="360" w:lineRule="auto"/>
        <w:rPr>
          <w:szCs w:val="22"/>
        </w:rPr>
      </w:pPr>
      <w:r w:rsidRPr="009E1E3C">
        <w:rPr>
          <w:noProof/>
          <w:szCs w:val="22"/>
        </w:rPr>
        <w:lastRenderedPageBreak/>
        <w:drawing>
          <wp:inline distT="0" distB="0" distL="0" distR="0" wp14:anchorId="49366ECD" wp14:editId="556E3B87">
            <wp:extent cx="5943600" cy="3207385"/>
            <wp:effectExtent l="0" t="0" r="0" b="0"/>
            <wp:docPr id="2" name="Picture 1">
              <a:extLst xmlns:a="http://schemas.openxmlformats.org/drawingml/2006/main">
                <a:ext uri="{FF2B5EF4-FFF2-40B4-BE49-F238E27FC236}">
                  <a16:creationId xmlns:a16="http://schemas.microsoft.com/office/drawing/2014/main" id="{051BC4C9-33AC-42F2-9857-34B2B30EF6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51BC4C9-33AC-42F2-9857-34B2B30EF642}"/>
                        </a:ext>
                      </a:extLst>
                    </pic:cNvPr>
                    <pic:cNvPicPr>
                      <a:picLocks noChangeAspect="1"/>
                    </pic:cNvPicPr>
                  </pic:nvPicPr>
                  <pic:blipFill>
                    <a:blip r:embed="rId13"/>
                    <a:stretch>
                      <a:fillRect/>
                    </a:stretch>
                  </pic:blipFill>
                  <pic:spPr>
                    <a:xfrm>
                      <a:off x="0" y="0"/>
                      <a:ext cx="5943600" cy="3207385"/>
                    </a:xfrm>
                    <a:prstGeom prst="rect">
                      <a:avLst/>
                    </a:prstGeom>
                  </pic:spPr>
                </pic:pic>
              </a:graphicData>
            </a:graphic>
          </wp:inline>
        </w:drawing>
      </w:r>
    </w:p>
    <w:p w14:paraId="27AE7144" w14:textId="77777777" w:rsidR="00BC2E33" w:rsidRPr="009E1E3C" w:rsidRDefault="00BC2E33" w:rsidP="00BC2E33">
      <w:pPr>
        <w:pStyle w:val="SMHeading"/>
        <w:spacing w:line="360" w:lineRule="auto"/>
        <w:jc w:val="center"/>
        <w:rPr>
          <w:szCs w:val="22"/>
        </w:rPr>
      </w:pPr>
      <w:r w:rsidRPr="009E1E3C">
        <w:rPr>
          <w:noProof/>
          <w:szCs w:val="22"/>
        </w:rPr>
        <w:drawing>
          <wp:inline distT="0" distB="0" distL="0" distR="0" wp14:anchorId="29B09442" wp14:editId="763467D0">
            <wp:extent cx="3238500" cy="2372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6751" cy="272281"/>
                    </a:xfrm>
                    <a:prstGeom prst="rect">
                      <a:avLst/>
                    </a:prstGeom>
                    <a:noFill/>
                  </pic:spPr>
                </pic:pic>
              </a:graphicData>
            </a:graphic>
          </wp:inline>
        </w:drawing>
      </w:r>
    </w:p>
    <w:p w14:paraId="6A3C034F" w14:textId="092C38D2" w:rsidR="00BC2E33" w:rsidRPr="009E1E3C" w:rsidRDefault="00BC2E33" w:rsidP="00BC2E33">
      <w:pPr>
        <w:pStyle w:val="SMHeading"/>
        <w:spacing w:line="480" w:lineRule="auto"/>
        <w:jc w:val="both"/>
        <w:rPr>
          <w:szCs w:val="22"/>
        </w:rPr>
      </w:pPr>
      <w:r w:rsidRPr="009E1E3C">
        <w:rPr>
          <w:szCs w:val="22"/>
        </w:rPr>
        <w:t xml:space="preserve">Figure S4. </w:t>
      </w:r>
      <w:r w:rsidRPr="009E1E3C">
        <w:rPr>
          <w:b w:val="0"/>
          <w:szCs w:val="22"/>
        </w:rPr>
        <w:t xml:space="preserve">Process flow for the direct recycling of a full cell with liquid electrolyte recycling considerations. </w:t>
      </w:r>
    </w:p>
    <w:p w14:paraId="1B57E417" w14:textId="77777777" w:rsidR="00BC2E33" w:rsidRPr="009E1E3C" w:rsidRDefault="00BC2E33" w:rsidP="00BC2E33">
      <w:pPr>
        <w:pStyle w:val="SMHeading"/>
        <w:spacing w:line="360" w:lineRule="auto"/>
        <w:rPr>
          <w:szCs w:val="22"/>
        </w:rPr>
      </w:pPr>
    </w:p>
    <w:p w14:paraId="15D5F989" w14:textId="77777777" w:rsidR="00BC2E33" w:rsidRPr="009E1E3C" w:rsidRDefault="00BC2E33" w:rsidP="00BC2E33">
      <w:pPr>
        <w:pStyle w:val="SMHeading"/>
        <w:spacing w:line="360" w:lineRule="auto"/>
        <w:rPr>
          <w:szCs w:val="22"/>
        </w:rPr>
      </w:pPr>
    </w:p>
    <w:p w14:paraId="4CD2B291" w14:textId="77777777" w:rsidR="00BC2E33" w:rsidRPr="009E1E3C" w:rsidRDefault="00BC2E33" w:rsidP="00BC2E33">
      <w:pPr>
        <w:pStyle w:val="SMHeading"/>
        <w:spacing w:line="360" w:lineRule="auto"/>
        <w:jc w:val="both"/>
        <w:rPr>
          <w:szCs w:val="22"/>
        </w:rPr>
      </w:pPr>
      <w:r w:rsidRPr="009E1E3C">
        <w:rPr>
          <w:szCs w:val="22"/>
        </w:rPr>
        <w:br w:type="page"/>
      </w:r>
    </w:p>
    <w:p w14:paraId="4A194E8D" w14:textId="14E72CDD" w:rsidR="00BC2E33" w:rsidRPr="009E1E3C" w:rsidRDefault="00176ADF" w:rsidP="00BC2E33">
      <w:pPr>
        <w:pStyle w:val="SMHeading"/>
        <w:spacing w:line="360" w:lineRule="auto"/>
        <w:jc w:val="both"/>
        <w:rPr>
          <w:szCs w:val="22"/>
        </w:rPr>
      </w:pPr>
      <w:r w:rsidRPr="009E1E3C">
        <w:rPr>
          <w:noProof/>
          <w:szCs w:val="22"/>
        </w:rPr>
        <w:lastRenderedPageBreak/>
        <w:drawing>
          <wp:inline distT="0" distB="0" distL="0" distR="0" wp14:anchorId="03B0E777" wp14:editId="62620544">
            <wp:extent cx="5943600" cy="2642235"/>
            <wp:effectExtent l="0" t="0" r="0" b="5715"/>
            <wp:docPr id="102" name="Picture 2">
              <a:extLst xmlns:a="http://schemas.openxmlformats.org/drawingml/2006/main">
                <a:ext uri="{FF2B5EF4-FFF2-40B4-BE49-F238E27FC236}">
                  <a16:creationId xmlns:a16="http://schemas.microsoft.com/office/drawing/2014/main" id="{A4F98AD4-1167-484D-B65C-5FD7532EA7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4F98AD4-1167-484D-B65C-5FD7532EA7F3}"/>
                        </a:ext>
                      </a:extLst>
                    </pic:cNvPr>
                    <pic:cNvPicPr>
                      <a:picLocks noChangeAspect="1"/>
                    </pic:cNvPicPr>
                  </pic:nvPicPr>
                  <pic:blipFill>
                    <a:blip r:embed="rId14"/>
                    <a:stretch>
                      <a:fillRect/>
                    </a:stretch>
                  </pic:blipFill>
                  <pic:spPr>
                    <a:xfrm>
                      <a:off x="0" y="0"/>
                      <a:ext cx="5943600" cy="2642235"/>
                    </a:xfrm>
                    <a:prstGeom prst="rect">
                      <a:avLst/>
                    </a:prstGeom>
                  </pic:spPr>
                </pic:pic>
              </a:graphicData>
            </a:graphic>
          </wp:inline>
        </w:drawing>
      </w:r>
    </w:p>
    <w:p w14:paraId="47E743F3" w14:textId="77777777" w:rsidR="00BC2E33" w:rsidRPr="009E1E3C" w:rsidRDefault="00BC2E33" w:rsidP="00BC2E33">
      <w:pPr>
        <w:pStyle w:val="SMHeading"/>
        <w:spacing w:line="360" w:lineRule="auto"/>
        <w:jc w:val="center"/>
        <w:rPr>
          <w:szCs w:val="22"/>
        </w:rPr>
      </w:pPr>
      <w:r w:rsidRPr="009E1E3C">
        <w:rPr>
          <w:noProof/>
          <w:szCs w:val="22"/>
        </w:rPr>
        <w:drawing>
          <wp:inline distT="0" distB="0" distL="0" distR="0" wp14:anchorId="7D743631" wp14:editId="6E4FDE2C">
            <wp:extent cx="3238500" cy="2372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6751" cy="272281"/>
                    </a:xfrm>
                    <a:prstGeom prst="rect">
                      <a:avLst/>
                    </a:prstGeom>
                    <a:noFill/>
                  </pic:spPr>
                </pic:pic>
              </a:graphicData>
            </a:graphic>
          </wp:inline>
        </w:drawing>
      </w:r>
    </w:p>
    <w:p w14:paraId="0E269B1F" w14:textId="67860BDC" w:rsidR="00BC2E33" w:rsidRPr="009E1E3C" w:rsidRDefault="00BC2E33" w:rsidP="00BC2E33">
      <w:pPr>
        <w:pStyle w:val="SMHeading"/>
        <w:spacing w:line="480" w:lineRule="auto"/>
        <w:jc w:val="both"/>
        <w:rPr>
          <w:szCs w:val="22"/>
        </w:rPr>
      </w:pPr>
      <w:r w:rsidRPr="009E1E3C">
        <w:rPr>
          <w:szCs w:val="22"/>
        </w:rPr>
        <w:t xml:space="preserve">Figure S5. </w:t>
      </w:r>
      <w:r w:rsidRPr="009E1E3C">
        <w:rPr>
          <w:b w:val="0"/>
          <w:szCs w:val="22"/>
        </w:rPr>
        <w:t xml:space="preserve">Process flow for direct recycling of a full cell with solid electrolyte recycling considerations. </w:t>
      </w:r>
    </w:p>
    <w:p w14:paraId="69FC4F39" w14:textId="77777777" w:rsidR="00D25877" w:rsidRPr="009E1E3C" w:rsidRDefault="00D25877" w:rsidP="0081103E">
      <w:pPr>
        <w:pStyle w:val="SMHeading"/>
        <w:spacing w:line="360" w:lineRule="auto"/>
        <w:rPr>
          <w:szCs w:val="22"/>
        </w:rPr>
      </w:pPr>
    </w:p>
    <w:p w14:paraId="10899349" w14:textId="3E6BD569" w:rsidR="00C24DDD" w:rsidRPr="001C20B9" w:rsidRDefault="001D29EF" w:rsidP="00CA4EAE">
      <w:pPr>
        <w:pStyle w:val="SMHeading"/>
        <w:rPr>
          <w:szCs w:val="22"/>
        </w:rPr>
      </w:pPr>
      <w:r w:rsidRPr="009E1E3C">
        <w:rPr>
          <w:rFonts w:asciiTheme="minorHAnsi" w:hAnsiTheme="minorHAnsi" w:cstheme="minorHAnsi"/>
          <w:b w:val="0"/>
          <w:bCs w:val="0"/>
          <w:noProof/>
          <w:kern w:val="0"/>
          <w:sz w:val="20"/>
        </w:rPr>
        <w:fldChar w:fldCharType="begin"/>
      </w:r>
      <w:r w:rsidRPr="009E1E3C">
        <w:rPr>
          <w:rFonts w:asciiTheme="minorHAnsi" w:hAnsiTheme="minorHAnsi" w:cstheme="minorHAnsi"/>
          <w:sz w:val="20"/>
        </w:rPr>
        <w:instrText xml:space="preserve"> ADDIN EN.REFLIST </w:instrText>
      </w:r>
      <w:r w:rsidRPr="009E1E3C">
        <w:rPr>
          <w:rFonts w:asciiTheme="minorHAnsi" w:hAnsiTheme="minorHAnsi" w:cstheme="minorHAnsi"/>
          <w:b w:val="0"/>
          <w:bCs w:val="0"/>
          <w:noProof/>
          <w:kern w:val="0"/>
          <w:sz w:val="20"/>
        </w:rPr>
        <w:fldChar w:fldCharType="end"/>
      </w:r>
    </w:p>
    <w:sectPr w:rsidR="00C24DDD" w:rsidRPr="001C20B9" w:rsidSect="001C20B9">
      <w:headerReference w:type="default" r:id="rId15"/>
      <w:footerReference w:type="default" r:id="rId1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4BA607" w14:textId="77777777" w:rsidR="00262D4F" w:rsidRDefault="00262D4F">
      <w:r>
        <w:separator/>
      </w:r>
    </w:p>
  </w:endnote>
  <w:endnote w:type="continuationSeparator" w:id="0">
    <w:p w14:paraId="428F8AA2" w14:textId="77777777" w:rsidR="00262D4F" w:rsidRDefault="00262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Yu Mincho">
    <w:altName w:val="Yu Mincho"/>
    <w:panose1 w:val="02020400000000000000"/>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0328026"/>
      <w:docPartObj>
        <w:docPartGallery w:val="Page Numbers (Bottom of Page)"/>
        <w:docPartUnique/>
      </w:docPartObj>
    </w:sdtPr>
    <w:sdtEndPr>
      <w:rPr>
        <w:noProof/>
      </w:rPr>
    </w:sdtEndPr>
    <w:sdtContent>
      <w:p w14:paraId="72AF0720" w14:textId="10A7BCD7" w:rsidR="006F05EE" w:rsidRDefault="006F05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0EEFF6" w14:textId="77777777" w:rsidR="003C3278" w:rsidRDefault="003C32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BAD1EC" w14:textId="77777777" w:rsidR="00262D4F" w:rsidRDefault="00262D4F">
      <w:r>
        <w:separator/>
      </w:r>
    </w:p>
  </w:footnote>
  <w:footnote w:type="continuationSeparator" w:id="0">
    <w:p w14:paraId="3A6FC5B4" w14:textId="77777777" w:rsidR="00262D4F" w:rsidRDefault="00262D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40DC9" w14:textId="59E83010" w:rsidR="003C3278" w:rsidRPr="005001AC" w:rsidRDefault="003C3278" w:rsidP="005001AC">
    <w:pPr>
      <w:jc w:val="right"/>
      <w:rPr>
        <w:sz w:val="20"/>
      </w:rPr>
    </w:pPr>
  </w:p>
  <w:p w14:paraId="0091C365" w14:textId="77777777" w:rsidR="003C3278" w:rsidRDefault="003C327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8D4926"/>
    <w:multiLevelType w:val="hybridMultilevel"/>
    <w:tmpl w:val="18028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DE0B85"/>
    <w:multiLevelType w:val="hybridMultilevel"/>
    <w:tmpl w:val="54EE802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2E17E08"/>
    <w:multiLevelType w:val="hybridMultilevel"/>
    <w:tmpl w:val="86644016"/>
    <w:lvl w:ilvl="0" w:tplc="04090003">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2C030F"/>
    <w:rsid w:val="00015F74"/>
    <w:rsid w:val="00017C53"/>
    <w:rsid w:val="000223D7"/>
    <w:rsid w:val="00030840"/>
    <w:rsid w:val="00032FE5"/>
    <w:rsid w:val="00037285"/>
    <w:rsid w:val="000648C8"/>
    <w:rsid w:val="00065EBD"/>
    <w:rsid w:val="00066AEC"/>
    <w:rsid w:val="000700F9"/>
    <w:rsid w:val="00074EB3"/>
    <w:rsid w:val="00077058"/>
    <w:rsid w:val="00077DA7"/>
    <w:rsid w:val="00083B44"/>
    <w:rsid w:val="000850DC"/>
    <w:rsid w:val="0009581E"/>
    <w:rsid w:val="000B339E"/>
    <w:rsid w:val="000C2771"/>
    <w:rsid w:val="000D3018"/>
    <w:rsid w:val="000E1936"/>
    <w:rsid w:val="000E1D98"/>
    <w:rsid w:val="000F0DCE"/>
    <w:rsid w:val="001030A5"/>
    <w:rsid w:val="00112C5B"/>
    <w:rsid w:val="00114193"/>
    <w:rsid w:val="00115A38"/>
    <w:rsid w:val="0011636D"/>
    <w:rsid w:val="0011687B"/>
    <w:rsid w:val="00124F82"/>
    <w:rsid w:val="00140E00"/>
    <w:rsid w:val="0016337A"/>
    <w:rsid w:val="00164269"/>
    <w:rsid w:val="001679FD"/>
    <w:rsid w:val="00170690"/>
    <w:rsid w:val="00176ADF"/>
    <w:rsid w:val="001A1BDE"/>
    <w:rsid w:val="001C0520"/>
    <w:rsid w:val="001C0975"/>
    <w:rsid w:val="001C20B9"/>
    <w:rsid w:val="001D29EF"/>
    <w:rsid w:val="001D394A"/>
    <w:rsid w:val="001F0876"/>
    <w:rsid w:val="001F167C"/>
    <w:rsid w:val="001F5E91"/>
    <w:rsid w:val="00205399"/>
    <w:rsid w:val="002077B9"/>
    <w:rsid w:val="002206E1"/>
    <w:rsid w:val="0024113E"/>
    <w:rsid w:val="00247B7C"/>
    <w:rsid w:val="00262AE7"/>
    <w:rsid w:val="00262D4F"/>
    <w:rsid w:val="00262D72"/>
    <w:rsid w:val="00263425"/>
    <w:rsid w:val="00294FBB"/>
    <w:rsid w:val="002A5A6B"/>
    <w:rsid w:val="002B31EC"/>
    <w:rsid w:val="002C030F"/>
    <w:rsid w:val="002C2B84"/>
    <w:rsid w:val="002C5D8F"/>
    <w:rsid w:val="002C7522"/>
    <w:rsid w:val="002E125E"/>
    <w:rsid w:val="00302192"/>
    <w:rsid w:val="003129C4"/>
    <w:rsid w:val="00325D90"/>
    <w:rsid w:val="00331D75"/>
    <w:rsid w:val="00336E0A"/>
    <w:rsid w:val="00351E50"/>
    <w:rsid w:val="00355362"/>
    <w:rsid w:val="0035620D"/>
    <w:rsid w:val="00363E44"/>
    <w:rsid w:val="00387114"/>
    <w:rsid w:val="00395E86"/>
    <w:rsid w:val="003A2FD8"/>
    <w:rsid w:val="003B40E6"/>
    <w:rsid w:val="003C1DF6"/>
    <w:rsid w:val="003C3278"/>
    <w:rsid w:val="003D3974"/>
    <w:rsid w:val="003E1076"/>
    <w:rsid w:val="003F6E14"/>
    <w:rsid w:val="004024CA"/>
    <w:rsid w:val="00405336"/>
    <w:rsid w:val="00414DAC"/>
    <w:rsid w:val="004164E4"/>
    <w:rsid w:val="0044498D"/>
    <w:rsid w:val="004526BB"/>
    <w:rsid w:val="004571D5"/>
    <w:rsid w:val="00461D81"/>
    <w:rsid w:val="0046356B"/>
    <w:rsid w:val="00464824"/>
    <w:rsid w:val="00475D82"/>
    <w:rsid w:val="00477182"/>
    <w:rsid w:val="0047760F"/>
    <w:rsid w:val="004779CB"/>
    <w:rsid w:val="004A159F"/>
    <w:rsid w:val="004B2F21"/>
    <w:rsid w:val="004D2A1A"/>
    <w:rsid w:val="004E42D8"/>
    <w:rsid w:val="004E7BA2"/>
    <w:rsid w:val="004F7EDF"/>
    <w:rsid w:val="005001AC"/>
    <w:rsid w:val="00527D71"/>
    <w:rsid w:val="00541563"/>
    <w:rsid w:val="005607DD"/>
    <w:rsid w:val="00560F83"/>
    <w:rsid w:val="00563D61"/>
    <w:rsid w:val="00581779"/>
    <w:rsid w:val="005A558C"/>
    <w:rsid w:val="005C28ED"/>
    <w:rsid w:val="005D4028"/>
    <w:rsid w:val="005D5D9B"/>
    <w:rsid w:val="005E28F8"/>
    <w:rsid w:val="005E6513"/>
    <w:rsid w:val="006140DF"/>
    <w:rsid w:val="00643C29"/>
    <w:rsid w:val="00651114"/>
    <w:rsid w:val="0065772A"/>
    <w:rsid w:val="00666C47"/>
    <w:rsid w:val="00670299"/>
    <w:rsid w:val="006739DD"/>
    <w:rsid w:val="00682030"/>
    <w:rsid w:val="00691985"/>
    <w:rsid w:val="006A1B64"/>
    <w:rsid w:val="006C571D"/>
    <w:rsid w:val="006E3955"/>
    <w:rsid w:val="006E3E68"/>
    <w:rsid w:val="006E4A20"/>
    <w:rsid w:val="006F05EE"/>
    <w:rsid w:val="00703243"/>
    <w:rsid w:val="007108F5"/>
    <w:rsid w:val="00713E5B"/>
    <w:rsid w:val="00722A09"/>
    <w:rsid w:val="007269BD"/>
    <w:rsid w:val="0073340E"/>
    <w:rsid w:val="00734E08"/>
    <w:rsid w:val="0073522F"/>
    <w:rsid w:val="007402FC"/>
    <w:rsid w:val="007411A1"/>
    <w:rsid w:val="00746E2B"/>
    <w:rsid w:val="007477CF"/>
    <w:rsid w:val="0076536C"/>
    <w:rsid w:val="007A46E1"/>
    <w:rsid w:val="007B546B"/>
    <w:rsid w:val="007B5946"/>
    <w:rsid w:val="007F08DA"/>
    <w:rsid w:val="007F0B2F"/>
    <w:rsid w:val="00807D35"/>
    <w:rsid w:val="008100E7"/>
    <w:rsid w:val="0081103E"/>
    <w:rsid w:val="00820484"/>
    <w:rsid w:val="00824DF3"/>
    <w:rsid w:val="0083337E"/>
    <w:rsid w:val="008531EE"/>
    <w:rsid w:val="00857C1E"/>
    <w:rsid w:val="008676FD"/>
    <w:rsid w:val="00881800"/>
    <w:rsid w:val="00885C9B"/>
    <w:rsid w:val="008A3A3C"/>
    <w:rsid w:val="008B6CCF"/>
    <w:rsid w:val="008D5D2A"/>
    <w:rsid w:val="00914B63"/>
    <w:rsid w:val="009258B8"/>
    <w:rsid w:val="009354F3"/>
    <w:rsid w:val="00937275"/>
    <w:rsid w:val="00943C3C"/>
    <w:rsid w:val="009447DC"/>
    <w:rsid w:val="00953A16"/>
    <w:rsid w:val="00961BA5"/>
    <w:rsid w:val="009743A9"/>
    <w:rsid w:val="0097572E"/>
    <w:rsid w:val="009758C3"/>
    <w:rsid w:val="00983BE6"/>
    <w:rsid w:val="009A5287"/>
    <w:rsid w:val="009A670E"/>
    <w:rsid w:val="009B2AC5"/>
    <w:rsid w:val="009B7984"/>
    <w:rsid w:val="009C4C5D"/>
    <w:rsid w:val="009D239A"/>
    <w:rsid w:val="009E1E3C"/>
    <w:rsid w:val="009F3966"/>
    <w:rsid w:val="009F4BED"/>
    <w:rsid w:val="009F6558"/>
    <w:rsid w:val="009F7D93"/>
    <w:rsid w:val="00A04E80"/>
    <w:rsid w:val="00A16071"/>
    <w:rsid w:val="00A26C14"/>
    <w:rsid w:val="00A2741D"/>
    <w:rsid w:val="00A3403B"/>
    <w:rsid w:val="00A42DF1"/>
    <w:rsid w:val="00A51A12"/>
    <w:rsid w:val="00A529FD"/>
    <w:rsid w:val="00A627D4"/>
    <w:rsid w:val="00A74DA2"/>
    <w:rsid w:val="00A84B5F"/>
    <w:rsid w:val="00AA1CAF"/>
    <w:rsid w:val="00AC100C"/>
    <w:rsid w:val="00AC15B4"/>
    <w:rsid w:val="00AD499C"/>
    <w:rsid w:val="00B0551E"/>
    <w:rsid w:val="00B11145"/>
    <w:rsid w:val="00B36869"/>
    <w:rsid w:val="00B42F9C"/>
    <w:rsid w:val="00B43B31"/>
    <w:rsid w:val="00B43F24"/>
    <w:rsid w:val="00B45B5D"/>
    <w:rsid w:val="00B466B5"/>
    <w:rsid w:val="00B47CFA"/>
    <w:rsid w:val="00B545B0"/>
    <w:rsid w:val="00B57F00"/>
    <w:rsid w:val="00B77B2A"/>
    <w:rsid w:val="00B82C22"/>
    <w:rsid w:val="00B8723B"/>
    <w:rsid w:val="00B9177C"/>
    <w:rsid w:val="00B93DBA"/>
    <w:rsid w:val="00B9440A"/>
    <w:rsid w:val="00B96F7D"/>
    <w:rsid w:val="00BB2D2A"/>
    <w:rsid w:val="00BC002E"/>
    <w:rsid w:val="00BC2E33"/>
    <w:rsid w:val="00BD58CF"/>
    <w:rsid w:val="00BD79B7"/>
    <w:rsid w:val="00C04CC1"/>
    <w:rsid w:val="00C16CA7"/>
    <w:rsid w:val="00C24DDD"/>
    <w:rsid w:val="00C47CA9"/>
    <w:rsid w:val="00C50C6D"/>
    <w:rsid w:val="00C56570"/>
    <w:rsid w:val="00C600D9"/>
    <w:rsid w:val="00C66D35"/>
    <w:rsid w:val="00C74C52"/>
    <w:rsid w:val="00CA1DE4"/>
    <w:rsid w:val="00CA4C36"/>
    <w:rsid w:val="00CA4EAE"/>
    <w:rsid w:val="00CC1384"/>
    <w:rsid w:val="00CD3720"/>
    <w:rsid w:val="00CD417A"/>
    <w:rsid w:val="00CF1848"/>
    <w:rsid w:val="00CF5C2F"/>
    <w:rsid w:val="00CF600C"/>
    <w:rsid w:val="00CF6D87"/>
    <w:rsid w:val="00D0465C"/>
    <w:rsid w:val="00D04BCF"/>
    <w:rsid w:val="00D143D9"/>
    <w:rsid w:val="00D253B8"/>
    <w:rsid w:val="00D25877"/>
    <w:rsid w:val="00D269AB"/>
    <w:rsid w:val="00D3270A"/>
    <w:rsid w:val="00D346C2"/>
    <w:rsid w:val="00D47A0D"/>
    <w:rsid w:val="00D60A8B"/>
    <w:rsid w:val="00D83A90"/>
    <w:rsid w:val="00D93926"/>
    <w:rsid w:val="00DA0407"/>
    <w:rsid w:val="00DB628C"/>
    <w:rsid w:val="00DC2790"/>
    <w:rsid w:val="00DD1727"/>
    <w:rsid w:val="00DD421A"/>
    <w:rsid w:val="00E12EC2"/>
    <w:rsid w:val="00E14FDB"/>
    <w:rsid w:val="00E211B8"/>
    <w:rsid w:val="00E257C8"/>
    <w:rsid w:val="00E37047"/>
    <w:rsid w:val="00E51A1D"/>
    <w:rsid w:val="00E53DF5"/>
    <w:rsid w:val="00E60D0F"/>
    <w:rsid w:val="00E9773B"/>
    <w:rsid w:val="00EA2740"/>
    <w:rsid w:val="00EA596B"/>
    <w:rsid w:val="00EC13A3"/>
    <w:rsid w:val="00EC7C85"/>
    <w:rsid w:val="00EE12A2"/>
    <w:rsid w:val="00EE2554"/>
    <w:rsid w:val="00EF44A7"/>
    <w:rsid w:val="00F04C5E"/>
    <w:rsid w:val="00F125EE"/>
    <w:rsid w:val="00F12E98"/>
    <w:rsid w:val="00F22029"/>
    <w:rsid w:val="00F2525D"/>
    <w:rsid w:val="00F4792B"/>
    <w:rsid w:val="00F630EA"/>
    <w:rsid w:val="00F65966"/>
    <w:rsid w:val="00F7007E"/>
    <w:rsid w:val="00F70200"/>
    <w:rsid w:val="00F73193"/>
    <w:rsid w:val="00F74F95"/>
    <w:rsid w:val="00F7535A"/>
    <w:rsid w:val="00F80705"/>
    <w:rsid w:val="00F83503"/>
    <w:rsid w:val="00FA1481"/>
    <w:rsid w:val="00FA4A0C"/>
    <w:rsid w:val="00FB3F3C"/>
    <w:rsid w:val="00FD2226"/>
    <w:rsid w:val="00FE4364"/>
    <w:rsid w:val="00FF04E3"/>
    <w:rsid w:val="00FF2749"/>
    <w:rsid w:val="00FF61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7D1EA8"/>
  <w15:docId w15:val="{B088CF61-478F-4A95-B686-2B41B5AA4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basedOn w:val="DefaultParagraphFont"/>
    <w:link w:val="Heading1"/>
    <w:semiHidden/>
    <w:rsid w:val="00FF04E3"/>
    <w:rPr>
      <w:b/>
      <w:bCs/>
      <w:kern w:val="32"/>
      <w:sz w:val="24"/>
      <w:szCs w:val="24"/>
    </w:rPr>
  </w:style>
  <w:style w:type="character" w:customStyle="1" w:styleId="Heading2Char">
    <w:name w:val="Heading 2 Char"/>
    <w:basedOn w:val="DefaultParagraphFont"/>
    <w:link w:val="Heading2"/>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link w:val="SMTextChar"/>
    <w:qFormat/>
    <w:rsid w:val="00B9440A"/>
    <w:pPr>
      <w:ind w:firstLine="480"/>
    </w:pPr>
  </w:style>
  <w:style w:type="paragraph" w:customStyle="1" w:styleId="SMcaption">
    <w:name w:val="SM caption"/>
    <w:basedOn w:val="SMText"/>
    <w:link w:val="SMcaptionChar"/>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basedOn w:val="DefaultParagraphFont"/>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basedOn w:val="CommentText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uiPriority w:val="99"/>
    <w:rsid w:val="00405336"/>
    <w:pPr>
      <w:tabs>
        <w:tab w:val="center" w:pos="4680"/>
        <w:tab w:val="right" w:pos="9360"/>
      </w:tabs>
    </w:pPr>
  </w:style>
  <w:style w:type="character" w:customStyle="1" w:styleId="FooterChar">
    <w:name w:val="Footer Char"/>
    <w:basedOn w:val="DefaultParagraphFont"/>
    <w:link w:val="Footer"/>
    <w:uiPriority w:val="99"/>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basedOn w:val="DefaultParagraphFont"/>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uiPriority w:val="99"/>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semiHidden/>
    <w:rsid w:val="009258B8"/>
    <w:rPr>
      <w:sz w:val="16"/>
      <w:szCs w:val="16"/>
    </w:rPr>
  </w:style>
  <w:style w:type="character" w:styleId="FollowedHyperlink">
    <w:name w:val="FollowedHyperlink"/>
    <w:basedOn w:val="DefaultParagraphFont"/>
    <w:semiHidden/>
    <w:unhideWhenUsed/>
    <w:rsid w:val="007477CF"/>
    <w:rPr>
      <w:color w:val="800080" w:themeColor="followedHyperlink"/>
      <w:u w:val="single"/>
    </w:rPr>
  </w:style>
  <w:style w:type="table" w:styleId="TableGrid">
    <w:name w:val="Table Grid"/>
    <w:basedOn w:val="TableNormal"/>
    <w:uiPriority w:val="39"/>
    <w:rsid w:val="00E51A1D"/>
    <w:rPr>
      <w:rFonts w:asciiTheme="minorHAnsi" w:eastAsiaTheme="minorEastAsia" w:hAnsiTheme="minorHAnsi" w:cstheme="minorBidi"/>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51A1D"/>
    <w:rPr>
      <w:rFonts w:ascii="Calibri" w:eastAsia="Yu Mincho" w:hAnsi="Calibri"/>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F7535A"/>
    <w:pPr>
      <w:jc w:val="center"/>
    </w:pPr>
    <w:rPr>
      <w:noProof/>
    </w:rPr>
  </w:style>
  <w:style w:type="character" w:customStyle="1" w:styleId="SMTextChar">
    <w:name w:val="SM Text Char"/>
    <w:basedOn w:val="DefaultParagraphFont"/>
    <w:link w:val="SMText"/>
    <w:rsid w:val="00F7535A"/>
    <w:rPr>
      <w:sz w:val="24"/>
    </w:rPr>
  </w:style>
  <w:style w:type="character" w:customStyle="1" w:styleId="SMcaptionChar">
    <w:name w:val="SM caption Char"/>
    <w:basedOn w:val="SMTextChar"/>
    <w:link w:val="SMcaption"/>
    <w:rsid w:val="00F7535A"/>
    <w:rPr>
      <w:sz w:val="24"/>
    </w:rPr>
  </w:style>
  <w:style w:type="character" w:customStyle="1" w:styleId="EndNoteBibliographyTitleChar">
    <w:name w:val="EndNote Bibliography Title Char"/>
    <w:basedOn w:val="SMcaptionChar"/>
    <w:link w:val="EndNoteBibliographyTitle"/>
    <w:rsid w:val="00F7535A"/>
    <w:rPr>
      <w:noProof/>
      <w:sz w:val="24"/>
    </w:rPr>
  </w:style>
  <w:style w:type="paragraph" w:customStyle="1" w:styleId="EndNoteBibliography">
    <w:name w:val="EndNote Bibliography"/>
    <w:basedOn w:val="Normal"/>
    <w:link w:val="EndNoteBibliographyChar"/>
    <w:rsid w:val="00F7535A"/>
    <w:rPr>
      <w:noProof/>
    </w:rPr>
  </w:style>
  <w:style w:type="character" w:customStyle="1" w:styleId="EndNoteBibliographyChar">
    <w:name w:val="EndNote Bibliography Char"/>
    <w:basedOn w:val="SMcaptionChar"/>
    <w:link w:val="EndNoteBibliography"/>
    <w:rsid w:val="00F7535A"/>
    <w:rPr>
      <w:noProof/>
      <w:sz w:val="24"/>
    </w:rPr>
  </w:style>
  <w:style w:type="paragraph" w:customStyle="1" w:styleId="Title2">
    <w:name w:val="Title2"/>
    <w:basedOn w:val="Normal"/>
    <w:rsid w:val="002C5D8F"/>
    <w:rPr>
      <w:rFonts w:eastAsia="MS Mincho"/>
      <w:b/>
      <w:szCs w:val="24"/>
      <w:lang w:eastAsia="ja-JP"/>
    </w:rPr>
  </w:style>
  <w:style w:type="character" w:styleId="UnresolvedMention">
    <w:name w:val="Unresolved Mention"/>
    <w:basedOn w:val="DefaultParagraphFont"/>
    <w:uiPriority w:val="99"/>
    <w:semiHidden/>
    <w:unhideWhenUsed/>
    <w:rsid w:val="00CA4E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898269">
      <w:bodyDiv w:val="1"/>
      <w:marLeft w:val="0"/>
      <w:marRight w:val="0"/>
      <w:marTop w:val="0"/>
      <w:marBottom w:val="0"/>
      <w:divBdr>
        <w:top w:val="none" w:sz="0" w:space="0" w:color="auto"/>
        <w:left w:val="none" w:sz="0" w:space="0" w:color="auto"/>
        <w:bottom w:val="none" w:sz="0" w:space="0" w:color="auto"/>
        <w:right w:val="none" w:sz="0" w:space="0" w:color="auto"/>
      </w:divBdr>
    </w:div>
    <w:div w:id="361710142">
      <w:bodyDiv w:val="1"/>
      <w:marLeft w:val="0"/>
      <w:marRight w:val="0"/>
      <w:marTop w:val="0"/>
      <w:marBottom w:val="0"/>
      <w:divBdr>
        <w:top w:val="none" w:sz="0" w:space="0" w:color="auto"/>
        <w:left w:val="none" w:sz="0" w:space="0" w:color="auto"/>
        <w:bottom w:val="none" w:sz="0" w:space="0" w:color="auto"/>
        <w:right w:val="none" w:sz="0" w:space="0" w:color="auto"/>
      </w:divBdr>
    </w:div>
    <w:div w:id="380373521">
      <w:bodyDiv w:val="1"/>
      <w:marLeft w:val="0"/>
      <w:marRight w:val="0"/>
      <w:marTop w:val="0"/>
      <w:marBottom w:val="0"/>
      <w:divBdr>
        <w:top w:val="none" w:sz="0" w:space="0" w:color="auto"/>
        <w:left w:val="none" w:sz="0" w:space="0" w:color="auto"/>
        <w:bottom w:val="none" w:sz="0" w:space="0" w:color="auto"/>
        <w:right w:val="none" w:sz="0" w:space="0" w:color="auto"/>
      </w:divBdr>
    </w:div>
    <w:div w:id="426509332">
      <w:bodyDiv w:val="1"/>
      <w:marLeft w:val="0"/>
      <w:marRight w:val="0"/>
      <w:marTop w:val="0"/>
      <w:marBottom w:val="0"/>
      <w:divBdr>
        <w:top w:val="none" w:sz="0" w:space="0" w:color="auto"/>
        <w:left w:val="none" w:sz="0" w:space="0" w:color="auto"/>
        <w:bottom w:val="none" w:sz="0" w:space="0" w:color="auto"/>
        <w:right w:val="none" w:sz="0" w:space="0" w:color="auto"/>
      </w:divBdr>
    </w:div>
    <w:div w:id="497889959">
      <w:bodyDiv w:val="1"/>
      <w:marLeft w:val="0"/>
      <w:marRight w:val="0"/>
      <w:marTop w:val="0"/>
      <w:marBottom w:val="0"/>
      <w:divBdr>
        <w:top w:val="none" w:sz="0" w:space="0" w:color="auto"/>
        <w:left w:val="none" w:sz="0" w:space="0" w:color="auto"/>
        <w:bottom w:val="none" w:sz="0" w:space="0" w:color="auto"/>
        <w:right w:val="none" w:sz="0" w:space="0" w:color="auto"/>
      </w:divBdr>
    </w:div>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591402309">
      <w:bodyDiv w:val="1"/>
      <w:marLeft w:val="0"/>
      <w:marRight w:val="0"/>
      <w:marTop w:val="0"/>
      <w:marBottom w:val="0"/>
      <w:divBdr>
        <w:top w:val="none" w:sz="0" w:space="0" w:color="auto"/>
        <w:left w:val="none" w:sz="0" w:space="0" w:color="auto"/>
        <w:bottom w:val="none" w:sz="0" w:space="0" w:color="auto"/>
        <w:right w:val="none" w:sz="0" w:space="0" w:color="auto"/>
      </w:divBdr>
    </w:div>
    <w:div w:id="616375332">
      <w:bodyDiv w:val="1"/>
      <w:marLeft w:val="0"/>
      <w:marRight w:val="0"/>
      <w:marTop w:val="0"/>
      <w:marBottom w:val="0"/>
      <w:divBdr>
        <w:top w:val="none" w:sz="0" w:space="0" w:color="auto"/>
        <w:left w:val="none" w:sz="0" w:space="0" w:color="auto"/>
        <w:bottom w:val="none" w:sz="0" w:space="0" w:color="auto"/>
        <w:right w:val="none" w:sz="0" w:space="0" w:color="auto"/>
      </w:divBdr>
    </w:div>
    <w:div w:id="739139245">
      <w:bodyDiv w:val="1"/>
      <w:marLeft w:val="0"/>
      <w:marRight w:val="0"/>
      <w:marTop w:val="0"/>
      <w:marBottom w:val="0"/>
      <w:divBdr>
        <w:top w:val="none" w:sz="0" w:space="0" w:color="auto"/>
        <w:left w:val="none" w:sz="0" w:space="0" w:color="auto"/>
        <w:bottom w:val="none" w:sz="0" w:space="0" w:color="auto"/>
        <w:right w:val="none" w:sz="0" w:space="0" w:color="auto"/>
      </w:divBdr>
    </w:div>
    <w:div w:id="768351864">
      <w:bodyDiv w:val="1"/>
      <w:marLeft w:val="0"/>
      <w:marRight w:val="0"/>
      <w:marTop w:val="0"/>
      <w:marBottom w:val="0"/>
      <w:divBdr>
        <w:top w:val="none" w:sz="0" w:space="0" w:color="auto"/>
        <w:left w:val="none" w:sz="0" w:space="0" w:color="auto"/>
        <w:bottom w:val="none" w:sz="0" w:space="0" w:color="auto"/>
        <w:right w:val="none" w:sz="0" w:space="0" w:color="auto"/>
      </w:divBdr>
    </w:div>
    <w:div w:id="796223233">
      <w:bodyDiv w:val="1"/>
      <w:marLeft w:val="0"/>
      <w:marRight w:val="0"/>
      <w:marTop w:val="0"/>
      <w:marBottom w:val="0"/>
      <w:divBdr>
        <w:top w:val="none" w:sz="0" w:space="0" w:color="auto"/>
        <w:left w:val="none" w:sz="0" w:space="0" w:color="auto"/>
        <w:bottom w:val="none" w:sz="0" w:space="0" w:color="auto"/>
        <w:right w:val="none" w:sz="0" w:space="0" w:color="auto"/>
      </w:divBdr>
    </w:div>
    <w:div w:id="1005934173">
      <w:bodyDiv w:val="1"/>
      <w:marLeft w:val="0"/>
      <w:marRight w:val="0"/>
      <w:marTop w:val="0"/>
      <w:marBottom w:val="0"/>
      <w:divBdr>
        <w:top w:val="none" w:sz="0" w:space="0" w:color="auto"/>
        <w:left w:val="none" w:sz="0" w:space="0" w:color="auto"/>
        <w:bottom w:val="none" w:sz="0" w:space="0" w:color="auto"/>
        <w:right w:val="none" w:sz="0" w:space="0" w:color="auto"/>
      </w:divBdr>
    </w:div>
    <w:div w:id="1219977057">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 w:id="1476141117">
      <w:bodyDiv w:val="1"/>
      <w:marLeft w:val="0"/>
      <w:marRight w:val="0"/>
      <w:marTop w:val="0"/>
      <w:marBottom w:val="0"/>
      <w:divBdr>
        <w:top w:val="none" w:sz="0" w:space="0" w:color="auto"/>
        <w:left w:val="none" w:sz="0" w:space="0" w:color="auto"/>
        <w:bottom w:val="none" w:sz="0" w:space="0" w:color="auto"/>
        <w:right w:val="none" w:sz="0" w:space="0" w:color="auto"/>
      </w:divBdr>
    </w:div>
    <w:div w:id="1591507194">
      <w:bodyDiv w:val="1"/>
      <w:marLeft w:val="0"/>
      <w:marRight w:val="0"/>
      <w:marTop w:val="0"/>
      <w:marBottom w:val="0"/>
      <w:divBdr>
        <w:top w:val="none" w:sz="0" w:space="0" w:color="auto"/>
        <w:left w:val="none" w:sz="0" w:space="0" w:color="auto"/>
        <w:bottom w:val="none" w:sz="0" w:space="0" w:color="auto"/>
        <w:right w:val="none" w:sz="0" w:space="0" w:color="auto"/>
      </w:divBdr>
    </w:div>
    <w:div w:id="1725638750">
      <w:bodyDiv w:val="1"/>
      <w:marLeft w:val="0"/>
      <w:marRight w:val="0"/>
      <w:marTop w:val="0"/>
      <w:marBottom w:val="0"/>
      <w:divBdr>
        <w:top w:val="none" w:sz="0" w:space="0" w:color="auto"/>
        <w:left w:val="none" w:sz="0" w:space="0" w:color="auto"/>
        <w:bottom w:val="none" w:sz="0" w:space="0" w:color="auto"/>
        <w:right w:val="none" w:sz="0" w:space="0" w:color="auto"/>
      </w:divBdr>
    </w:div>
    <w:div w:id="1948197978">
      <w:bodyDiv w:val="1"/>
      <w:marLeft w:val="0"/>
      <w:marRight w:val="0"/>
      <w:marTop w:val="0"/>
      <w:marBottom w:val="0"/>
      <w:divBdr>
        <w:top w:val="none" w:sz="0" w:space="0" w:color="auto"/>
        <w:left w:val="none" w:sz="0" w:space="0" w:color="auto"/>
        <w:bottom w:val="none" w:sz="0" w:space="0" w:color="auto"/>
        <w:right w:val="none" w:sz="0" w:space="0" w:color="auto"/>
      </w:divBdr>
    </w:div>
    <w:div w:id="2017535258">
      <w:bodyDiv w:val="1"/>
      <w:marLeft w:val="0"/>
      <w:marRight w:val="0"/>
      <w:marTop w:val="0"/>
      <w:marBottom w:val="0"/>
      <w:divBdr>
        <w:top w:val="none" w:sz="0" w:space="0" w:color="auto"/>
        <w:left w:val="none" w:sz="0" w:space="0" w:color="auto"/>
        <w:bottom w:val="none" w:sz="0" w:space="0" w:color="auto"/>
        <w:right w:val="none" w:sz="0" w:space="0" w:color="auto"/>
      </w:divBdr>
    </w:div>
    <w:div w:id="205280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hengchen@eng.ucsd.edu"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A97D34-34A8-4A1A-89B7-C10B2C445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1497</Words>
  <Characters>8539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10016</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Darren H Tan</cp:lastModifiedBy>
  <cp:revision>3</cp:revision>
  <cp:lastPrinted>2019-06-17T22:57:00Z</cp:lastPrinted>
  <dcterms:created xsi:type="dcterms:W3CDTF">2020-07-15T17:50:00Z</dcterms:created>
  <dcterms:modified xsi:type="dcterms:W3CDTF">2020-07-15T17:52:00Z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134035117</vt:i4>
  </property>
</Properties>
</file>