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87" w:rsidRPr="00730BF0" w:rsidRDefault="00DF4650" w:rsidP="00DF4650">
      <w:pPr>
        <w:pStyle w:val="BodyText"/>
        <w:spacing w:before="39"/>
        <w:rPr>
          <w:b w:val="0"/>
        </w:rPr>
      </w:pPr>
      <w:r w:rsidRPr="00730BF0">
        <w:rPr>
          <w:b w:val="0"/>
        </w:rPr>
        <w:t>Possible implementation of CARE into Society for American Archaeology (SAA) guidance regarding archaeological data management plans</w:t>
      </w:r>
      <w:r w:rsidR="006555D3">
        <w:rPr>
          <w:b w:val="0"/>
        </w:rPr>
        <w:t xml:space="preserve"> (italics ours)</w:t>
      </w:r>
      <w:r w:rsidRPr="00730BF0">
        <w:rPr>
          <w:b w:val="0"/>
        </w:rPr>
        <w:t>. Adapted from SAA guidance regarding National Science Foundation data management plans (</w:t>
      </w:r>
      <w:hyperlink r:id="rId5" w:history="1">
        <w:r w:rsidRPr="00730BF0">
          <w:rPr>
            <w:rStyle w:val="Hyperlink"/>
            <w:b w:val="0"/>
          </w:rPr>
          <w:t>https://www.nsf.gov/sbe/bcs/arch/SAA_Data_Management_Plan_Guidance.pdf</w:t>
        </w:r>
      </w:hyperlink>
      <w:r w:rsidR="006555D3">
        <w:rPr>
          <w:b w:val="0"/>
        </w:rPr>
        <w:t>). Gupta et al. 2023</w:t>
      </w:r>
    </w:p>
    <w:p w:rsidR="00907587" w:rsidRDefault="00907587">
      <w:pPr>
        <w:pStyle w:val="BodyText"/>
        <w:rPr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9271"/>
        <w:gridCol w:w="1729"/>
      </w:tblGrid>
      <w:tr w:rsidR="00907587">
        <w:trPr>
          <w:trHeight w:val="551"/>
        </w:trPr>
        <w:tc>
          <w:tcPr>
            <w:tcW w:w="3620" w:type="dxa"/>
          </w:tcPr>
          <w:p w:rsidR="00907587" w:rsidRDefault="00730BF0">
            <w:pPr>
              <w:pStyle w:val="TableParagraph"/>
              <w:spacing w:line="240" w:lineRule="exact"/>
              <w:ind w:left="1383" w:right="137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1F487C"/>
                <w:spacing w:val="-2"/>
                <w:sz w:val="20"/>
              </w:rPr>
              <w:t>Element</w:t>
            </w:r>
          </w:p>
        </w:tc>
        <w:tc>
          <w:tcPr>
            <w:tcW w:w="9271" w:type="dxa"/>
          </w:tcPr>
          <w:p w:rsidR="00907587" w:rsidRDefault="00730BF0">
            <w:pPr>
              <w:pStyle w:val="TableParagraph"/>
              <w:spacing w:line="273" w:lineRule="exact"/>
              <w:ind w:left="3248" w:right="3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Examples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Explanation</w:t>
            </w:r>
          </w:p>
        </w:tc>
        <w:tc>
          <w:tcPr>
            <w:tcW w:w="1729" w:type="dxa"/>
          </w:tcPr>
          <w:p w:rsidR="00907587" w:rsidRDefault="00730BF0">
            <w:pPr>
              <w:pStyle w:val="TableParagraph"/>
              <w:spacing w:line="273" w:lineRule="exact"/>
              <w:ind w:left="230" w:right="2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NSF</w:t>
            </w:r>
          </w:p>
          <w:p w:rsidR="00907587" w:rsidRDefault="00730BF0">
            <w:pPr>
              <w:pStyle w:val="TableParagraph"/>
              <w:spacing w:line="259" w:lineRule="exact"/>
              <w:ind w:left="230" w:right="2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terminology</w:t>
            </w:r>
          </w:p>
        </w:tc>
      </w:tr>
      <w:tr w:rsidR="00907587">
        <w:trPr>
          <w:trHeight w:val="551"/>
        </w:trPr>
        <w:tc>
          <w:tcPr>
            <w:tcW w:w="3620" w:type="dxa"/>
          </w:tcPr>
          <w:p w:rsidR="00907587" w:rsidRDefault="00730BF0">
            <w:pPr>
              <w:pStyle w:val="TableParagraph"/>
              <w:ind w:left="107" w:right="156"/>
              <w:rPr>
                <w:rFonts w:ascii="Tahoma"/>
                <w:sz w:val="20"/>
              </w:rPr>
            </w:pPr>
            <w:r>
              <w:rPr>
                <w:rFonts w:ascii="Tahoma"/>
                <w:color w:val="1F487C"/>
                <w:sz w:val="20"/>
              </w:rPr>
              <w:t>What digital data and physical collections/records</w:t>
            </w:r>
            <w:r>
              <w:rPr>
                <w:rFonts w:ascii="Tahoma"/>
                <w:color w:val="1F487C"/>
                <w:spacing w:val="-14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will</w:t>
            </w:r>
            <w:r>
              <w:rPr>
                <w:rFonts w:ascii="Tahoma"/>
                <w:color w:val="1F487C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be</w:t>
            </w:r>
            <w:r>
              <w:rPr>
                <w:rFonts w:ascii="Tahoma"/>
                <w:color w:val="1F487C"/>
                <w:spacing w:val="-13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produced?</w:t>
            </w:r>
          </w:p>
        </w:tc>
        <w:tc>
          <w:tcPr>
            <w:tcW w:w="9271" w:type="dxa"/>
          </w:tcPr>
          <w:p w:rsidR="00907587" w:rsidRDefault="00730B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these</w:t>
            </w:r>
          </w:p>
          <w:p w:rsidR="00907587" w:rsidRDefault="00730BF0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collections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 w:rsidR="006C4489" w:rsidRPr="006C4489">
              <w:rPr>
                <w:i/>
                <w:spacing w:val="-3"/>
                <w:sz w:val="24"/>
              </w:rPr>
              <w:t>digital</w:t>
            </w:r>
            <w:r w:rsidR="006C448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datasets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 w:rsidR="00D31CDA" w:rsidRPr="006C4489">
              <w:rPr>
                <w:spacing w:val="-2"/>
                <w:sz w:val="24"/>
              </w:rPr>
              <w:t xml:space="preserve">indicated </w:t>
            </w:r>
            <w:r w:rsidR="00D31CDA" w:rsidRPr="00D31CDA">
              <w:rPr>
                <w:i/>
                <w:spacing w:val="-2"/>
                <w:sz w:val="24"/>
              </w:rPr>
              <w:t>(e.g. images, drawings, maps, 3D models, samples etc.)</w:t>
            </w:r>
          </w:p>
        </w:tc>
        <w:tc>
          <w:tcPr>
            <w:tcW w:w="1729" w:type="dxa"/>
          </w:tcPr>
          <w:p w:rsidR="00907587" w:rsidRDefault="00730BF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data</w:t>
            </w:r>
          </w:p>
        </w:tc>
      </w:tr>
      <w:tr w:rsidR="00907587">
        <w:trPr>
          <w:trHeight w:val="2484"/>
        </w:trPr>
        <w:tc>
          <w:tcPr>
            <w:tcW w:w="3620" w:type="dxa"/>
          </w:tcPr>
          <w:p w:rsidR="00907587" w:rsidRDefault="00730BF0">
            <w:pPr>
              <w:pStyle w:val="TableParagraph"/>
              <w:ind w:left="107" w:right="116"/>
              <w:rPr>
                <w:rFonts w:ascii="Tahoma"/>
                <w:sz w:val="20"/>
              </w:rPr>
            </w:pPr>
            <w:r>
              <w:rPr>
                <w:rFonts w:ascii="Tahoma"/>
                <w:color w:val="1F487C"/>
                <w:sz w:val="20"/>
              </w:rPr>
              <w:t>What arrangements are being made</w:t>
            </w:r>
            <w:r>
              <w:rPr>
                <w:rFonts w:ascii="Tahoma"/>
                <w:color w:val="1F487C"/>
                <w:spacing w:val="40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to ensure the curation, physical security and long-term integrity of physical</w:t>
            </w:r>
            <w:r>
              <w:rPr>
                <w:rFonts w:ascii="Tahoma"/>
                <w:color w:val="1F487C"/>
                <w:spacing w:val="-10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objects</w:t>
            </w:r>
            <w:r>
              <w:rPr>
                <w:rFonts w:ascii="Tahoma"/>
                <w:color w:val="1F487C"/>
                <w:spacing w:val="-11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and/or</w:t>
            </w:r>
            <w:r>
              <w:rPr>
                <w:rFonts w:ascii="Tahoma"/>
                <w:color w:val="1F487C"/>
                <w:spacing w:val="-11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records</w:t>
            </w:r>
            <w:r>
              <w:rPr>
                <w:rFonts w:ascii="Tahoma"/>
                <w:color w:val="1F487C"/>
                <w:spacing w:val="-11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arising from a project?</w:t>
            </w:r>
          </w:p>
        </w:tc>
        <w:tc>
          <w:tcPr>
            <w:tcW w:w="9271" w:type="dxa"/>
          </w:tcPr>
          <w:p w:rsidR="00907587" w:rsidRDefault="00730BF0" w:rsidP="006C4489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 xml:space="preserve">The DMP should briefly describe the permanence and collections care provided by the curatorial facility, </w:t>
            </w:r>
            <w:r w:rsidR="00DF4650" w:rsidRPr="00DF4650">
              <w:rPr>
                <w:i/>
                <w:sz w:val="24"/>
              </w:rPr>
              <w:t xml:space="preserve">or </w:t>
            </w:r>
            <w:r w:rsidR="00DF4650">
              <w:rPr>
                <w:i/>
                <w:sz w:val="24"/>
              </w:rPr>
              <w:t xml:space="preserve">Indigenous and descendant community repository </w:t>
            </w:r>
            <w:r>
              <w:rPr>
                <w:sz w:val="24"/>
              </w:rPr>
              <w:t>as well as the researcher access that it provides 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 collection</w:t>
            </w:r>
            <w:r w:rsidR="006C4489">
              <w:rPr>
                <w:sz w:val="24"/>
              </w:rPr>
              <w:t xml:space="preserve"> </w:t>
            </w:r>
            <w:r w:rsidR="006C4489" w:rsidRPr="006C4489">
              <w:rPr>
                <w:i/>
                <w:sz w:val="24"/>
              </w:rPr>
              <w:t>and digital datasets</w:t>
            </w:r>
            <w:r>
              <w:rPr>
                <w:sz w:val="24"/>
              </w:rPr>
              <w:t>. Museums or other repositories should meet applicable</w:t>
            </w:r>
            <w:r w:rsidR="00DF4650">
              <w:rPr>
                <w:sz w:val="24"/>
              </w:rPr>
              <w:t xml:space="preserve"> </w:t>
            </w:r>
            <w:r w:rsidR="00A05CF9">
              <w:rPr>
                <w:sz w:val="24"/>
              </w:rPr>
              <w:t xml:space="preserve">standards </w:t>
            </w:r>
            <w:r w:rsidR="00A05CF9">
              <w:rPr>
                <w:i/>
                <w:sz w:val="24"/>
              </w:rPr>
              <w:t>and ethical data practice</w:t>
            </w:r>
            <w:r>
              <w:rPr>
                <w:sz w:val="24"/>
              </w:rPr>
              <w:t xml:space="preserve"> for</w:t>
            </w:r>
            <w:r w:rsidR="00DF4650">
              <w:rPr>
                <w:sz w:val="24"/>
              </w:rPr>
              <w:t xml:space="preserve"> permanence and collections care, </w:t>
            </w:r>
            <w:r w:rsidR="00DF4650" w:rsidRPr="00DF4650">
              <w:rPr>
                <w:i/>
                <w:sz w:val="24"/>
              </w:rPr>
              <w:t xml:space="preserve">including taking actionable steps to maintain connection between </w:t>
            </w:r>
            <w:r w:rsidR="006C4489">
              <w:rPr>
                <w:i/>
                <w:sz w:val="24"/>
              </w:rPr>
              <w:t>digital sources</w:t>
            </w:r>
            <w:r w:rsidR="00DF4650" w:rsidRPr="00DF4650">
              <w:rPr>
                <w:i/>
                <w:sz w:val="24"/>
              </w:rPr>
              <w:t xml:space="preserve"> and the community that </w:t>
            </w:r>
            <w:r w:rsidR="006C4489">
              <w:rPr>
                <w:i/>
                <w:sz w:val="24"/>
              </w:rPr>
              <w:t>data</w:t>
            </w:r>
            <w:r w:rsidR="00D31CDA">
              <w:rPr>
                <w:i/>
                <w:sz w:val="24"/>
              </w:rPr>
              <w:t xml:space="preserve"> relate to or</w:t>
            </w:r>
            <w:r w:rsidR="00DF4650" w:rsidRPr="00DF4650">
              <w:rPr>
                <w:i/>
                <w:sz w:val="24"/>
              </w:rPr>
              <w:t xml:space="preserve"> represent</w:t>
            </w:r>
            <w:r>
              <w:rPr>
                <w:sz w:val="24"/>
              </w:rPr>
              <w:t>; which standards are applicable depends on location.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Within the US these standards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36CFR79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 guidelines for collections stewardship; in other areas repositories should meet applicable standards or legal requirements. In some instances the curatorial facility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determined 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F4650">
              <w:rPr>
                <w:sz w:val="24"/>
              </w:rPr>
              <w:t xml:space="preserve"> </w:t>
            </w:r>
            <w:r>
              <w:rPr>
                <w:sz w:val="24"/>
              </w:rPr>
              <w:t>curation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 conditions of curation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DMP.</w:t>
            </w:r>
          </w:p>
        </w:tc>
        <w:tc>
          <w:tcPr>
            <w:tcW w:w="1729" w:type="dxa"/>
          </w:tcPr>
          <w:p w:rsidR="00907587" w:rsidRDefault="00730BF0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 xml:space="preserve">Data storage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z w:val="24"/>
              </w:rPr>
              <w:t>preservation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access</w:t>
            </w:r>
          </w:p>
        </w:tc>
      </w:tr>
      <w:tr w:rsidR="00907587">
        <w:trPr>
          <w:trHeight w:val="4140"/>
        </w:trPr>
        <w:tc>
          <w:tcPr>
            <w:tcW w:w="3620" w:type="dxa"/>
          </w:tcPr>
          <w:p w:rsidR="00907587" w:rsidRDefault="00730BF0">
            <w:pPr>
              <w:pStyle w:val="TableParagraph"/>
              <w:spacing w:before="1"/>
              <w:ind w:left="107" w:right="156"/>
              <w:rPr>
                <w:rFonts w:ascii="Tahoma"/>
                <w:sz w:val="20"/>
              </w:rPr>
            </w:pPr>
            <w:r>
              <w:rPr>
                <w:rFonts w:ascii="Tahoma"/>
                <w:color w:val="1F487C"/>
                <w:sz w:val="20"/>
              </w:rPr>
              <w:t>What arrangements are being made to</w:t>
            </w:r>
            <w:r>
              <w:rPr>
                <w:rFonts w:ascii="Tahoma"/>
                <w:color w:val="1F487C"/>
                <w:spacing w:val="-9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ensure</w:t>
            </w:r>
            <w:r>
              <w:rPr>
                <w:rFonts w:ascii="Tahoma"/>
                <w:color w:val="1F487C"/>
                <w:spacing w:val="-8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the</w:t>
            </w:r>
            <w:r>
              <w:rPr>
                <w:rFonts w:ascii="Tahoma"/>
                <w:color w:val="1F487C"/>
                <w:spacing w:val="-8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long-term</w:t>
            </w:r>
            <w:r>
              <w:rPr>
                <w:rFonts w:ascii="Tahoma"/>
                <w:color w:val="1F487C"/>
                <w:spacing w:val="-8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integrity</w:t>
            </w:r>
            <w:r>
              <w:rPr>
                <w:rFonts w:ascii="Tahoma"/>
                <w:color w:val="1F487C"/>
                <w:spacing w:val="-9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and accessibility of digital records?</w:t>
            </w:r>
          </w:p>
        </w:tc>
        <w:tc>
          <w:tcPr>
            <w:tcW w:w="9271" w:type="dxa"/>
          </w:tcPr>
          <w:p w:rsidR="00907587" w:rsidRDefault="00730BF0" w:rsidP="00AD734D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Preservation of digital records has both technical and semantic components. Adequate technical preservation of digital data is not satisfied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passive storage of original media, but requires an active strategy of data refresh, migration and replication or backup in another location. Normally this requires a specialized digital archive, either maintained by a university or similar institution</w:t>
            </w:r>
            <w:r w:rsidR="00903131">
              <w:rPr>
                <w:sz w:val="24"/>
              </w:rPr>
              <w:t xml:space="preserve"> </w:t>
            </w:r>
            <w:r w:rsidR="00903131" w:rsidRPr="00903131">
              <w:rPr>
                <w:i/>
                <w:sz w:val="24"/>
              </w:rPr>
              <w:t xml:space="preserve">and/or community or </w:t>
            </w:r>
            <w:r w:rsidR="00903131">
              <w:rPr>
                <w:i/>
                <w:sz w:val="24"/>
              </w:rPr>
              <w:t xml:space="preserve">Indigenous </w:t>
            </w:r>
            <w:r w:rsidR="00903131" w:rsidRPr="00903131">
              <w:rPr>
                <w:i/>
                <w:sz w:val="24"/>
              </w:rPr>
              <w:t>Nation-based repository</w:t>
            </w:r>
            <w:r>
              <w:rPr>
                <w:sz w:val="24"/>
              </w:rPr>
              <w:t>, or a freestanding archive capable of ensuring long-term preservation.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DMP should 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technical preservation capabilities of the archive or repository and its commitment to long-term preservation.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Preservation of the research value (or usability) of many types of digital records (e.g., databases, spreadsheets, GIS) requires that the digital objects be accompanied by sufficient semantic documentation (metadata) for a researcher not familiar with the project to make appropriate research use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  <w:r w:rsidR="00903131">
              <w:rPr>
                <w:sz w:val="24"/>
              </w:rPr>
              <w:t xml:space="preserve"> </w:t>
            </w:r>
            <w:r w:rsidR="00903131" w:rsidRPr="00AD734D">
              <w:rPr>
                <w:i/>
                <w:sz w:val="24"/>
              </w:rPr>
              <w:t xml:space="preserve">Semantic documentation should include </w:t>
            </w:r>
            <w:r w:rsidR="00AD734D" w:rsidRPr="00AD734D">
              <w:rPr>
                <w:i/>
                <w:sz w:val="24"/>
              </w:rPr>
              <w:t>provenance (e.g. Indigenous community’s collective rights, interests, authority and decision-making), protocols (e.g. guidance on appropriate access, use and care of data, and potential harm associated with data based on Indigenous worldview), and permiss</w:t>
            </w:r>
            <w:r w:rsidR="00D31CDA">
              <w:rPr>
                <w:i/>
                <w:sz w:val="24"/>
              </w:rPr>
              <w:t>ions (e.g. clarity on community</w:t>
            </w:r>
            <w:r w:rsidR="00AD734D" w:rsidRPr="00AD734D">
              <w:rPr>
                <w:i/>
                <w:sz w:val="24"/>
              </w:rPr>
              <w:t xml:space="preserve"> expectations and intentions about data use and engagement).</w:t>
            </w:r>
            <w:r w:rsidRPr="00AD734D"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DMP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adequately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types of digital records to be created.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Access includes both the ability of a researcher to discover that a relevant digital record exists and the ability to obtain a copy of the record.</w:t>
            </w:r>
            <w:r w:rsidR="00AD734D">
              <w:rPr>
                <w:sz w:val="24"/>
              </w:rPr>
              <w:t xml:space="preserve"> </w:t>
            </w:r>
            <w:r>
              <w:rPr>
                <w:sz w:val="24"/>
              </w:rPr>
              <w:t>Ordinarily,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discovery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provided.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DMP should briefly describe </w:t>
            </w:r>
            <w:r>
              <w:rPr>
                <w:sz w:val="24"/>
              </w:rPr>
              <w:lastRenderedPageBreak/>
              <w:t>the discovery too</w:t>
            </w:r>
            <w:r w:rsidR="006C4489">
              <w:rPr>
                <w:sz w:val="24"/>
              </w:rPr>
              <w:t xml:space="preserve">ls and the nature of the access provided, </w:t>
            </w:r>
            <w:r w:rsidR="006C4489" w:rsidRPr="006C4489">
              <w:rPr>
                <w:i/>
                <w:sz w:val="24"/>
              </w:rPr>
              <w:t>and consent needed for use and re-use</w:t>
            </w:r>
            <w:r>
              <w:rPr>
                <w:sz w:val="24"/>
              </w:rPr>
              <w:t>.</w:t>
            </w:r>
          </w:p>
        </w:tc>
        <w:tc>
          <w:tcPr>
            <w:tcW w:w="1729" w:type="dxa"/>
          </w:tcPr>
          <w:p w:rsidR="00907587" w:rsidRDefault="00730BF0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Data storage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z w:val="24"/>
              </w:rPr>
              <w:t>preservation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access</w:t>
            </w:r>
          </w:p>
        </w:tc>
      </w:tr>
      <w:tr w:rsidR="00907587">
        <w:trPr>
          <w:trHeight w:val="1657"/>
        </w:trPr>
        <w:tc>
          <w:tcPr>
            <w:tcW w:w="3620" w:type="dxa"/>
          </w:tcPr>
          <w:p w:rsidR="00907587" w:rsidRDefault="00730BF0">
            <w:pPr>
              <w:pStyle w:val="TableParagraph"/>
              <w:spacing w:before="1"/>
              <w:ind w:left="107" w:right="156"/>
              <w:rPr>
                <w:rFonts w:ascii="Tahoma"/>
                <w:sz w:val="20"/>
              </w:rPr>
            </w:pPr>
            <w:r>
              <w:rPr>
                <w:rFonts w:ascii="Tahoma"/>
                <w:color w:val="1F487C"/>
                <w:sz w:val="20"/>
              </w:rPr>
              <w:t>What</w:t>
            </w:r>
            <w:r>
              <w:rPr>
                <w:rFonts w:ascii="Tahoma"/>
                <w:color w:val="1F487C"/>
                <w:spacing w:val="-9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standards</w:t>
            </w:r>
            <w:r>
              <w:rPr>
                <w:rFonts w:ascii="Tahoma"/>
                <w:color w:val="1F487C"/>
                <w:spacing w:val="-10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or</w:t>
            </w:r>
            <w:r>
              <w:rPr>
                <w:rFonts w:ascii="Tahoma"/>
                <w:color w:val="1F487C"/>
                <w:spacing w:val="-9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methods</w:t>
            </w:r>
            <w:r>
              <w:rPr>
                <w:rFonts w:ascii="Tahoma"/>
                <w:color w:val="1F487C"/>
                <w:spacing w:val="-7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are</w:t>
            </w:r>
            <w:r>
              <w:rPr>
                <w:rFonts w:ascii="Tahoma"/>
                <w:color w:val="1F487C"/>
                <w:spacing w:val="-9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 xml:space="preserve">being employed to assure that the relationship between physical objects and physical or digital records is </w:t>
            </w:r>
            <w:r>
              <w:rPr>
                <w:rFonts w:ascii="Tahoma"/>
                <w:color w:val="1F487C"/>
                <w:spacing w:val="-2"/>
                <w:sz w:val="20"/>
              </w:rPr>
              <w:t>maintained?</w:t>
            </w:r>
          </w:p>
        </w:tc>
        <w:tc>
          <w:tcPr>
            <w:tcW w:w="9271" w:type="dxa"/>
          </w:tcPr>
          <w:p w:rsidR="00907587" w:rsidRDefault="00A05CF9" w:rsidP="00D31CDA">
            <w:pPr>
              <w:pStyle w:val="TableParagraph"/>
              <w:spacing w:line="270" w:lineRule="atLeast"/>
              <w:ind w:right="171"/>
              <w:rPr>
                <w:sz w:val="24"/>
              </w:rPr>
            </w:pPr>
            <w:r w:rsidRPr="00A05CF9">
              <w:rPr>
                <w:sz w:val="24"/>
              </w:rPr>
              <w:t xml:space="preserve">What standards are being applied, such as format or metadata content, to ensure that the data are findable and reusable and that the relationships between different data are preserved? </w:t>
            </w:r>
            <w:r w:rsidRPr="00A05CF9">
              <w:rPr>
                <w:i/>
                <w:sz w:val="24"/>
              </w:rPr>
              <w:t>What metadata content are being applied to signal the connection to the community which the data relate to and represent in alignment with CARE principles?</w:t>
            </w:r>
            <w:r w:rsidRPr="00A05CF9">
              <w:rPr>
                <w:sz w:val="24"/>
              </w:rPr>
              <w:t xml:space="preserve"> Metadata standards in museum and digital data contexts often reference the CIDOC CRM (Conceptual Reference Model, ISO 21127:2006) and Dublin Core (DC; or its specialized variants, such as Darwin Core for biological data, ISO 15836:2006). Interim and final reports should be included in the plan, unless dissemination is restricted by law or permit.</w:t>
            </w:r>
          </w:p>
        </w:tc>
        <w:tc>
          <w:tcPr>
            <w:tcW w:w="1729" w:type="dxa"/>
          </w:tcPr>
          <w:p w:rsidR="00907587" w:rsidRDefault="00730BF0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 xml:space="preserve">Data format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dissemination</w:t>
            </w:r>
          </w:p>
        </w:tc>
      </w:tr>
    </w:tbl>
    <w:p w:rsidR="00907587" w:rsidRDefault="00907587">
      <w:pPr>
        <w:rPr>
          <w:sz w:val="24"/>
        </w:rPr>
        <w:sectPr w:rsidR="00907587" w:rsidSect="007F6517">
          <w:type w:val="continuous"/>
          <w:pgSz w:w="15840" w:h="12240" w:orient="landscape"/>
          <w:pgMar w:top="680" w:right="500" w:bottom="280" w:left="500" w:header="720" w:footer="720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9271"/>
        <w:gridCol w:w="1729"/>
      </w:tblGrid>
      <w:tr w:rsidR="00907587">
        <w:trPr>
          <w:trHeight w:val="1380"/>
        </w:trPr>
        <w:tc>
          <w:tcPr>
            <w:tcW w:w="3620" w:type="dxa"/>
          </w:tcPr>
          <w:p w:rsidR="00907587" w:rsidRDefault="00730BF0">
            <w:pPr>
              <w:pStyle w:val="TableParagraph"/>
              <w:ind w:left="107" w:right="156"/>
              <w:rPr>
                <w:rFonts w:ascii="Tahoma"/>
                <w:sz w:val="20"/>
              </w:rPr>
            </w:pPr>
            <w:r>
              <w:rPr>
                <w:rFonts w:ascii="Tahoma"/>
                <w:color w:val="1F487C"/>
                <w:sz w:val="20"/>
              </w:rPr>
              <w:t>Have</w:t>
            </w:r>
            <w:r>
              <w:rPr>
                <w:rFonts w:ascii="Tahoma"/>
                <w:color w:val="1F487C"/>
                <w:spacing w:val="-9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issues</w:t>
            </w:r>
            <w:r>
              <w:rPr>
                <w:rFonts w:ascii="Tahoma"/>
                <w:color w:val="1F487C"/>
                <w:spacing w:val="-8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of</w:t>
            </w:r>
            <w:r>
              <w:rPr>
                <w:rFonts w:ascii="Tahoma"/>
                <w:color w:val="1F487C"/>
                <w:spacing w:val="-11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rights</w:t>
            </w:r>
            <w:r>
              <w:rPr>
                <w:rFonts w:ascii="Tahoma"/>
                <w:color w:val="1F487C"/>
                <w:spacing w:val="-10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or</w:t>
            </w:r>
            <w:r>
              <w:rPr>
                <w:rFonts w:ascii="Tahoma"/>
                <w:color w:val="1F487C"/>
                <w:spacing w:val="-7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ownership been addressed?</w:t>
            </w:r>
          </w:p>
        </w:tc>
        <w:tc>
          <w:tcPr>
            <w:tcW w:w="9271" w:type="dxa"/>
          </w:tcPr>
          <w:p w:rsidR="00907587" w:rsidRPr="00AD734D" w:rsidRDefault="00730BF0" w:rsidP="00D31CDA">
            <w:pPr>
              <w:pStyle w:val="TableParagraph"/>
              <w:tabs>
                <w:tab w:val="left" w:pos="5687"/>
              </w:tabs>
              <w:ind w:right="289"/>
              <w:rPr>
                <w:sz w:val="24"/>
              </w:rPr>
            </w:pPr>
            <w:r>
              <w:rPr>
                <w:sz w:val="24"/>
              </w:rPr>
              <w:t>The DMP should identify who holds rights to the data being generated; appropriate permissions and releases</w:t>
            </w:r>
            <w:r w:rsidR="00D31CDA">
              <w:rPr>
                <w:sz w:val="24"/>
              </w:rPr>
              <w:t xml:space="preserve"> should be described if needed. </w:t>
            </w:r>
            <w:r w:rsidR="00D31CDA">
              <w:rPr>
                <w:i/>
                <w:sz w:val="24"/>
              </w:rPr>
              <w:t>Researchers should state clearly</w:t>
            </w:r>
            <w:r w:rsidR="00D31CDA" w:rsidRPr="00D31CDA">
              <w:rPr>
                <w:i/>
                <w:sz w:val="24"/>
              </w:rPr>
              <w:t xml:space="preserve"> </w:t>
            </w:r>
            <w:r w:rsidR="00D31CDA" w:rsidRPr="00D31CDA">
              <w:rPr>
                <w:i/>
                <w:spacing w:val="-4"/>
                <w:sz w:val="24"/>
              </w:rPr>
              <w:t>under what conditions and permissions are da</w:t>
            </w:r>
            <w:r w:rsidR="006C4489">
              <w:rPr>
                <w:i/>
                <w:spacing w:val="-4"/>
                <w:sz w:val="24"/>
              </w:rPr>
              <w:t>ta being collected and compiled.</w:t>
            </w:r>
            <w:bookmarkStart w:id="0" w:name="_GoBack"/>
            <w:bookmarkEnd w:id="0"/>
            <w:r w:rsidR="00D31CDA" w:rsidRPr="00D31CDA">
              <w:rPr>
                <w:i/>
                <w:spacing w:val="-4"/>
                <w:sz w:val="24"/>
              </w:rPr>
              <w:t xml:space="preserve"> Who makes decisions about which data?</w:t>
            </w:r>
            <w:r w:rsidR="00D31CDA"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researchers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issue of physical and intellectual property rights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may differ greatly based on a project’s location and stakeholders involved, and may include tribes or local governments, landowners,</w:t>
            </w:r>
            <w:r w:rsidR="00D31CDA">
              <w:rPr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ministries,</w:t>
            </w:r>
            <w:r>
              <w:rPr>
                <w:spacing w:val="-4"/>
                <w:sz w:val="24"/>
              </w:rPr>
              <w:t xml:space="preserve"> etc.</w:t>
            </w:r>
            <w:r w:rsidR="00AD734D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729" w:type="dxa"/>
          </w:tcPr>
          <w:p w:rsidR="00907587" w:rsidRDefault="00730BF0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 xml:space="preserve">Data format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dissemination</w:t>
            </w:r>
          </w:p>
        </w:tc>
      </w:tr>
      <w:tr w:rsidR="00907587">
        <w:trPr>
          <w:trHeight w:val="1655"/>
        </w:trPr>
        <w:tc>
          <w:tcPr>
            <w:tcW w:w="3620" w:type="dxa"/>
          </w:tcPr>
          <w:p w:rsidR="00907587" w:rsidRDefault="00730BF0">
            <w:pPr>
              <w:pStyle w:val="TableParagraph"/>
              <w:ind w:left="107" w:right="156"/>
              <w:rPr>
                <w:rFonts w:ascii="Tahoma"/>
                <w:sz w:val="20"/>
              </w:rPr>
            </w:pPr>
            <w:r>
              <w:rPr>
                <w:rFonts w:ascii="Tahoma"/>
                <w:color w:val="1F487C"/>
                <w:sz w:val="20"/>
              </w:rPr>
              <w:t>What measures are being taken to assure</w:t>
            </w:r>
            <w:r>
              <w:rPr>
                <w:rFonts w:ascii="Tahoma"/>
                <w:color w:val="1F487C"/>
                <w:spacing w:val="-4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these</w:t>
            </w:r>
            <w:r>
              <w:rPr>
                <w:rFonts w:ascii="Tahoma"/>
                <w:color w:val="1F487C"/>
                <w:spacing w:val="-4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collections</w:t>
            </w:r>
            <w:r>
              <w:rPr>
                <w:rFonts w:ascii="Tahoma"/>
                <w:color w:val="1F487C"/>
                <w:spacing w:val="-5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(physical</w:t>
            </w:r>
            <w:r>
              <w:rPr>
                <w:rFonts w:ascii="Tahoma"/>
                <w:color w:val="1F487C"/>
                <w:spacing w:val="-4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and digital) are or become accessible to other researchers, and what restrictions</w:t>
            </w:r>
            <w:r>
              <w:rPr>
                <w:rFonts w:ascii="Tahoma"/>
                <w:color w:val="1F487C"/>
                <w:spacing w:val="-11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are</w:t>
            </w:r>
            <w:r>
              <w:rPr>
                <w:rFonts w:ascii="Tahoma"/>
                <w:color w:val="1F487C"/>
                <w:spacing w:val="-9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contemplated</w:t>
            </w:r>
            <w:r>
              <w:rPr>
                <w:rFonts w:ascii="Tahoma"/>
                <w:color w:val="1F487C"/>
                <w:spacing w:val="-11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for</w:t>
            </w:r>
            <w:r>
              <w:rPr>
                <w:rFonts w:ascii="Tahoma"/>
                <w:color w:val="1F487C"/>
                <w:spacing w:val="-11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 xml:space="preserve">such </w:t>
            </w:r>
            <w:r>
              <w:rPr>
                <w:rFonts w:ascii="Tahoma"/>
                <w:color w:val="1F487C"/>
                <w:spacing w:val="-2"/>
                <w:sz w:val="20"/>
              </w:rPr>
              <w:t>access?</w:t>
            </w:r>
          </w:p>
        </w:tc>
        <w:tc>
          <w:tcPr>
            <w:tcW w:w="9271" w:type="dxa"/>
          </w:tcPr>
          <w:p w:rsidR="00907587" w:rsidRDefault="00730BF0" w:rsidP="00D31C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Temporary restrictions to allow a scholar to complete analysis and publication are generally appropriate,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to other researchers after publication or five years, whichever is first.” </w:t>
            </w:r>
            <w:r w:rsidR="00D31CDA">
              <w:rPr>
                <w:i/>
                <w:sz w:val="24"/>
              </w:rPr>
              <w:t xml:space="preserve">The scholar should identify </w:t>
            </w:r>
            <w:r w:rsidR="00D31CDA" w:rsidRPr="00D31CDA">
              <w:rPr>
                <w:i/>
                <w:spacing w:val="-4"/>
                <w:sz w:val="24"/>
              </w:rPr>
              <w:t>w</w:t>
            </w:r>
            <w:r w:rsidR="00D31CDA">
              <w:rPr>
                <w:i/>
                <w:spacing w:val="-4"/>
                <w:sz w:val="24"/>
              </w:rPr>
              <w:t>hat steps are taken to guide</w:t>
            </w:r>
            <w:r w:rsidR="00D31CDA" w:rsidRPr="00D31CDA">
              <w:rPr>
                <w:i/>
                <w:spacing w:val="-4"/>
                <w:sz w:val="24"/>
              </w:rPr>
              <w:t xml:space="preserve"> the conditions of use and circulation</w:t>
            </w:r>
            <w:r w:rsidR="00D31CDA">
              <w:rPr>
                <w:i/>
                <w:spacing w:val="-4"/>
                <w:sz w:val="24"/>
              </w:rPr>
              <w:t xml:space="preserve"> to maximize benefits to the community while minimizing harms. </w:t>
            </w:r>
            <w:r>
              <w:rPr>
                <w:sz w:val="24"/>
              </w:rPr>
              <w:t>Specific kinds of restrictions 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on issues of rights, ownership,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sensitivity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cultural information.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Any specific restrictions regarding the re-use or distribution of data should be</w:t>
            </w:r>
            <w:r w:rsidR="00D31CD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noted. </w:t>
            </w:r>
          </w:p>
        </w:tc>
        <w:tc>
          <w:tcPr>
            <w:tcW w:w="1729" w:type="dxa"/>
          </w:tcPr>
          <w:p w:rsidR="00907587" w:rsidRDefault="00730BF0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 xml:space="preserve">Data storage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z w:val="24"/>
              </w:rPr>
              <w:t>preservation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access</w:t>
            </w:r>
          </w:p>
        </w:tc>
      </w:tr>
      <w:tr w:rsidR="00907587">
        <w:trPr>
          <w:trHeight w:val="1656"/>
        </w:trPr>
        <w:tc>
          <w:tcPr>
            <w:tcW w:w="3620" w:type="dxa"/>
          </w:tcPr>
          <w:p w:rsidR="00907587" w:rsidRDefault="00730BF0">
            <w:pPr>
              <w:pStyle w:val="TableParagraph"/>
              <w:ind w:left="107" w:right="156"/>
              <w:rPr>
                <w:rFonts w:ascii="Tahoma"/>
                <w:sz w:val="20"/>
              </w:rPr>
            </w:pPr>
            <w:r>
              <w:rPr>
                <w:rFonts w:ascii="Tahoma"/>
                <w:color w:val="1F487C"/>
                <w:sz w:val="20"/>
              </w:rPr>
              <w:lastRenderedPageBreak/>
              <w:t>Are all data being incorporated into the</w:t>
            </w:r>
            <w:r>
              <w:rPr>
                <w:rFonts w:ascii="Tahoma"/>
                <w:color w:val="1F487C"/>
                <w:spacing w:val="-6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archive,</w:t>
            </w:r>
            <w:r>
              <w:rPr>
                <w:rFonts w:ascii="Tahoma"/>
                <w:color w:val="1F487C"/>
                <w:spacing w:val="-6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and</w:t>
            </w:r>
            <w:r>
              <w:rPr>
                <w:rFonts w:ascii="Tahoma"/>
                <w:color w:val="1F487C"/>
                <w:spacing w:val="-6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if</w:t>
            </w:r>
            <w:r>
              <w:rPr>
                <w:rFonts w:ascii="Tahoma"/>
                <w:color w:val="1F487C"/>
                <w:spacing w:val="-5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not,</w:t>
            </w:r>
            <w:r>
              <w:rPr>
                <w:rFonts w:ascii="Tahoma"/>
                <w:color w:val="1F487C"/>
                <w:spacing w:val="-6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what</w:t>
            </w:r>
            <w:r>
              <w:rPr>
                <w:rFonts w:ascii="Tahoma"/>
                <w:color w:val="1F487C"/>
                <w:spacing w:val="-6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are</w:t>
            </w:r>
            <w:r>
              <w:rPr>
                <w:rFonts w:ascii="Tahoma"/>
                <w:color w:val="1F487C"/>
                <w:spacing w:val="-6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the selection criteria?</w:t>
            </w:r>
          </w:p>
        </w:tc>
        <w:tc>
          <w:tcPr>
            <w:tcW w:w="9271" w:type="dxa"/>
          </w:tcPr>
          <w:p w:rsidR="00907587" w:rsidRDefault="00730BF0" w:rsidP="004831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preserved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brick from a historic site, for example, or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preservation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environmental, characterization or dating samples), the selection criteria or significance should be explained as part of the project’s research design or data management plan.</w:t>
            </w:r>
            <w:r>
              <w:rPr>
                <w:spacing w:val="80"/>
                <w:sz w:val="24"/>
              </w:rPr>
              <w:t xml:space="preserve"> </w:t>
            </w:r>
            <w:r w:rsidR="004831BC" w:rsidRPr="00730BF0">
              <w:rPr>
                <w:i/>
                <w:sz w:val="24"/>
              </w:rPr>
              <w:t>What protocols are in place to minimize misuse of the</w:t>
            </w:r>
            <w:r w:rsidR="004831BC">
              <w:rPr>
                <w:i/>
                <w:sz w:val="24"/>
              </w:rPr>
              <w:t xml:space="preserve"> compiled data or</w:t>
            </w:r>
            <w:r w:rsidR="004831BC" w:rsidRPr="00730BF0">
              <w:rPr>
                <w:i/>
                <w:sz w:val="24"/>
              </w:rPr>
              <w:t xml:space="preserve"> database?</w:t>
            </w:r>
            <w:r w:rsidR="004831BC">
              <w:rPr>
                <w:sz w:val="24"/>
              </w:rPr>
              <w:t xml:space="preserve"> </w:t>
            </w:r>
            <w:r w:rsidR="004831BC" w:rsidRPr="00730BF0">
              <w:rPr>
                <w:i/>
                <w:sz w:val="24"/>
              </w:rPr>
              <w:t>Where is information available about the digital database?</w:t>
            </w:r>
            <w:r w:rsidR="004831BC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If data are collected that must remain</w:t>
            </w:r>
            <w:r w:rsidR="004831BC">
              <w:rPr>
                <w:sz w:val="24"/>
              </w:rPr>
              <w:t xml:space="preserve"> </w:t>
            </w:r>
            <w:r>
              <w:rPr>
                <w:sz w:val="24"/>
              </w:rPr>
              <w:t>confidential,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confidentiality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of physical or digital records should be described. </w:t>
            </w:r>
          </w:p>
        </w:tc>
        <w:tc>
          <w:tcPr>
            <w:tcW w:w="1729" w:type="dxa"/>
          </w:tcPr>
          <w:p w:rsidR="00907587" w:rsidRDefault="00730BF0">
            <w:pPr>
              <w:pStyle w:val="TableParagraph"/>
              <w:ind w:left="106" w:right="198"/>
              <w:jc w:val="both"/>
              <w:rPr>
                <w:sz w:val="24"/>
              </w:rPr>
            </w:pPr>
            <w:r>
              <w:rPr>
                <w:sz w:val="24"/>
              </w:rPr>
              <w:t>Expected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data, Period of data </w:t>
            </w:r>
            <w:r>
              <w:rPr>
                <w:spacing w:val="-2"/>
                <w:sz w:val="24"/>
              </w:rPr>
              <w:t>retention</w:t>
            </w:r>
          </w:p>
        </w:tc>
      </w:tr>
      <w:tr w:rsidR="00907587">
        <w:trPr>
          <w:trHeight w:val="1620"/>
        </w:trPr>
        <w:tc>
          <w:tcPr>
            <w:tcW w:w="3620" w:type="dxa"/>
          </w:tcPr>
          <w:p w:rsidR="00907587" w:rsidRDefault="00730BF0">
            <w:pPr>
              <w:pStyle w:val="TableParagraph"/>
              <w:spacing w:before="1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color w:val="1F487C"/>
                <w:sz w:val="20"/>
              </w:rPr>
              <w:t>How are these arrangements represented in the research plan, proposed</w:t>
            </w:r>
            <w:r>
              <w:rPr>
                <w:rFonts w:ascii="Tahoma"/>
                <w:color w:val="1F487C"/>
                <w:spacing w:val="-9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methods</w:t>
            </w:r>
            <w:r>
              <w:rPr>
                <w:rFonts w:ascii="Tahoma"/>
                <w:color w:val="1F487C"/>
                <w:spacing w:val="-9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and</w:t>
            </w:r>
            <w:r>
              <w:rPr>
                <w:rFonts w:ascii="Tahoma"/>
                <w:color w:val="1F487C"/>
                <w:spacing w:val="-9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budget</w:t>
            </w:r>
            <w:r>
              <w:rPr>
                <w:rFonts w:ascii="Tahoma"/>
                <w:color w:val="1F487C"/>
                <w:spacing w:val="-8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>for</w:t>
            </w:r>
            <w:r>
              <w:rPr>
                <w:rFonts w:ascii="Tahoma"/>
                <w:color w:val="1F487C"/>
                <w:spacing w:val="-9"/>
                <w:sz w:val="20"/>
              </w:rPr>
              <w:t xml:space="preserve"> </w:t>
            </w:r>
            <w:r>
              <w:rPr>
                <w:rFonts w:ascii="Tahoma"/>
                <w:color w:val="1F487C"/>
                <w:sz w:val="20"/>
              </w:rPr>
              <w:t xml:space="preserve">the </w:t>
            </w:r>
            <w:r>
              <w:rPr>
                <w:rFonts w:ascii="Tahoma"/>
                <w:color w:val="1F487C"/>
                <w:spacing w:val="-2"/>
                <w:sz w:val="20"/>
              </w:rPr>
              <w:t>project?</w:t>
            </w:r>
          </w:p>
        </w:tc>
        <w:tc>
          <w:tcPr>
            <w:tcW w:w="9271" w:type="dxa"/>
          </w:tcPr>
          <w:p w:rsidR="00907587" w:rsidRDefault="004831BC" w:rsidP="004831BC">
            <w:pPr>
              <w:pStyle w:val="TableParagraph"/>
              <w:ind w:right="171"/>
              <w:rPr>
                <w:sz w:val="24"/>
              </w:rPr>
            </w:pPr>
            <w:r w:rsidRPr="00730BF0">
              <w:rPr>
                <w:i/>
                <w:sz w:val="24"/>
              </w:rPr>
              <w:t>Which methods are appropriate for processing and transformation?</w:t>
            </w:r>
            <w:r>
              <w:rPr>
                <w:i/>
                <w:sz w:val="24"/>
              </w:rPr>
              <w:t xml:space="preserve"> What are </w:t>
            </w:r>
            <w:r w:rsidRPr="00730BF0">
              <w:rPr>
                <w:i/>
                <w:sz w:val="24"/>
              </w:rPr>
              <w:t>benefits to the community to which the data relate to or represent?</w:t>
            </w:r>
            <w:r>
              <w:rPr>
                <w:i/>
                <w:sz w:val="24"/>
              </w:rPr>
              <w:t xml:space="preserve"> </w:t>
            </w:r>
            <w:r w:rsidR="00730BF0">
              <w:rPr>
                <w:sz w:val="24"/>
              </w:rPr>
              <w:t>Do</w:t>
            </w:r>
            <w:r w:rsidR="00730BF0">
              <w:rPr>
                <w:spacing w:val="-3"/>
                <w:sz w:val="24"/>
              </w:rPr>
              <w:t xml:space="preserve"> </w:t>
            </w:r>
            <w:r w:rsidR="00730BF0">
              <w:rPr>
                <w:sz w:val="24"/>
              </w:rPr>
              <w:t>the</w:t>
            </w:r>
            <w:r w:rsidR="00730BF0">
              <w:rPr>
                <w:spacing w:val="-4"/>
                <w:sz w:val="24"/>
              </w:rPr>
              <w:t xml:space="preserve"> </w:t>
            </w:r>
            <w:r w:rsidR="00730BF0">
              <w:rPr>
                <w:sz w:val="24"/>
              </w:rPr>
              <w:t>elements</w:t>
            </w:r>
            <w:r w:rsidR="00730BF0">
              <w:rPr>
                <w:spacing w:val="-3"/>
                <w:sz w:val="24"/>
              </w:rPr>
              <w:t xml:space="preserve"> </w:t>
            </w:r>
            <w:r w:rsidR="00730BF0">
              <w:rPr>
                <w:sz w:val="24"/>
              </w:rPr>
              <w:t>of</w:t>
            </w:r>
            <w:r w:rsidR="00730BF0">
              <w:rPr>
                <w:spacing w:val="-3"/>
                <w:sz w:val="24"/>
              </w:rPr>
              <w:t xml:space="preserve"> </w:t>
            </w:r>
            <w:r w:rsidR="00730BF0">
              <w:rPr>
                <w:sz w:val="24"/>
              </w:rPr>
              <w:t>the</w:t>
            </w:r>
            <w:r w:rsidR="00730BF0">
              <w:rPr>
                <w:spacing w:val="-2"/>
                <w:sz w:val="24"/>
              </w:rPr>
              <w:t xml:space="preserve"> </w:t>
            </w:r>
            <w:r w:rsidR="00730BF0">
              <w:rPr>
                <w:sz w:val="24"/>
              </w:rPr>
              <w:t>DMP</w:t>
            </w:r>
            <w:r w:rsidR="00730BF0">
              <w:rPr>
                <w:spacing w:val="-3"/>
                <w:sz w:val="24"/>
              </w:rPr>
              <w:t xml:space="preserve"> </w:t>
            </w:r>
            <w:r w:rsidR="00730BF0">
              <w:rPr>
                <w:sz w:val="24"/>
              </w:rPr>
              <w:t>appear</w:t>
            </w:r>
            <w:r w:rsidR="00730BF0">
              <w:rPr>
                <w:spacing w:val="-3"/>
                <w:sz w:val="24"/>
              </w:rPr>
              <w:t xml:space="preserve"> </w:t>
            </w:r>
            <w:r w:rsidR="00730BF0">
              <w:rPr>
                <w:sz w:val="24"/>
              </w:rPr>
              <w:t>as</w:t>
            </w:r>
            <w:r w:rsidR="00730BF0">
              <w:rPr>
                <w:spacing w:val="-3"/>
                <w:sz w:val="24"/>
              </w:rPr>
              <w:t xml:space="preserve"> </w:t>
            </w:r>
            <w:r w:rsidR="00730BF0">
              <w:rPr>
                <w:sz w:val="24"/>
              </w:rPr>
              <w:t>integral</w:t>
            </w:r>
            <w:r w:rsidR="00730BF0">
              <w:rPr>
                <w:spacing w:val="-3"/>
                <w:sz w:val="24"/>
              </w:rPr>
              <w:t xml:space="preserve"> </w:t>
            </w:r>
            <w:r w:rsidR="00730BF0">
              <w:rPr>
                <w:sz w:val="24"/>
              </w:rPr>
              <w:t>parts</w:t>
            </w:r>
            <w:r w:rsidR="00730BF0">
              <w:rPr>
                <w:spacing w:val="-3"/>
                <w:sz w:val="24"/>
              </w:rPr>
              <w:t xml:space="preserve"> </w:t>
            </w:r>
            <w:r w:rsidR="00730BF0">
              <w:rPr>
                <w:sz w:val="24"/>
              </w:rPr>
              <w:t>of</w:t>
            </w:r>
            <w:r w:rsidR="00730BF0">
              <w:rPr>
                <w:spacing w:val="-4"/>
                <w:sz w:val="24"/>
              </w:rPr>
              <w:t xml:space="preserve"> </w:t>
            </w:r>
            <w:r w:rsidR="00730BF0">
              <w:rPr>
                <w:sz w:val="24"/>
              </w:rPr>
              <w:t>the</w:t>
            </w:r>
            <w:r w:rsidR="00730BF0">
              <w:rPr>
                <w:spacing w:val="-3"/>
                <w:sz w:val="24"/>
              </w:rPr>
              <w:t xml:space="preserve"> </w:t>
            </w:r>
            <w:r w:rsidR="00730BF0">
              <w:rPr>
                <w:sz w:val="24"/>
              </w:rPr>
              <w:t>proposal?</w:t>
            </w:r>
            <w:r w:rsidR="00730BF0">
              <w:rPr>
                <w:spacing w:val="40"/>
                <w:sz w:val="24"/>
              </w:rPr>
              <w:t xml:space="preserve"> </w:t>
            </w:r>
            <w:r w:rsidR="00730BF0">
              <w:rPr>
                <w:sz w:val="24"/>
              </w:rPr>
              <w:t>Is</w:t>
            </w:r>
            <w:r w:rsidR="00730BF0">
              <w:rPr>
                <w:spacing w:val="-3"/>
                <w:sz w:val="24"/>
              </w:rPr>
              <w:t xml:space="preserve"> </w:t>
            </w:r>
            <w:r w:rsidR="00730BF0">
              <w:rPr>
                <w:sz w:val="24"/>
              </w:rPr>
              <w:t>there</w:t>
            </w:r>
            <w:r w:rsidR="00730BF0">
              <w:rPr>
                <w:spacing w:val="-4"/>
                <w:sz w:val="24"/>
              </w:rPr>
              <w:t xml:space="preserve"> </w:t>
            </w:r>
            <w:r w:rsidR="00730BF0">
              <w:rPr>
                <w:sz w:val="24"/>
              </w:rPr>
              <w:t>evidence</w:t>
            </w:r>
            <w:r w:rsidR="00730BF0">
              <w:rPr>
                <w:spacing w:val="-4"/>
                <w:sz w:val="24"/>
              </w:rPr>
              <w:t xml:space="preserve"> </w:t>
            </w:r>
            <w:r w:rsidR="00730BF0">
              <w:rPr>
                <w:sz w:val="24"/>
              </w:rPr>
              <w:t>that the repositories involved have agreed to accept the collections or data?</w:t>
            </w:r>
            <w:r w:rsidR="00730BF0">
              <w:rPr>
                <w:spacing w:val="40"/>
                <w:sz w:val="24"/>
              </w:rPr>
              <w:t xml:space="preserve"> </w:t>
            </w:r>
            <w:r w:rsidR="00730BF0">
              <w:rPr>
                <w:sz w:val="24"/>
              </w:rPr>
              <w:t xml:space="preserve">Does the project budget include necessary costs for data management and curation, or does the budget explanation make clear why additional funds are not needed for this purpose? </w:t>
            </w:r>
          </w:p>
        </w:tc>
        <w:tc>
          <w:tcPr>
            <w:tcW w:w="1729" w:type="dxa"/>
          </w:tcPr>
          <w:p w:rsidR="00907587" w:rsidRDefault="00730BF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907587">
        <w:trPr>
          <w:trHeight w:val="4418"/>
        </w:trPr>
        <w:tc>
          <w:tcPr>
            <w:tcW w:w="12891" w:type="dxa"/>
            <w:gridSpan w:val="2"/>
          </w:tcPr>
          <w:p w:rsidR="00907587" w:rsidRDefault="00907587">
            <w:pPr>
              <w:pStyle w:val="TableParagraph"/>
              <w:spacing w:before="1"/>
              <w:ind w:left="0"/>
              <w:rPr>
                <w:rFonts w:ascii="Calibri"/>
                <w:b/>
              </w:rPr>
            </w:pPr>
          </w:p>
          <w:p w:rsidR="00907587" w:rsidRDefault="00730BF0" w:rsidP="004831BC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ADDITIONAL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RESOURCES</w:t>
            </w:r>
          </w:p>
          <w:p w:rsidR="00907587" w:rsidRDefault="006C4489">
            <w:pPr>
              <w:pStyle w:val="TableParagraph"/>
              <w:ind w:left="107" w:right="8673"/>
              <w:rPr>
                <w:sz w:val="24"/>
              </w:rPr>
            </w:pPr>
            <w:hyperlink r:id="rId6">
              <w:r w:rsidR="00730BF0">
                <w:rPr>
                  <w:color w:val="0000FF"/>
                  <w:spacing w:val="-2"/>
                  <w:sz w:val="24"/>
                  <w:u w:val="single" w:color="0000FF"/>
                </w:rPr>
                <w:t>http://www.tdar.org/</w:t>
              </w:r>
            </w:hyperlink>
            <w:r w:rsidR="00730BF0">
              <w:rPr>
                <w:color w:val="0000FF"/>
                <w:spacing w:val="80"/>
                <w:sz w:val="24"/>
              </w:rPr>
              <w:t xml:space="preserve"> </w:t>
            </w:r>
            <w:hyperlink r:id="rId7">
              <w:r w:rsidR="00730BF0">
                <w:rPr>
                  <w:color w:val="0000FF"/>
                  <w:spacing w:val="-2"/>
                  <w:sz w:val="24"/>
                  <w:u w:val="single" w:color="0000FF"/>
                </w:rPr>
                <w:t>http://opencontext.org/</w:t>
              </w:r>
            </w:hyperlink>
            <w:r w:rsidR="00730BF0">
              <w:rPr>
                <w:color w:val="0000FF"/>
                <w:spacing w:val="-2"/>
                <w:sz w:val="24"/>
              </w:rPr>
              <w:t xml:space="preserve"> </w:t>
            </w:r>
            <w:hyperlink r:id="rId8">
              <w:r w:rsidR="00730BF0">
                <w:rPr>
                  <w:color w:val="0000FF"/>
                  <w:spacing w:val="-2"/>
                  <w:sz w:val="24"/>
                  <w:u w:val="single" w:color="0000FF"/>
                </w:rPr>
                <w:t>https://dmp.cdlib.org/</w:t>
              </w:r>
            </w:hyperlink>
            <w:r w:rsidR="00730BF0">
              <w:rPr>
                <w:color w:val="0000FF"/>
                <w:spacing w:val="-2"/>
                <w:sz w:val="24"/>
              </w:rPr>
              <w:t xml:space="preserve"> </w:t>
            </w:r>
            <w:hyperlink r:id="rId9">
              <w:r w:rsidR="00730BF0">
                <w:rPr>
                  <w:color w:val="0000FF"/>
                  <w:spacing w:val="-2"/>
                  <w:sz w:val="24"/>
                  <w:u w:val="single" w:color="0000FF"/>
                </w:rPr>
                <w:t>http://guides.archaeologydataservice.ac.uk/</w:t>
              </w:r>
            </w:hyperlink>
          </w:p>
          <w:p w:rsidR="00907587" w:rsidRDefault="006C4489">
            <w:pPr>
              <w:pStyle w:val="TableParagraph"/>
              <w:ind w:left="107" w:right="2185"/>
              <w:rPr>
                <w:sz w:val="24"/>
              </w:rPr>
            </w:pPr>
            <w:hyperlink r:id="rId10">
              <w:r w:rsidR="00730BF0">
                <w:rPr>
                  <w:color w:val="0000FF"/>
                  <w:spacing w:val="-2"/>
                  <w:sz w:val="24"/>
                  <w:u w:val="single" w:color="0000FF"/>
                </w:rPr>
                <w:t>http://www.dcc.ac.uk/sites/default/files/documents/data-forum/documents/docs/DCC_Checklist_DMP_v3.pdf</w:t>
              </w:r>
            </w:hyperlink>
            <w:r w:rsidR="00730BF0">
              <w:rPr>
                <w:color w:val="0000FF"/>
                <w:spacing w:val="-2"/>
                <w:sz w:val="24"/>
              </w:rPr>
              <w:t xml:space="preserve"> </w:t>
            </w:r>
            <w:hyperlink r:id="rId11">
              <w:r w:rsidR="00730BF0">
                <w:rPr>
                  <w:color w:val="0000FF"/>
                  <w:spacing w:val="-2"/>
                  <w:sz w:val="24"/>
                  <w:u w:val="single" w:color="0000FF"/>
                </w:rPr>
                <w:t>http://www.dcc.ac.uk/resources/data-management-plans</w:t>
              </w:r>
            </w:hyperlink>
          </w:p>
          <w:p w:rsidR="00907587" w:rsidRDefault="006C4489">
            <w:pPr>
              <w:pStyle w:val="TableParagraph"/>
              <w:spacing w:before="1"/>
              <w:ind w:left="107" w:right="7486"/>
              <w:rPr>
                <w:sz w:val="24"/>
              </w:rPr>
            </w:pPr>
            <w:hyperlink r:id="rId12">
              <w:r w:rsidR="00730BF0">
                <w:rPr>
                  <w:color w:val="0000FF"/>
                  <w:spacing w:val="-2"/>
                  <w:sz w:val="24"/>
                  <w:u w:val="single" w:color="0000FF"/>
                </w:rPr>
                <w:t>http://oad.simmons.edu/oadwiki/Data_repositories</w:t>
              </w:r>
            </w:hyperlink>
            <w:r w:rsidR="00730BF0">
              <w:rPr>
                <w:color w:val="0000FF"/>
                <w:spacing w:val="-2"/>
                <w:sz w:val="24"/>
              </w:rPr>
              <w:t xml:space="preserve"> </w:t>
            </w:r>
            <w:hyperlink r:id="rId13">
              <w:r w:rsidR="00730BF0">
                <w:rPr>
                  <w:color w:val="0000FF"/>
                  <w:spacing w:val="-2"/>
                  <w:sz w:val="24"/>
                  <w:u w:val="single" w:color="0000FF"/>
                </w:rPr>
                <w:t>http://www.admin.ox.ac.uk/rdm/dmp/checklist/</w:t>
              </w:r>
            </w:hyperlink>
            <w:r w:rsidR="00730BF0">
              <w:rPr>
                <w:color w:val="0000FF"/>
                <w:spacing w:val="-2"/>
                <w:sz w:val="24"/>
              </w:rPr>
              <w:t xml:space="preserve"> </w:t>
            </w:r>
            <w:hyperlink r:id="rId14">
              <w:r w:rsidR="00730BF0">
                <w:rPr>
                  <w:color w:val="0000FF"/>
                  <w:spacing w:val="-2"/>
                  <w:sz w:val="24"/>
                  <w:u w:val="single" w:color="0000FF"/>
                </w:rPr>
                <w:t>http://www.admin.ox.ac.uk/rdm/dmp/plans/</w:t>
              </w:r>
            </w:hyperlink>
            <w:r w:rsidR="00730BF0">
              <w:rPr>
                <w:color w:val="0000FF"/>
                <w:spacing w:val="-2"/>
                <w:sz w:val="24"/>
              </w:rPr>
              <w:t xml:space="preserve"> </w:t>
            </w:r>
            <w:hyperlink r:id="rId15">
              <w:r w:rsidR="00730BF0">
                <w:rPr>
                  <w:color w:val="0000FF"/>
                  <w:spacing w:val="-2"/>
                  <w:sz w:val="24"/>
                  <w:u w:val="single" w:color="0000FF"/>
                </w:rPr>
                <w:t>http://www.opendoar.org/find.php</w:t>
              </w:r>
            </w:hyperlink>
            <w:r w:rsidR="00730BF0">
              <w:rPr>
                <w:color w:val="0000FF"/>
                <w:spacing w:val="-2"/>
                <w:sz w:val="24"/>
              </w:rPr>
              <w:t xml:space="preserve"> </w:t>
            </w:r>
            <w:hyperlink r:id="rId16">
              <w:r w:rsidR="00730BF0">
                <w:rPr>
                  <w:color w:val="0000FF"/>
                  <w:spacing w:val="-2"/>
                  <w:sz w:val="24"/>
                  <w:u w:val="single" w:color="0000FF"/>
                </w:rPr>
                <w:t>http://roar.eprints.org/</w:t>
              </w:r>
            </w:hyperlink>
          </w:p>
          <w:p w:rsidR="00907587" w:rsidRDefault="006C448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hyperlink r:id="rId17">
              <w:r w:rsidR="00730BF0">
                <w:rPr>
                  <w:color w:val="0000FF"/>
                  <w:spacing w:val="-2"/>
                  <w:sz w:val="24"/>
                  <w:u w:val="single" w:color="0000FF"/>
                </w:rPr>
                <w:t>http://www.dataone.org/search/node/preservation%20type%3Abest_practice</w:t>
              </w:r>
            </w:hyperlink>
          </w:p>
          <w:p w:rsidR="00907587" w:rsidRDefault="006C4489">
            <w:pPr>
              <w:pStyle w:val="TableParagraph"/>
              <w:spacing w:line="270" w:lineRule="atLeast"/>
              <w:ind w:left="107" w:right="138"/>
              <w:rPr>
                <w:color w:val="0000FF"/>
                <w:spacing w:val="-2"/>
                <w:sz w:val="24"/>
                <w:u w:val="single" w:color="0000FF"/>
              </w:rPr>
            </w:pPr>
            <w:hyperlink r:id="rId18">
              <w:r w:rsidR="00730BF0">
                <w:rPr>
                  <w:color w:val="0000FF"/>
                  <w:spacing w:val="-2"/>
                  <w:sz w:val="24"/>
                  <w:u w:val="single" w:color="0000FF"/>
                </w:rPr>
                <w:t>http://aam-us.org/resources/ethics-standards-and-best-practices/characteristics-of-excellence-for-u-s-museums/collections-</w:t>
              </w:r>
            </w:hyperlink>
            <w:r w:rsidR="00730BF0">
              <w:rPr>
                <w:color w:val="0000FF"/>
                <w:spacing w:val="40"/>
                <w:sz w:val="24"/>
              </w:rPr>
              <w:t xml:space="preserve"> </w:t>
            </w:r>
            <w:hyperlink r:id="rId19">
              <w:r w:rsidR="00730BF0">
                <w:rPr>
                  <w:color w:val="0000FF"/>
                  <w:spacing w:val="-2"/>
                  <w:sz w:val="24"/>
                  <w:u w:val="single" w:color="0000FF"/>
                </w:rPr>
                <w:t>stewardship</w:t>
              </w:r>
            </w:hyperlink>
          </w:p>
          <w:p w:rsidR="004831BC" w:rsidRDefault="006C4489">
            <w:pPr>
              <w:pStyle w:val="TableParagraph"/>
              <w:spacing w:line="270" w:lineRule="atLeast"/>
              <w:ind w:left="107" w:right="138"/>
              <w:rPr>
                <w:color w:val="0000FF"/>
                <w:spacing w:val="-2"/>
                <w:sz w:val="24"/>
                <w:u w:val="single" w:color="0000FF"/>
              </w:rPr>
            </w:pPr>
            <w:hyperlink r:id="rId20">
              <w:r w:rsidR="004831BC">
                <w:rPr>
                  <w:color w:val="0000FF"/>
                  <w:spacing w:val="-2"/>
                  <w:sz w:val="24"/>
                  <w:u w:val="single" w:color="0000FF"/>
                </w:rPr>
                <w:t>http://www.amazon.com/National-Standards-Best-Practices-Museums/dp/1933253118</w:t>
              </w:r>
            </w:hyperlink>
            <w:r w:rsidR="004831BC">
              <w:rPr>
                <w:color w:val="0000FF"/>
                <w:spacing w:val="-2"/>
                <w:sz w:val="24"/>
              </w:rPr>
              <w:t xml:space="preserve"> </w:t>
            </w:r>
            <w:hyperlink r:id="rId21">
              <w:r w:rsidR="004831BC">
                <w:rPr>
                  <w:color w:val="0000FF"/>
                  <w:spacing w:val="-2"/>
                  <w:sz w:val="24"/>
                  <w:u w:val="single" w:color="0000FF"/>
                </w:rPr>
                <w:t>http://www.nps.gov/archeology/collections/index.htm</w:t>
              </w:r>
            </w:hyperlink>
            <w:r w:rsidR="004831BC">
              <w:rPr>
                <w:color w:val="0000FF"/>
                <w:spacing w:val="-2"/>
                <w:sz w:val="24"/>
              </w:rPr>
              <w:t xml:space="preserve"> </w:t>
            </w:r>
            <w:hyperlink r:id="rId22">
              <w:r w:rsidR="004831BC">
                <w:rPr>
                  <w:color w:val="0000FF"/>
                  <w:spacing w:val="-2"/>
                  <w:sz w:val="24"/>
                </w:rPr>
                <w:t>http://www.nps.gov/archeology/collections/index.htm</w:t>
              </w:r>
            </w:hyperlink>
          </w:p>
          <w:p w:rsidR="004831BC" w:rsidRDefault="004831BC" w:rsidP="004831BC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</w:p>
        </w:tc>
        <w:tc>
          <w:tcPr>
            <w:tcW w:w="1729" w:type="dxa"/>
          </w:tcPr>
          <w:p w:rsidR="00907587" w:rsidRDefault="00907587">
            <w:pPr>
              <w:pStyle w:val="TableParagraph"/>
              <w:ind w:left="0"/>
            </w:pPr>
          </w:p>
        </w:tc>
      </w:tr>
    </w:tbl>
    <w:p w:rsidR="00907587" w:rsidRDefault="00907587">
      <w:pPr>
        <w:sectPr w:rsidR="00907587">
          <w:type w:val="continuous"/>
          <w:pgSz w:w="15840" w:h="12240" w:orient="landscape"/>
          <w:pgMar w:top="700" w:right="500" w:bottom="280" w:left="500" w:header="720" w:footer="720" w:gutter="0"/>
          <w:cols w:space="720"/>
        </w:sectPr>
      </w:pPr>
    </w:p>
    <w:p w:rsidR="00907587" w:rsidRDefault="00907587" w:rsidP="004831BC">
      <w:pPr>
        <w:pStyle w:val="BodyText"/>
        <w:rPr>
          <w:b w:val="0"/>
          <w:sz w:val="20"/>
        </w:rPr>
      </w:pPr>
    </w:p>
    <w:sectPr w:rsidR="00907587">
      <w:pgSz w:w="15840" w:h="12240" w:orient="landscape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C408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0205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363F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6664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635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35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0C63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A45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92DC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26B4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7587"/>
    <w:rsid w:val="004831BC"/>
    <w:rsid w:val="00530228"/>
    <w:rsid w:val="006555D3"/>
    <w:rsid w:val="006C4489"/>
    <w:rsid w:val="00730BF0"/>
    <w:rsid w:val="007F6517"/>
    <w:rsid w:val="00903131"/>
    <w:rsid w:val="00907587"/>
    <w:rsid w:val="00A05CF9"/>
    <w:rsid w:val="00AD734D"/>
    <w:rsid w:val="00D31CDA"/>
    <w:rsid w:val="00D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BF06"/>
  <w15:docId w15:val="{2C844133-4236-4F2D-8C6E-32809E88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5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65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65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65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5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65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651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651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51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DefaultParagraphFont"/>
    <w:uiPriority w:val="99"/>
    <w:unhideWhenUsed/>
    <w:rsid w:val="00DF46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17"/>
    <w:rPr>
      <w:rFonts w:ascii="Segoe UI" w:eastAsia="Times New Roman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F6517"/>
  </w:style>
  <w:style w:type="paragraph" w:styleId="BlockText">
    <w:name w:val="Block Text"/>
    <w:basedOn w:val="Normal"/>
    <w:uiPriority w:val="99"/>
    <w:semiHidden/>
    <w:unhideWhenUsed/>
    <w:rsid w:val="007F651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65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6517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5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517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6517"/>
    <w:pPr>
      <w:ind w:firstLine="360"/>
    </w:pPr>
    <w:rPr>
      <w:rFonts w:ascii="Times New Roman" w:eastAsia="Times New Roman" w:hAnsi="Times New Roman" w:cs="Times New Roman"/>
      <w:b w:val="0"/>
      <w:bCs w:val="0"/>
    </w:rPr>
  </w:style>
  <w:style w:type="character" w:customStyle="1" w:styleId="BodyTextChar">
    <w:name w:val="Body Text Char"/>
    <w:basedOn w:val="DefaultParagraphFont"/>
    <w:link w:val="BodyText"/>
    <w:uiPriority w:val="1"/>
    <w:rsid w:val="007F6517"/>
    <w:rPr>
      <w:rFonts w:ascii="Calibri" w:eastAsia="Calibri" w:hAnsi="Calibri" w:cs="Calibri"/>
      <w:b/>
      <w:bCs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6517"/>
    <w:rPr>
      <w:rFonts w:ascii="Times New Roman" w:eastAsia="Times New Roman" w:hAnsi="Times New Roman" w:cs="Times New Roman"/>
      <w:b w:val="0"/>
      <w:b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65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6517"/>
    <w:rPr>
      <w:rFonts w:ascii="Times New Roman" w:eastAsia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651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6517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65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6517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651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6517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651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F651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6517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5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6517"/>
  </w:style>
  <w:style w:type="character" w:customStyle="1" w:styleId="DateChar">
    <w:name w:val="Date Char"/>
    <w:basedOn w:val="DefaultParagraphFont"/>
    <w:link w:val="Date"/>
    <w:uiPriority w:val="99"/>
    <w:semiHidden/>
    <w:rsid w:val="007F6517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651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6517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651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6517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65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6517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F651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651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F6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517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65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651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F6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517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F65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65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65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65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651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65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6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6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F651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6517"/>
    <w:rPr>
      <w:rFonts w:ascii="Times New Roman" w:eastAsia="Times New Roman" w:hAnsi="Times New Roman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651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6517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651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651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651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651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651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651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651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651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651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651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651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6517"/>
    <w:rPr>
      <w:rFonts w:ascii="Times New Roman" w:eastAsia="Times New Roman" w:hAnsi="Times New Roman" w:cs="Times New Roman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F651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F651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F651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F651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F651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F651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F651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F651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F651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F651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F651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651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651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651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651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F651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F651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F651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F651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F651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F65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6517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F65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F65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F651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F651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F651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651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6517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651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6517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F65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6517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651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6517"/>
    <w:rPr>
      <w:rFonts w:ascii="Times New Roman" w:eastAsia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F651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6517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65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651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F651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F6517"/>
  </w:style>
  <w:style w:type="paragraph" w:styleId="Title">
    <w:name w:val="Title"/>
    <w:basedOn w:val="Normal"/>
    <w:next w:val="Normal"/>
    <w:link w:val="TitleChar"/>
    <w:uiPriority w:val="10"/>
    <w:qFormat/>
    <w:rsid w:val="007F65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F651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651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F65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F651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651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F651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F651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F651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F651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F651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65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p.cdlib.org/" TargetMode="External"/><Relationship Id="rId13" Type="http://schemas.openxmlformats.org/officeDocument/2006/relationships/hyperlink" Target="http://www.admin.ox.ac.uk/rdm/dmp/checklist/" TargetMode="External"/><Relationship Id="rId18" Type="http://schemas.openxmlformats.org/officeDocument/2006/relationships/hyperlink" Target="http://aam-us.org/resources/ethics-standards-and-best-practices/characteristics-of-excellence-for-u-s-museums/collections-stewardsh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ps.gov/archeology/collections/index.htm" TargetMode="External"/><Relationship Id="rId7" Type="http://schemas.openxmlformats.org/officeDocument/2006/relationships/hyperlink" Target="http://opencontext.org/" TargetMode="External"/><Relationship Id="rId12" Type="http://schemas.openxmlformats.org/officeDocument/2006/relationships/hyperlink" Target="http://oad.simmons.edu/oadwiki/Data_repositories" TargetMode="External"/><Relationship Id="rId17" Type="http://schemas.openxmlformats.org/officeDocument/2006/relationships/hyperlink" Target="http://www.dataone.org/search/node/preservation%20type%3Abest_practice" TargetMode="External"/><Relationship Id="rId2" Type="http://schemas.openxmlformats.org/officeDocument/2006/relationships/styles" Target="styles.xml"/><Relationship Id="rId16" Type="http://schemas.openxmlformats.org/officeDocument/2006/relationships/hyperlink" Target="http://roar.eprints.org/" TargetMode="External"/><Relationship Id="rId20" Type="http://schemas.openxmlformats.org/officeDocument/2006/relationships/hyperlink" Target="http://www.amazon.com/National-Standards-Best-Practices-Museums/dp/19332531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dar.org/" TargetMode="External"/><Relationship Id="rId11" Type="http://schemas.openxmlformats.org/officeDocument/2006/relationships/hyperlink" Target="http://www.dcc.ac.uk/resources/data-management-plan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nsf.gov/sbe/bcs/arch/SAA_Data_Management_Plan_Guidance.pdf" TargetMode="External"/><Relationship Id="rId15" Type="http://schemas.openxmlformats.org/officeDocument/2006/relationships/hyperlink" Target="http://www.opendoar.org/find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cc.ac.uk/sites/default/files/documents/data-forum/documents/docs/DCC_Checklist_DMP_v3.pdf" TargetMode="External"/><Relationship Id="rId19" Type="http://schemas.openxmlformats.org/officeDocument/2006/relationships/hyperlink" Target="http://aam-us.org/resources/ethics-standards-and-best-practices/characteristics-of-excellence-for-u-s-museums/collections-steward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ides.archaeologydataservice.ac.uk/" TargetMode="External"/><Relationship Id="rId14" Type="http://schemas.openxmlformats.org/officeDocument/2006/relationships/hyperlink" Target="http://www.admin.ox.ac.uk/rdm/dmp/plans/" TargetMode="External"/><Relationship Id="rId22" Type="http://schemas.openxmlformats.org/officeDocument/2006/relationships/hyperlink" Target="http://www.nps.gov/archeology/collection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Altschul</dc:creator>
  <cp:lastModifiedBy>ngupta07</cp:lastModifiedBy>
  <cp:revision>8</cp:revision>
  <dcterms:created xsi:type="dcterms:W3CDTF">2022-09-17T23:34:00Z</dcterms:created>
  <dcterms:modified xsi:type="dcterms:W3CDTF">2022-09-19T02:41:00Z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2022-09-17T00:00:00Z</vt:filetime>
  </property>
  <property fmtid="{D5CDD505-2E9C-101B-9397-08002B2CF9AE}" pid="5" name="Producer">
    <vt:lpwstr>Microsoft® Word 2010</vt:lpwstr>
  </property>
</Properties>
</file>