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E5B" w:rsidRPr="00865620" w:rsidRDefault="008F1E5B" w:rsidP="008F1E5B">
      <w:pPr>
        <w:spacing w:after="0" w:line="240" w:lineRule="auto"/>
        <w:rPr>
          <w:rFonts w:eastAsia="Times New Roman"/>
          <w:szCs w:val="24"/>
        </w:rPr>
      </w:pPr>
      <w:r>
        <w:rPr>
          <w:rFonts w:eastAsia="Times New Roman"/>
          <w:color w:val="000000"/>
          <w:szCs w:val="24"/>
        </w:rPr>
        <w:t xml:space="preserve">Supplemental </w:t>
      </w:r>
      <w:r w:rsidR="00B03460">
        <w:rPr>
          <w:rFonts w:eastAsia="Times New Roman"/>
          <w:color w:val="000000"/>
          <w:szCs w:val="24"/>
        </w:rPr>
        <w:t>Table 1</w:t>
      </w:r>
      <w:r w:rsidRPr="00865620">
        <w:rPr>
          <w:rFonts w:eastAsia="Times New Roman"/>
          <w:color w:val="000000"/>
          <w:szCs w:val="24"/>
        </w:rPr>
        <w:t>. List of features used to compare to Russo’s (2006) compilation of known rings. Feature ID’s (FID) correspond to the assigned number for each feature as it was identified by the algorithm described above. Geographic locations are shown in Figure 2.</w:t>
      </w:r>
    </w:p>
    <w:p w:rsidR="008F1E5B" w:rsidRPr="00865620" w:rsidRDefault="008F1E5B" w:rsidP="008F1E5B">
      <w:pPr>
        <w:spacing w:after="0" w:line="240" w:lineRule="auto"/>
        <w:rPr>
          <w:rFonts w:eastAsia="Times New Roman"/>
          <w:szCs w:val="24"/>
        </w:rPr>
      </w:pPr>
    </w:p>
    <w:tbl>
      <w:tblPr>
        <w:tblStyle w:val="TableGrid"/>
        <w:tblW w:w="9596" w:type="dxa"/>
        <w:tblInd w:w="-90" w:type="dxa"/>
        <w:tblLook w:val="04A0" w:firstRow="1" w:lastRow="0" w:firstColumn="1" w:lastColumn="0" w:noHBand="0" w:noVBand="1"/>
      </w:tblPr>
      <w:tblGrid>
        <w:gridCol w:w="715"/>
        <w:gridCol w:w="1056"/>
        <w:gridCol w:w="1109"/>
        <w:gridCol w:w="1109"/>
        <w:gridCol w:w="1109"/>
        <w:gridCol w:w="1109"/>
        <w:gridCol w:w="852"/>
        <w:gridCol w:w="1041"/>
        <w:gridCol w:w="1496"/>
      </w:tblGrid>
      <w:tr w:rsidR="00DD0B40" w:rsidRPr="00A37C99" w:rsidTr="00DD0B40">
        <w:trPr>
          <w:trHeight w:val="288"/>
        </w:trPr>
        <w:tc>
          <w:tcPr>
            <w:tcW w:w="715" w:type="dxa"/>
            <w:tcBorders>
              <w:top w:val="nil"/>
              <w:left w:val="nil"/>
              <w:bottom w:val="double" w:sz="4" w:space="0" w:color="auto"/>
              <w:right w:val="nil"/>
            </w:tcBorders>
            <w:noWrap/>
            <w:hideMark/>
          </w:tcPr>
          <w:p w:rsidR="00DD0B40" w:rsidRPr="00A37C99" w:rsidRDefault="00DD0B40" w:rsidP="00753CFD">
            <w:pPr>
              <w:jc w:val="center"/>
            </w:pPr>
            <w:r w:rsidRPr="00A37C99">
              <w:rPr>
                <w:b/>
                <w:sz w:val="22"/>
              </w:rPr>
              <w:t xml:space="preserve">Ring </w:t>
            </w:r>
            <w:r w:rsidRPr="00691626">
              <w:rPr>
                <w:b/>
              </w:rPr>
              <w:t>ID</w:t>
            </w:r>
          </w:p>
        </w:tc>
        <w:tc>
          <w:tcPr>
            <w:tcW w:w="1056" w:type="dxa"/>
            <w:tcBorders>
              <w:top w:val="nil"/>
              <w:left w:val="nil"/>
              <w:bottom w:val="double" w:sz="4" w:space="0" w:color="auto"/>
              <w:right w:val="nil"/>
            </w:tcBorders>
            <w:noWrap/>
            <w:hideMark/>
          </w:tcPr>
          <w:p w:rsidR="00DD0B40" w:rsidRPr="00A37C99" w:rsidRDefault="00DD0B40" w:rsidP="00753CFD">
            <w:pPr>
              <w:jc w:val="center"/>
              <w:rPr>
                <w:b/>
                <w:sz w:val="22"/>
              </w:rPr>
            </w:pPr>
            <w:r w:rsidRPr="00A37C99">
              <w:rPr>
                <w:b/>
                <w:sz w:val="22"/>
              </w:rPr>
              <w:t>Water Distance</w:t>
            </w:r>
            <w:r>
              <w:rPr>
                <w:b/>
                <w:sz w:val="22"/>
              </w:rPr>
              <w:t xml:space="preserve"> (m)</w:t>
            </w:r>
          </w:p>
        </w:tc>
        <w:tc>
          <w:tcPr>
            <w:tcW w:w="1109" w:type="dxa"/>
            <w:tcBorders>
              <w:top w:val="nil"/>
              <w:left w:val="nil"/>
              <w:bottom w:val="double" w:sz="4" w:space="0" w:color="auto"/>
              <w:right w:val="nil"/>
            </w:tcBorders>
            <w:noWrap/>
            <w:hideMark/>
          </w:tcPr>
          <w:p w:rsidR="00DD0B40" w:rsidRPr="00A37C99" w:rsidRDefault="00DD0B40" w:rsidP="00753CFD">
            <w:pPr>
              <w:jc w:val="center"/>
              <w:rPr>
                <w:b/>
                <w:sz w:val="22"/>
              </w:rPr>
            </w:pPr>
            <w:r w:rsidRPr="00A37C99">
              <w:rPr>
                <w:b/>
                <w:sz w:val="22"/>
              </w:rPr>
              <w:t>Max Diameter</w:t>
            </w:r>
            <w:r>
              <w:rPr>
                <w:b/>
                <w:sz w:val="22"/>
              </w:rPr>
              <w:t xml:space="preserve"> (m)</w:t>
            </w:r>
          </w:p>
        </w:tc>
        <w:tc>
          <w:tcPr>
            <w:tcW w:w="1109" w:type="dxa"/>
            <w:tcBorders>
              <w:top w:val="nil"/>
              <w:left w:val="nil"/>
              <w:bottom w:val="double" w:sz="4" w:space="0" w:color="auto"/>
              <w:right w:val="nil"/>
            </w:tcBorders>
            <w:noWrap/>
            <w:hideMark/>
          </w:tcPr>
          <w:p w:rsidR="00DD0B40" w:rsidRDefault="00DD0B40" w:rsidP="00753CFD">
            <w:pPr>
              <w:jc w:val="center"/>
              <w:rPr>
                <w:b/>
                <w:sz w:val="22"/>
              </w:rPr>
            </w:pPr>
            <w:r w:rsidRPr="00A37C99">
              <w:rPr>
                <w:b/>
                <w:sz w:val="22"/>
              </w:rPr>
              <w:t>Min Diameter</w:t>
            </w:r>
          </w:p>
          <w:p w:rsidR="00DD0B40" w:rsidRPr="00A37C99" w:rsidRDefault="00DD0B40" w:rsidP="00753CFD">
            <w:pPr>
              <w:jc w:val="center"/>
              <w:rPr>
                <w:b/>
                <w:sz w:val="22"/>
              </w:rPr>
            </w:pPr>
            <w:r>
              <w:rPr>
                <w:b/>
                <w:sz w:val="22"/>
              </w:rPr>
              <w:t>(m)</w:t>
            </w:r>
          </w:p>
        </w:tc>
        <w:tc>
          <w:tcPr>
            <w:tcW w:w="1109" w:type="dxa"/>
            <w:tcBorders>
              <w:top w:val="nil"/>
              <w:left w:val="nil"/>
              <w:bottom w:val="double" w:sz="4" w:space="0" w:color="auto"/>
              <w:right w:val="nil"/>
            </w:tcBorders>
            <w:noWrap/>
            <w:hideMark/>
          </w:tcPr>
          <w:p w:rsidR="00DD0B40" w:rsidRPr="00A37C99" w:rsidRDefault="00DD0B40" w:rsidP="00753CFD">
            <w:pPr>
              <w:jc w:val="center"/>
              <w:rPr>
                <w:b/>
                <w:sz w:val="22"/>
              </w:rPr>
            </w:pPr>
            <w:r w:rsidRPr="00A37C99">
              <w:rPr>
                <w:b/>
                <w:sz w:val="22"/>
              </w:rPr>
              <w:t>Plaza Diameter</w:t>
            </w:r>
            <w:r>
              <w:rPr>
                <w:b/>
                <w:sz w:val="22"/>
              </w:rPr>
              <w:t xml:space="preserve"> (m)</w:t>
            </w:r>
          </w:p>
        </w:tc>
        <w:tc>
          <w:tcPr>
            <w:tcW w:w="1109" w:type="dxa"/>
            <w:tcBorders>
              <w:top w:val="nil"/>
              <w:left w:val="nil"/>
              <w:bottom w:val="double" w:sz="4" w:space="0" w:color="auto"/>
              <w:right w:val="nil"/>
            </w:tcBorders>
            <w:noWrap/>
            <w:hideMark/>
          </w:tcPr>
          <w:p w:rsidR="00DD0B40" w:rsidRPr="00A37C99" w:rsidRDefault="00DD0B40" w:rsidP="00753CFD">
            <w:pPr>
              <w:jc w:val="center"/>
              <w:rPr>
                <w:b/>
                <w:sz w:val="22"/>
              </w:rPr>
            </w:pPr>
            <w:r w:rsidRPr="00A37C99">
              <w:rPr>
                <w:b/>
                <w:sz w:val="22"/>
              </w:rPr>
              <w:t>Elevation</w:t>
            </w:r>
            <w:r>
              <w:rPr>
                <w:b/>
                <w:sz w:val="22"/>
              </w:rPr>
              <w:t xml:space="preserve"> (m)</w:t>
            </w:r>
          </w:p>
        </w:tc>
        <w:tc>
          <w:tcPr>
            <w:tcW w:w="852" w:type="dxa"/>
            <w:tcBorders>
              <w:top w:val="nil"/>
              <w:left w:val="nil"/>
              <w:bottom w:val="double" w:sz="4" w:space="0" w:color="auto"/>
              <w:right w:val="nil"/>
            </w:tcBorders>
            <w:noWrap/>
            <w:hideMark/>
          </w:tcPr>
          <w:p w:rsidR="00DD0B40" w:rsidRPr="00A37C99" w:rsidRDefault="00DD0B40" w:rsidP="00753CFD">
            <w:pPr>
              <w:jc w:val="center"/>
              <w:rPr>
                <w:b/>
                <w:sz w:val="22"/>
              </w:rPr>
            </w:pPr>
            <w:r w:rsidRPr="00A37C99">
              <w:rPr>
                <w:b/>
                <w:sz w:val="22"/>
              </w:rPr>
              <w:t>Arc Height</w:t>
            </w:r>
            <w:r>
              <w:rPr>
                <w:b/>
                <w:sz w:val="22"/>
              </w:rPr>
              <w:t xml:space="preserve"> (m)</w:t>
            </w:r>
          </w:p>
        </w:tc>
        <w:tc>
          <w:tcPr>
            <w:tcW w:w="1041" w:type="dxa"/>
            <w:tcBorders>
              <w:top w:val="nil"/>
              <w:left w:val="nil"/>
              <w:bottom w:val="double" w:sz="4" w:space="0" w:color="auto"/>
              <w:right w:val="nil"/>
            </w:tcBorders>
            <w:noWrap/>
            <w:hideMark/>
          </w:tcPr>
          <w:p w:rsidR="00DD0B40" w:rsidRPr="00DD0B40" w:rsidRDefault="00DD0B40" w:rsidP="00753CFD">
            <w:pPr>
              <w:jc w:val="center"/>
              <w:rPr>
                <w:b/>
                <w:sz w:val="22"/>
              </w:rPr>
            </w:pPr>
            <w:r w:rsidRPr="00A37C99">
              <w:rPr>
                <w:b/>
                <w:sz w:val="22"/>
              </w:rPr>
              <w:t>Shell Volume</w:t>
            </w:r>
            <w:r>
              <w:rPr>
                <w:b/>
                <w:sz w:val="22"/>
              </w:rPr>
              <w:t xml:space="preserve"> (m</w:t>
            </w:r>
            <w:r>
              <w:rPr>
                <w:b/>
                <w:sz w:val="22"/>
                <w:vertAlign w:val="superscript"/>
              </w:rPr>
              <w:t>3</w:t>
            </w:r>
            <w:r>
              <w:rPr>
                <w:b/>
                <w:sz w:val="22"/>
              </w:rPr>
              <w:t>)</w:t>
            </w:r>
          </w:p>
        </w:tc>
        <w:tc>
          <w:tcPr>
            <w:tcW w:w="1496" w:type="dxa"/>
            <w:tcBorders>
              <w:top w:val="nil"/>
              <w:left w:val="nil"/>
              <w:bottom w:val="double" w:sz="4" w:space="0" w:color="auto"/>
              <w:right w:val="nil"/>
            </w:tcBorders>
            <w:noWrap/>
            <w:hideMark/>
          </w:tcPr>
          <w:p w:rsidR="00DD0B40" w:rsidRPr="00DD0B40" w:rsidRDefault="00DD0B40" w:rsidP="00753CFD">
            <w:pPr>
              <w:jc w:val="center"/>
              <w:rPr>
                <w:b/>
                <w:sz w:val="22"/>
              </w:rPr>
            </w:pPr>
            <w:r w:rsidRPr="00A37C99">
              <w:rPr>
                <w:b/>
                <w:sz w:val="22"/>
              </w:rPr>
              <w:t>Compactness Ratio</w:t>
            </w:r>
            <w:r>
              <w:rPr>
                <w:b/>
                <w:sz w:val="22"/>
              </w:rPr>
              <w:t xml:space="preserve"> (m</w:t>
            </w:r>
            <w:r>
              <w:rPr>
                <w:b/>
                <w:sz w:val="22"/>
                <w:vertAlign w:val="superscript"/>
              </w:rPr>
              <w:t>3</w:t>
            </w:r>
            <w:r>
              <w:rPr>
                <w:b/>
                <w:sz w:val="22"/>
              </w:rPr>
              <w:t>/m</w:t>
            </w:r>
            <w:r>
              <w:rPr>
                <w:b/>
                <w:sz w:val="22"/>
                <w:vertAlign w:val="superscript"/>
              </w:rPr>
              <w:t>2</w:t>
            </w:r>
            <w:r>
              <w:rPr>
                <w:b/>
                <w:sz w:val="22"/>
              </w:rPr>
              <w:t>)</w:t>
            </w:r>
          </w:p>
        </w:tc>
      </w:tr>
      <w:tr w:rsidR="00DD0B40" w:rsidRPr="00A37C99" w:rsidTr="00DD0B40">
        <w:trPr>
          <w:trHeight w:val="288"/>
        </w:trPr>
        <w:tc>
          <w:tcPr>
            <w:tcW w:w="715" w:type="dxa"/>
            <w:tcBorders>
              <w:top w:val="double" w:sz="4" w:space="0" w:color="auto"/>
              <w:left w:val="nil"/>
              <w:bottom w:val="nil"/>
              <w:right w:val="nil"/>
            </w:tcBorders>
            <w:noWrap/>
            <w:hideMark/>
          </w:tcPr>
          <w:p w:rsidR="00DD0B40" w:rsidRPr="00A37C99" w:rsidRDefault="00DD0B40" w:rsidP="00753CFD">
            <w:pPr>
              <w:jc w:val="center"/>
              <w:rPr>
                <w:sz w:val="22"/>
              </w:rPr>
            </w:pPr>
            <w:r w:rsidRPr="00A37C99">
              <w:rPr>
                <w:sz w:val="22"/>
              </w:rPr>
              <w:t>1</w:t>
            </w:r>
          </w:p>
        </w:tc>
        <w:tc>
          <w:tcPr>
            <w:tcW w:w="1056" w:type="dxa"/>
            <w:tcBorders>
              <w:top w:val="double" w:sz="4" w:space="0" w:color="auto"/>
              <w:left w:val="nil"/>
              <w:bottom w:val="nil"/>
              <w:right w:val="nil"/>
            </w:tcBorders>
            <w:noWrap/>
            <w:hideMark/>
          </w:tcPr>
          <w:p w:rsidR="00DD0B40" w:rsidRPr="00A37C99" w:rsidRDefault="00DD0B40" w:rsidP="00753CFD">
            <w:pPr>
              <w:jc w:val="center"/>
              <w:rPr>
                <w:sz w:val="22"/>
              </w:rPr>
            </w:pPr>
            <w:r w:rsidRPr="00A37C99">
              <w:rPr>
                <w:sz w:val="22"/>
              </w:rPr>
              <w:t>912.25</w:t>
            </w:r>
          </w:p>
        </w:tc>
        <w:tc>
          <w:tcPr>
            <w:tcW w:w="1109" w:type="dxa"/>
            <w:tcBorders>
              <w:top w:val="double" w:sz="4" w:space="0" w:color="auto"/>
              <w:left w:val="nil"/>
              <w:bottom w:val="nil"/>
              <w:right w:val="nil"/>
            </w:tcBorders>
            <w:noWrap/>
            <w:hideMark/>
          </w:tcPr>
          <w:p w:rsidR="00DD0B40" w:rsidRPr="00A37C99" w:rsidRDefault="00DD0B40" w:rsidP="00753CFD">
            <w:pPr>
              <w:jc w:val="center"/>
              <w:rPr>
                <w:sz w:val="22"/>
              </w:rPr>
            </w:pPr>
            <w:r w:rsidRPr="00A37C99">
              <w:rPr>
                <w:sz w:val="22"/>
              </w:rPr>
              <w:t>39</w:t>
            </w:r>
          </w:p>
        </w:tc>
        <w:tc>
          <w:tcPr>
            <w:tcW w:w="1109" w:type="dxa"/>
            <w:tcBorders>
              <w:top w:val="double" w:sz="4" w:space="0" w:color="auto"/>
              <w:left w:val="nil"/>
              <w:bottom w:val="nil"/>
              <w:right w:val="nil"/>
            </w:tcBorders>
            <w:noWrap/>
            <w:hideMark/>
          </w:tcPr>
          <w:p w:rsidR="00DD0B40" w:rsidRPr="00A37C99" w:rsidRDefault="00DD0B40" w:rsidP="00753CFD">
            <w:pPr>
              <w:jc w:val="center"/>
              <w:rPr>
                <w:sz w:val="22"/>
              </w:rPr>
            </w:pPr>
            <w:r w:rsidRPr="00A37C99">
              <w:rPr>
                <w:sz w:val="22"/>
              </w:rPr>
              <w:t>27</w:t>
            </w:r>
          </w:p>
        </w:tc>
        <w:tc>
          <w:tcPr>
            <w:tcW w:w="1109" w:type="dxa"/>
            <w:tcBorders>
              <w:top w:val="double" w:sz="4" w:space="0" w:color="auto"/>
              <w:left w:val="nil"/>
              <w:bottom w:val="nil"/>
              <w:right w:val="nil"/>
            </w:tcBorders>
            <w:noWrap/>
            <w:hideMark/>
          </w:tcPr>
          <w:p w:rsidR="00DD0B40" w:rsidRPr="00A37C99" w:rsidRDefault="00DD0B40" w:rsidP="00753CFD">
            <w:pPr>
              <w:jc w:val="center"/>
              <w:rPr>
                <w:sz w:val="22"/>
              </w:rPr>
            </w:pPr>
            <w:r w:rsidRPr="00A37C99">
              <w:rPr>
                <w:sz w:val="22"/>
              </w:rPr>
              <w:t>20</w:t>
            </w:r>
          </w:p>
        </w:tc>
        <w:tc>
          <w:tcPr>
            <w:tcW w:w="1109" w:type="dxa"/>
            <w:tcBorders>
              <w:top w:val="double" w:sz="4" w:space="0" w:color="auto"/>
              <w:left w:val="nil"/>
              <w:bottom w:val="nil"/>
              <w:right w:val="nil"/>
            </w:tcBorders>
            <w:noWrap/>
            <w:hideMark/>
          </w:tcPr>
          <w:p w:rsidR="00DD0B40" w:rsidRPr="00A37C99" w:rsidRDefault="00DD0B40" w:rsidP="00753CFD">
            <w:pPr>
              <w:jc w:val="center"/>
              <w:rPr>
                <w:sz w:val="22"/>
              </w:rPr>
            </w:pPr>
            <w:r w:rsidRPr="00A37C99">
              <w:rPr>
                <w:sz w:val="22"/>
              </w:rPr>
              <w:t>2.74</w:t>
            </w:r>
          </w:p>
        </w:tc>
        <w:tc>
          <w:tcPr>
            <w:tcW w:w="852" w:type="dxa"/>
            <w:tcBorders>
              <w:top w:val="double" w:sz="4" w:space="0" w:color="auto"/>
              <w:left w:val="nil"/>
              <w:bottom w:val="nil"/>
              <w:right w:val="nil"/>
            </w:tcBorders>
            <w:noWrap/>
            <w:hideMark/>
          </w:tcPr>
          <w:p w:rsidR="00DD0B40" w:rsidRPr="00A37C99" w:rsidRDefault="00DD0B40" w:rsidP="00753CFD">
            <w:pPr>
              <w:jc w:val="center"/>
              <w:rPr>
                <w:sz w:val="22"/>
              </w:rPr>
            </w:pPr>
            <w:r w:rsidRPr="00A37C99">
              <w:rPr>
                <w:sz w:val="22"/>
              </w:rPr>
              <w:t>2</w:t>
            </w:r>
          </w:p>
        </w:tc>
        <w:tc>
          <w:tcPr>
            <w:tcW w:w="1041" w:type="dxa"/>
            <w:tcBorders>
              <w:top w:val="double" w:sz="4" w:space="0" w:color="auto"/>
              <w:left w:val="nil"/>
              <w:bottom w:val="nil"/>
              <w:right w:val="nil"/>
            </w:tcBorders>
            <w:noWrap/>
            <w:hideMark/>
          </w:tcPr>
          <w:p w:rsidR="00DD0B40" w:rsidRPr="00A37C99" w:rsidRDefault="00DD0B40" w:rsidP="00753CFD">
            <w:pPr>
              <w:jc w:val="center"/>
              <w:rPr>
                <w:sz w:val="22"/>
              </w:rPr>
            </w:pPr>
            <w:r w:rsidRPr="00A37C99">
              <w:rPr>
                <w:sz w:val="22"/>
              </w:rPr>
              <w:t>5393.71</w:t>
            </w:r>
          </w:p>
        </w:tc>
        <w:tc>
          <w:tcPr>
            <w:tcW w:w="1496" w:type="dxa"/>
            <w:tcBorders>
              <w:top w:val="double" w:sz="4" w:space="0" w:color="auto"/>
              <w:left w:val="nil"/>
              <w:bottom w:val="nil"/>
              <w:right w:val="nil"/>
            </w:tcBorders>
            <w:noWrap/>
            <w:hideMark/>
          </w:tcPr>
          <w:p w:rsidR="00DD0B40" w:rsidRPr="00A37C99" w:rsidRDefault="00DD0B40" w:rsidP="00753CFD">
            <w:pPr>
              <w:jc w:val="center"/>
              <w:rPr>
                <w:sz w:val="22"/>
              </w:rPr>
            </w:pPr>
            <w:r w:rsidRPr="00A37C99">
              <w:rPr>
                <w:sz w:val="22"/>
              </w:rPr>
              <w:t>0.94</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2</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1163.79</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42</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39</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24</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6.97</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2</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1478.97</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0.62</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3</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872.50</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25</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17</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13</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5.14</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1</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629.30</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0.51</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4</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200.67</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40</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25</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8</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0.83</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2</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245.93</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0.23</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5</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306.33</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21</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18</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14</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3.54</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1</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764.42</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0.37</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6</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2110.81</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34</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27</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12</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5.63</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4</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917.49</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0.59</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7</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772.87</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47</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32</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37</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4.45</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1</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1249.58</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0.51</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8</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2433.49</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45</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35</w:t>
            </w:r>
          </w:p>
        </w:tc>
        <w:tc>
          <w:tcPr>
            <w:tcW w:w="1109" w:type="dxa"/>
            <w:tcBorders>
              <w:top w:val="nil"/>
              <w:left w:val="nil"/>
              <w:bottom w:val="nil"/>
              <w:right w:val="nil"/>
            </w:tcBorders>
            <w:noWrap/>
            <w:hideMark/>
          </w:tcPr>
          <w:p w:rsidR="00DD0B40" w:rsidRPr="00A37C99" w:rsidRDefault="00124070" w:rsidP="00753CFD">
            <w:pPr>
              <w:jc w:val="center"/>
              <w:rPr>
                <w:sz w:val="22"/>
              </w:rPr>
            </w:pPr>
            <w:r>
              <w:rPr>
                <w:sz w:val="22"/>
              </w:rPr>
              <w:t>-</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7.66</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3</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1715.35</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0.77</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9</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587.82</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44</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34</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17</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2.79</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2</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882.78</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0.45</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10</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879.42</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23</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19</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13</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1.88</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1</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293.85</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0.29</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11</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523.52</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59</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47</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38</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2.15</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2</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1883.64</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0.41</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12</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709.92</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36</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25</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18</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4.90</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3</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965.65</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0.51</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13</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898.19</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22</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21</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16</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6.53</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2</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489.79</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0.46</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14</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860.24</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32</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27</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16</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6.24</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2</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1778.23</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0.85</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15</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263.58</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22</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17</w:t>
            </w:r>
          </w:p>
        </w:tc>
        <w:tc>
          <w:tcPr>
            <w:tcW w:w="1109" w:type="dxa"/>
            <w:tcBorders>
              <w:top w:val="nil"/>
              <w:left w:val="nil"/>
              <w:bottom w:val="nil"/>
              <w:right w:val="nil"/>
            </w:tcBorders>
            <w:noWrap/>
            <w:hideMark/>
          </w:tcPr>
          <w:p w:rsidR="00DD0B40" w:rsidRPr="00A37C99" w:rsidRDefault="00124070" w:rsidP="00753CFD">
            <w:pPr>
              <w:jc w:val="center"/>
              <w:rPr>
                <w:sz w:val="22"/>
              </w:rPr>
            </w:pPr>
            <w:r>
              <w:rPr>
                <w:sz w:val="22"/>
              </w:rPr>
              <w:t>-</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6.51</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3</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415.78</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0.55</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16</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66.50</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30</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28</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11</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6.26</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2</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703.98</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0.37</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17</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3733.57</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40</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36</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25</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1.60</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1</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1267.41</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0.55</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18</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2828.13</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69</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32</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34</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4.43</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5</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6027.93</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2.39</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19</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949.92</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42</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35</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19</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5.50</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1</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746.48</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0.43</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20</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1628.93</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30</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24</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17</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6.35</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2</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503.93</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0.35</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21</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1106.55</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34</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29</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20</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6.80</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2</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310.21</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0.32</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22</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624.84</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43</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38</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26</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6.45</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3</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1118.61</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0.47</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23</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1295.09</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36</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23</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16</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10.00</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3</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828.79</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0.65</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24</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82.44</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26</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22</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14</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0.40</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2</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364.62</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0.36</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25</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616.05</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34</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28</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18</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4.61</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1</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444.57</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0.27</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lastRenderedPageBreak/>
              <w:t>26</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818.77</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25</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18</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9</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11.31</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2</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1683.97</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1.21</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27</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509.62</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54</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43</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26</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10.23</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2</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1801.33</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0.63</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28</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320.58</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27</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19</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0</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9.38</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3</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473.36</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0.57</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29</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417.22</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44</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33</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18</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9.12</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7</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4935.28</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1.88</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30</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671.73</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25</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22</w:t>
            </w:r>
          </w:p>
        </w:tc>
        <w:tc>
          <w:tcPr>
            <w:tcW w:w="1109" w:type="dxa"/>
            <w:tcBorders>
              <w:top w:val="nil"/>
              <w:left w:val="nil"/>
              <w:bottom w:val="nil"/>
              <w:right w:val="nil"/>
            </w:tcBorders>
            <w:noWrap/>
            <w:hideMark/>
          </w:tcPr>
          <w:p w:rsidR="00DD0B40" w:rsidRPr="00A37C99" w:rsidRDefault="00124070" w:rsidP="00753CFD">
            <w:pPr>
              <w:jc w:val="center"/>
              <w:rPr>
                <w:sz w:val="22"/>
              </w:rPr>
            </w:pPr>
            <w:r>
              <w:rPr>
                <w:sz w:val="22"/>
              </w:rPr>
              <w:t>-</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12.20</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2</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429.41</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0.42</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31</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744.25</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20</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16</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7</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6.48</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2</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336.27</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0.38</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32</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1195.77</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24</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22</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12</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3.95</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3</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297.32</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0.38</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33</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573.90</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22</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20</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9</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1.10</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1</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182.66</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0.23</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34</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595.19</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35</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29</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23</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5.75</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3</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1574.74</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0.75</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35</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893.87</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57</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45</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27</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1.10</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6</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6050.50</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1.32</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36</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421.99</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30</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27</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11</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1.21</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1</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371.22</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0.28</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37</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231.24</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30</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27</w:t>
            </w:r>
          </w:p>
        </w:tc>
        <w:tc>
          <w:tcPr>
            <w:tcW w:w="1109" w:type="dxa"/>
            <w:tcBorders>
              <w:top w:val="nil"/>
              <w:left w:val="nil"/>
              <w:bottom w:val="nil"/>
              <w:right w:val="nil"/>
            </w:tcBorders>
            <w:noWrap/>
            <w:hideMark/>
          </w:tcPr>
          <w:p w:rsidR="00DD0B40" w:rsidRPr="00A37C99" w:rsidRDefault="00124070" w:rsidP="00753CFD">
            <w:pPr>
              <w:jc w:val="center"/>
              <w:rPr>
                <w:sz w:val="22"/>
              </w:rPr>
            </w:pPr>
            <w:r>
              <w:rPr>
                <w:sz w:val="22"/>
              </w:rPr>
              <w:t>-</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5.25</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1</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329.32</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0.27</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38</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246.49</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29</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24</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9</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0.71</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1</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256.38</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0.36</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39</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1080.64</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46</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38</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25</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3.34</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2</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2185.47</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0.44</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40</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4372.01</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42</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26</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22</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0.60</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1</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645.29</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0.24</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41</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0.00</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41</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31</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20</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0.98</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3</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893.71</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0.64</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42</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249.36</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31</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22</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9</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1.41</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3</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1092.23</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0.65</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43</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8.52</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20</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20</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11</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0.89</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1</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443.15</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0.91</w:t>
            </w:r>
          </w:p>
        </w:tc>
      </w:tr>
      <w:tr w:rsidR="00DD0B40" w:rsidRPr="00A37C99" w:rsidTr="00DD0B40">
        <w:trPr>
          <w:trHeight w:val="288"/>
        </w:trPr>
        <w:tc>
          <w:tcPr>
            <w:tcW w:w="715" w:type="dxa"/>
            <w:tcBorders>
              <w:top w:val="nil"/>
              <w:left w:val="nil"/>
              <w:bottom w:val="nil"/>
              <w:right w:val="nil"/>
            </w:tcBorders>
            <w:noWrap/>
            <w:hideMark/>
          </w:tcPr>
          <w:p w:rsidR="00DD0B40" w:rsidRPr="00A37C99" w:rsidRDefault="00DD0B40" w:rsidP="00753CFD">
            <w:pPr>
              <w:jc w:val="center"/>
              <w:rPr>
                <w:sz w:val="22"/>
              </w:rPr>
            </w:pPr>
            <w:r w:rsidRPr="00A37C99">
              <w:rPr>
                <w:sz w:val="22"/>
              </w:rPr>
              <w:t>44</w:t>
            </w:r>
          </w:p>
        </w:tc>
        <w:tc>
          <w:tcPr>
            <w:tcW w:w="1056" w:type="dxa"/>
            <w:tcBorders>
              <w:top w:val="nil"/>
              <w:left w:val="nil"/>
              <w:bottom w:val="nil"/>
              <w:right w:val="nil"/>
            </w:tcBorders>
            <w:noWrap/>
            <w:hideMark/>
          </w:tcPr>
          <w:p w:rsidR="00DD0B40" w:rsidRPr="00A37C99" w:rsidRDefault="00DD0B40" w:rsidP="00753CFD">
            <w:pPr>
              <w:jc w:val="center"/>
              <w:rPr>
                <w:sz w:val="22"/>
              </w:rPr>
            </w:pPr>
            <w:r w:rsidRPr="00A37C99">
              <w:rPr>
                <w:sz w:val="22"/>
              </w:rPr>
              <w:t>156.15</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30</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25</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12</w:t>
            </w:r>
          </w:p>
        </w:tc>
        <w:tc>
          <w:tcPr>
            <w:tcW w:w="1109" w:type="dxa"/>
            <w:tcBorders>
              <w:top w:val="nil"/>
              <w:left w:val="nil"/>
              <w:bottom w:val="nil"/>
              <w:right w:val="nil"/>
            </w:tcBorders>
            <w:noWrap/>
            <w:hideMark/>
          </w:tcPr>
          <w:p w:rsidR="00DD0B40" w:rsidRPr="00A37C99" w:rsidRDefault="00DD0B40" w:rsidP="00753CFD">
            <w:pPr>
              <w:jc w:val="center"/>
              <w:rPr>
                <w:sz w:val="22"/>
              </w:rPr>
            </w:pPr>
            <w:r w:rsidRPr="00A37C99">
              <w:rPr>
                <w:sz w:val="22"/>
              </w:rPr>
              <w:t>1.09</w:t>
            </w:r>
          </w:p>
        </w:tc>
        <w:tc>
          <w:tcPr>
            <w:tcW w:w="852" w:type="dxa"/>
            <w:tcBorders>
              <w:top w:val="nil"/>
              <w:left w:val="nil"/>
              <w:bottom w:val="nil"/>
              <w:right w:val="nil"/>
            </w:tcBorders>
            <w:noWrap/>
            <w:hideMark/>
          </w:tcPr>
          <w:p w:rsidR="00DD0B40" w:rsidRPr="00A37C99" w:rsidRDefault="00DD0B40" w:rsidP="00753CFD">
            <w:pPr>
              <w:jc w:val="center"/>
              <w:rPr>
                <w:sz w:val="22"/>
              </w:rPr>
            </w:pPr>
            <w:r w:rsidRPr="00A37C99">
              <w:rPr>
                <w:sz w:val="22"/>
              </w:rPr>
              <w:t>1</w:t>
            </w:r>
          </w:p>
        </w:tc>
        <w:tc>
          <w:tcPr>
            <w:tcW w:w="1041" w:type="dxa"/>
            <w:tcBorders>
              <w:top w:val="nil"/>
              <w:left w:val="nil"/>
              <w:bottom w:val="nil"/>
              <w:right w:val="nil"/>
            </w:tcBorders>
            <w:noWrap/>
            <w:hideMark/>
          </w:tcPr>
          <w:p w:rsidR="00DD0B40" w:rsidRPr="00A37C99" w:rsidRDefault="00DD0B40" w:rsidP="00753CFD">
            <w:pPr>
              <w:jc w:val="center"/>
              <w:rPr>
                <w:sz w:val="22"/>
              </w:rPr>
            </w:pPr>
            <w:r w:rsidRPr="00A37C99">
              <w:rPr>
                <w:sz w:val="22"/>
              </w:rPr>
              <w:t>895.85</w:t>
            </w:r>
          </w:p>
        </w:tc>
        <w:tc>
          <w:tcPr>
            <w:tcW w:w="1496" w:type="dxa"/>
            <w:tcBorders>
              <w:top w:val="nil"/>
              <w:left w:val="nil"/>
              <w:bottom w:val="nil"/>
              <w:right w:val="nil"/>
            </w:tcBorders>
            <w:noWrap/>
            <w:hideMark/>
          </w:tcPr>
          <w:p w:rsidR="00DD0B40" w:rsidRPr="00A37C99" w:rsidRDefault="00DD0B40" w:rsidP="00753CFD">
            <w:pPr>
              <w:jc w:val="center"/>
              <w:rPr>
                <w:sz w:val="22"/>
              </w:rPr>
            </w:pPr>
            <w:r w:rsidRPr="00A37C99">
              <w:rPr>
                <w:sz w:val="22"/>
              </w:rPr>
              <w:t>0.31</w:t>
            </w:r>
          </w:p>
        </w:tc>
      </w:tr>
    </w:tbl>
    <w:p w:rsidR="008F1E5B" w:rsidRDefault="008F1E5B" w:rsidP="008F1E5B">
      <w:pPr>
        <w:spacing w:line="240" w:lineRule="auto"/>
        <w:rPr>
          <w:rFonts w:eastAsia="Times New Roman"/>
          <w:i/>
          <w:iCs/>
          <w:color w:val="000000"/>
          <w:szCs w:val="24"/>
        </w:rPr>
      </w:pPr>
      <w:r w:rsidRPr="00865620">
        <w:rPr>
          <w:rFonts w:eastAsia="Times New Roman"/>
          <w:i/>
          <w:iCs/>
          <w:color w:val="000000"/>
          <w:szCs w:val="24"/>
        </w:rPr>
        <w:t xml:space="preserve">Note: Some features presented difficulties in measuring their plaza’s accurately. As such, these features plaza measurements are </w:t>
      </w:r>
      <w:r w:rsidR="00124070">
        <w:rPr>
          <w:rFonts w:eastAsia="Times New Roman"/>
          <w:i/>
          <w:iCs/>
          <w:color w:val="000000"/>
          <w:szCs w:val="24"/>
        </w:rPr>
        <w:t xml:space="preserve">left blank </w:t>
      </w:r>
      <w:r w:rsidRPr="00865620">
        <w:rPr>
          <w:rFonts w:eastAsia="Times New Roman"/>
          <w:i/>
          <w:iCs/>
          <w:color w:val="000000"/>
          <w:szCs w:val="24"/>
        </w:rPr>
        <w:t>and are not used for any calculations or comparisons to known rings.</w:t>
      </w:r>
      <w:bookmarkStart w:id="0" w:name="_GoBack"/>
      <w:bookmarkEnd w:id="0"/>
    </w:p>
    <w:p w:rsidR="00C45E8A" w:rsidRDefault="00C45E8A"/>
    <w:sectPr w:rsidR="00C45E8A" w:rsidSect="005C0F9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5B"/>
    <w:rsid w:val="00001C5A"/>
    <w:rsid w:val="0000253A"/>
    <w:rsid w:val="00002F1E"/>
    <w:rsid w:val="00005C53"/>
    <w:rsid w:val="0000718E"/>
    <w:rsid w:val="000077B9"/>
    <w:rsid w:val="000128A2"/>
    <w:rsid w:val="00022240"/>
    <w:rsid w:val="00022DDA"/>
    <w:rsid w:val="000246F9"/>
    <w:rsid w:val="00026C6F"/>
    <w:rsid w:val="00030884"/>
    <w:rsid w:val="00033D2B"/>
    <w:rsid w:val="00037A20"/>
    <w:rsid w:val="00040565"/>
    <w:rsid w:val="000411E7"/>
    <w:rsid w:val="00046149"/>
    <w:rsid w:val="000465DD"/>
    <w:rsid w:val="00046781"/>
    <w:rsid w:val="00050FAE"/>
    <w:rsid w:val="000526BC"/>
    <w:rsid w:val="000527BE"/>
    <w:rsid w:val="0005348B"/>
    <w:rsid w:val="00054451"/>
    <w:rsid w:val="00055A8A"/>
    <w:rsid w:val="00061362"/>
    <w:rsid w:val="000624DE"/>
    <w:rsid w:val="000625AD"/>
    <w:rsid w:val="00062CA5"/>
    <w:rsid w:val="000645C3"/>
    <w:rsid w:val="00066450"/>
    <w:rsid w:val="00071492"/>
    <w:rsid w:val="000743B1"/>
    <w:rsid w:val="00077F46"/>
    <w:rsid w:val="00080256"/>
    <w:rsid w:val="00081D0C"/>
    <w:rsid w:val="00082184"/>
    <w:rsid w:val="00087FBF"/>
    <w:rsid w:val="00092D91"/>
    <w:rsid w:val="0009606E"/>
    <w:rsid w:val="000A2353"/>
    <w:rsid w:val="000A7C1E"/>
    <w:rsid w:val="000B0B19"/>
    <w:rsid w:val="000B2892"/>
    <w:rsid w:val="000B4D03"/>
    <w:rsid w:val="000B5D81"/>
    <w:rsid w:val="000B639D"/>
    <w:rsid w:val="000B6CA8"/>
    <w:rsid w:val="000C0863"/>
    <w:rsid w:val="000C0E5F"/>
    <w:rsid w:val="000C50E7"/>
    <w:rsid w:val="000D01EC"/>
    <w:rsid w:val="000D209D"/>
    <w:rsid w:val="000D5F08"/>
    <w:rsid w:val="000D71F6"/>
    <w:rsid w:val="000E633F"/>
    <w:rsid w:val="000E68B4"/>
    <w:rsid w:val="000F0236"/>
    <w:rsid w:val="000F071C"/>
    <w:rsid w:val="000F0F8F"/>
    <w:rsid w:val="000F426D"/>
    <w:rsid w:val="000F4B51"/>
    <w:rsid w:val="000F5900"/>
    <w:rsid w:val="00114F24"/>
    <w:rsid w:val="00115221"/>
    <w:rsid w:val="00120770"/>
    <w:rsid w:val="00120F1C"/>
    <w:rsid w:val="00121A1F"/>
    <w:rsid w:val="00123978"/>
    <w:rsid w:val="00124070"/>
    <w:rsid w:val="0012418D"/>
    <w:rsid w:val="001247A8"/>
    <w:rsid w:val="00125715"/>
    <w:rsid w:val="001320BD"/>
    <w:rsid w:val="0013313E"/>
    <w:rsid w:val="00135CEF"/>
    <w:rsid w:val="001366A0"/>
    <w:rsid w:val="00137D07"/>
    <w:rsid w:val="00140806"/>
    <w:rsid w:val="00140A28"/>
    <w:rsid w:val="00141C51"/>
    <w:rsid w:val="00142483"/>
    <w:rsid w:val="001445FF"/>
    <w:rsid w:val="00145D3F"/>
    <w:rsid w:val="00162164"/>
    <w:rsid w:val="00162A3A"/>
    <w:rsid w:val="00167D4F"/>
    <w:rsid w:val="0018273C"/>
    <w:rsid w:val="001832BB"/>
    <w:rsid w:val="0018368E"/>
    <w:rsid w:val="00184689"/>
    <w:rsid w:val="0018604A"/>
    <w:rsid w:val="00187545"/>
    <w:rsid w:val="001911D6"/>
    <w:rsid w:val="001A1E07"/>
    <w:rsid w:val="001A58C6"/>
    <w:rsid w:val="001B17C4"/>
    <w:rsid w:val="001B78CE"/>
    <w:rsid w:val="001B7C02"/>
    <w:rsid w:val="001C1583"/>
    <w:rsid w:val="001C1976"/>
    <w:rsid w:val="001C3616"/>
    <w:rsid w:val="001C3D02"/>
    <w:rsid w:val="001D1456"/>
    <w:rsid w:val="001D5B30"/>
    <w:rsid w:val="001D70B9"/>
    <w:rsid w:val="001E12CD"/>
    <w:rsid w:val="001E6A0D"/>
    <w:rsid w:val="001F0AF5"/>
    <w:rsid w:val="001F0F19"/>
    <w:rsid w:val="00200AF8"/>
    <w:rsid w:val="0020219B"/>
    <w:rsid w:val="00205DA5"/>
    <w:rsid w:val="0020635E"/>
    <w:rsid w:val="00207F8F"/>
    <w:rsid w:val="002169E8"/>
    <w:rsid w:val="00217D13"/>
    <w:rsid w:val="00222281"/>
    <w:rsid w:val="00223D8A"/>
    <w:rsid w:val="0022498B"/>
    <w:rsid w:val="00225060"/>
    <w:rsid w:val="00225E77"/>
    <w:rsid w:val="00232B6A"/>
    <w:rsid w:val="00236F80"/>
    <w:rsid w:val="002449F3"/>
    <w:rsid w:val="00244BAA"/>
    <w:rsid w:val="00244E94"/>
    <w:rsid w:val="0024692F"/>
    <w:rsid w:val="002524A1"/>
    <w:rsid w:val="00253741"/>
    <w:rsid w:val="00254060"/>
    <w:rsid w:val="00256351"/>
    <w:rsid w:val="0025666A"/>
    <w:rsid w:val="00260B2B"/>
    <w:rsid w:val="00264725"/>
    <w:rsid w:val="00271F35"/>
    <w:rsid w:val="0027423D"/>
    <w:rsid w:val="00282BD2"/>
    <w:rsid w:val="00290A8C"/>
    <w:rsid w:val="0029208D"/>
    <w:rsid w:val="00292102"/>
    <w:rsid w:val="00296FE9"/>
    <w:rsid w:val="002A2FEA"/>
    <w:rsid w:val="002A3628"/>
    <w:rsid w:val="002A4643"/>
    <w:rsid w:val="002A4B3F"/>
    <w:rsid w:val="002B00BD"/>
    <w:rsid w:val="002B4995"/>
    <w:rsid w:val="002C06A3"/>
    <w:rsid w:val="002C21C3"/>
    <w:rsid w:val="002D323E"/>
    <w:rsid w:val="002D45D7"/>
    <w:rsid w:val="002D5545"/>
    <w:rsid w:val="002E4F1D"/>
    <w:rsid w:val="002F20D3"/>
    <w:rsid w:val="002F243E"/>
    <w:rsid w:val="002F2E83"/>
    <w:rsid w:val="002F3D6D"/>
    <w:rsid w:val="002F72D7"/>
    <w:rsid w:val="00300FE2"/>
    <w:rsid w:val="003019C2"/>
    <w:rsid w:val="003028EA"/>
    <w:rsid w:val="00305064"/>
    <w:rsid w:val="00310F5F"/>
    <w:rsid w:val="00315F19"/>
    <w:rsid w:val="00320030"/>
    <w:rsid w:val="00321354"/>
    <w:rsid w:val="00327A21"/>
    <w:rsid w:val="00330A70"/>
    <w:rsid w:val="003320CC"/>
    <w:rsid w:val="00332DA1"/>
    <w:rsid w:val="00337E20"/>
    <w:rsid w:val="003411AD"/>
    <w:rsid w:val="003441F7"/>
    <w:rsid w:val="00344A6B"/>
    <w:rsid w:val="00344BC2"/>
    <w:rsid w:val="003555A0"/>
    <w:rsid w:val="003713C1"/>
    <w:rsid w:val="00373743"/>
    <w:rsid w:val="0037484B"/>
    <w:rsid w:val="0037648E"/>
    <w:rsid w:val="00380403"/>
    <w:rsid w:val="00386EAF"/>
    <w:rsid w:val="00387691"/>
    <w:rsid w:val="00395331"/>
    <w:rsid w:val="003A1CA2"/>
    <w:rsid w:val="003A45B4"/>
    <w:rsid w:val="003A4A24"/>
    <w:rsid w:val="003B462E"/>
    <w:rsid w:val="003B6DAE"/>
    <w:rsid w:val="003B78C1"/>
    <w:rsid w:val="003C0010"/>
    <w:rsid w:val="003C06E3"/>
    <w:rsid w:val="003C2A93"/>
    <w:rsid w:val="003C46BA"/>
    <w:rsid w:val="003C4731"/>
    <w:rsid w:val="003C57FE"/>
    <w:rsid w:val="003C75C7"/>
    <w:rsid w:val="003D5466"/>
    <w:rsid w:val="003D59D5"/>
    <w:rsid w:val="003E2245"/>
    <w:rsid w:val="003E41E1"/>
    <w:rsid w:val="003E620B"/>
    <w:rsid w:val="003E7B88"/>
    <w:rsid w:val="004066AB"/>
    <w:rsid w:val="00407710"/>
    <w:rsid w:val="00413CA2"/>
    <w:rsid w:val="00414A34"/>
    <w:rsid w:val="00414E5D"/>
    <w:rsid w:val="00415B68"/>
    <w:rsid w:val="004210A1"/>
    <w:rsid w:val="00421BC1"/>
    <w:rsid w:val="00421F7D"/>
    <w:rsid w:val="00421F9E"/>
    <w:rsid w:val="0043046A"/>
    <w:rsid w:val="0043217C"/>
    <w:rsid w:val="00432F56"/>
    <w:rsid w:val="004342B6"/>
    <w:rsid w:val="00435AE1"/>
    <w:rsid w:val="00435BEC"/>
    <w:rsid w:val="00436FBB"/>
    <w:rsid w:val="004508CD"/>
    <w:rsid w:val="004512D2"/>
    <w:rsid w:val="00451375"/>
    <w:rsid w:val="004544A9"/>
    <w:rsid w:val="00460284"/>
    <w:rsid w:val="0046038B"/>
    <w:rsid w:val="00461282"/>
    <w:rsid w:val="00462E82"/>
    <w:rsid w:val="0046641C"/>
    <w:rsid w:val="0046781D"/>
    <w:rsid w:val="004702AF"/>
    <w:rsid w:val="004758F8"/>
    <w:rsid w:val="0048180C"/>
    <w:rsid w:val="00492A00"/>
    <w:rsid w:val="00492E7F"/>
    <w:rsid w:val="004950DA"/>
    <w:rsid w:val="004976E1"/>
    <w:rsid w:val="004A3C6D"/>
    <w:rsid w:val="004A552F"/>
    <w:rsid w:val="004B1D41"/>
    <w:rsid w:val="004B3C77"/>
    <w:rsid w:val="004B45E9"/>
    <w:rsid w:val="004B5446"/>
    <w:rsid w:val="004B5620"/>
    <w:rsid w:val="004C1B46"/>
    <w:rsid w:val="004C1C78"/>
    <w:rsid w:val="004C28CF"/>
    <w:rsid w:val="004C4A2D"/>
    <w:rsid w:val="004C57E0"/>
    <w:rsid w:val="004C5D01"/>
    <w:rsid w:val="004C723F"/>
    <w:rsid w:val="004D00FC"/>
    <w:rsid w:val="004D34DC"/>
    <w:rsid w:val="004D5D5C"/>
    <w:rsid w:val="004D604E"/>
    <w:rsid w:val="004D696E"/>
    <w:rsid w:val="004D6C7D"/>
    <w:rsid w:val="004F2145"/>
    <w:rsid w:val="004F2184"/>
    <w:rsid w:val="004F2E51"/>
    <w:rsid w:val="004F3D1B"/>
    <w:rsid w:val="0050254A"/>
    <w:rsid w:val="00504324"/>
    <w:rsid w:val="005052B2"/>
    <w:rsid w:val="0051191E"/>
    <w:rsid w:val="00513770"/>
    <w:rsid w:val="00516C72"/>
    <w:rsid w:val="0051798C"/>
    <w:rsid w:val="005232B3"/>
    <w:rsid w:val="00523B0E"/>
    <w:rsid w:val="00530486"/>
    <w:rsid w:val="00531CCD"/>
    <w:rsid w:val="005344CE"/>
    <w:rsid w:val="00540C9E"/>
    <w:rsid w:val="00541753"/>
    <w:rsid w:val="00542A26"/>
    <w:rsid w:val="00544527"/>
    <w:rsid w:val="005447E5"/>
    <w:rsid w:val="005449FF"/>
    <w:rsid w:val="0054719D"/>
    <w:rsid w:val="005530B1"/>
    <w:rsid w:val="00553AFB"/>
    <w:rsid w:val="00563C62"/>
    <w:rsid w:val="00565C3D"/>
    <w:rsid w:val="005668B0"/>
    <w:rsid w:val="00566B08"/>
    <w:rsid w:val="00566FD5"/>
    <w:rsid w:val="005673DD"/>
    <w:rsid w:val="00574CE1"/>
    <w:rsid w:val="00575560"/>
    <w:rsid w:val="005764E6"/>
    <w:rsid w:val="005801B5"/>
    <w:rsid w:val="005808F8"/>
    <w:rsid w:val="00583F26"/>
    <w:rsid w:val="005857E0"/>
    <w:rsid w:val="00586F2E"/>
    <w:rsid w:val="00591FD4"/>
    <w:rsid w:val="005921A1"/>
    <w:rsid w:val="005A1DD4"/>
    <w:rsid w:val="005B02C8"/>
    <w:rsid w:val="005B1E40"/>
    <w:rsid w:val="005B35C7"/>
    <w:rsid w:val="005B4735"/>
    <w:rsid w:val="005B6C42"/>
    <w:rsid w:val="005B7EB2"/>
    <w:rsid w:val="005C008B"/>
    <w:rsid w:val="005C0F98"/>
    <w:rsid w:val="005C1714"/>
    <w:rsid w:val="005C2AE5"/>
    <w:rsid w:val="005C2ED0"/>
    <w:rsid w:val="005C3B93"/>
    <w:rsid w:val="005C5470"/>
    <w:rsid w:val="005C5560"/>
    <w:rsid w:val="005D0A84"/>
    <w:rsid w:val="005D19CE"/>
    <w:rsid w:val="005D5B1F"/>
    <w:rsid w:val="005D5D29"/>
    <w:rsid w:val="005D6D0B"/>
    <w:rsid w:val="005E3671"/>
    <w:rsid w:val="005F0B96"/>
    <w:rsid w:val="005F24BC"/>
    <w:rsid w:val="005F2DCE"/>
    <w:rsid w:val="005F3672"/>
    <w:rsid w:val="005F4A36"/>
    <w:rsid w:val="005F5245"/>
    <w:rsid w:val="005F7FBC"/>
    <w:rsid w:val="00604846"/>
    <w:rsid w:val="006049A3"/>
    <w:rsid w:val="0060586E"/>
    <w:rsid w:val="006110C1"/>
    <w:rsid w:val="0062584B"/>
    <w:rsid w:val="00630333"/>
    <w:rsid w:val="00632BE8"/>
    <w:rsid w:val="00633175"/>
    <w:rsid w:val="00634EFA"/>
    <w:rsid w:val="00635A78"/>
    <w:rsid w:val="0064315F"/>
    <w:rsid w:val="006448EF"/>
    <w:rsid w:val="00646877"/>
    <w:rsid w:val="00646907"/>
    <w:rsid w:val="00646E07"/>
    <w:rsid w:val="00650F5D"/>
    <w:rsid w:val="006513F1"/>
    <w:rsid w:val="00655150"/>
    <w:rsid w:val="00655D0A"/>
    <w:rsid w:val="006613E4"/>
    <w:rsid w:val="0066678F"/>
    <w:rsid w:val="00672609"/>
    <w:rsid w:val="0067635A"/>
    <w:rsid w:val="00686EED"/>
    <w:rsid w:val="006902AC"/>
    <w:rsid w:val="006905CE"/>
    <w:rsid w:val="00692FB5"/>
    <w:rsid w:val="00695E0A"/>
    <w:rsid w:val="006A1817"/>
    <w:rsid w:val="006A2179"/>
    <w:rsid w:val="006A30AA"/>
    <w:rsid w:val="006A524A"/>
    <w:rsid w:val="006A5293"/>
    <w:rsid w:val="006A5DED"/>
    <w:rsid w:val="006A7337"/>
    <w:rsid w:val="006A73AC"/>
    <w:rsid w:val="006B4C62"/>
    <w:rsid w:val="006B5098"/>
    <w:rsid w:val="006B59EB"/>
    <w:rsid w:val="006B6A66"/>
    <w:rsid w:val="006B7412"/>
    <w:rsid w:val="006D029A"/>
    <w:rsid w:val="006D16D8"/>
    <w:rsid w:val="006D4D23"/>
    <w:rsid w:val="006E0B20"/>
    <w:rsid w:val="006E7D19"/>
    <w:rsid w:val="006F2572"/>
    <w:rsid w:val="006F471E"/>
    <w:rsid w:val="00700312"/>
    <w:rsid w:val="007057AC"/>
    <w:rsid w:val="00711C78"/>
    <w:rsid w:val="00712F82"/>
    <w:rsid w:val="007136BA"/>
    <w:rsid w:val="00713B14"/>
    <w:rsid w:val="00713D08"/>
    <w:rsid w:val="00714D74"/>
    <w:rsid w:val="00723B4E"/>
    <w:rsid w:val="00723F1F"/>
    <w:rsid w:val="0073308C"/>
    <w:rsid w:val="00735645"/>
    <w:rsid w:val="0074187F"/>
    <w:rsid w:val="00753303"/>
    <w:rsid w:val="00753318"/>
    <w:rsid w:val="007577DA"/>
    <w:rsid w:val="007619C0"/>
    <w:rsid w:val="00764485"/>
    <w:rsid w:val="00770685"/>
    <w:rsid w:val="00771D9A"/>
    <w:rsid w:val="00772C01"/>
    <w:rsid w:val="00772E6B"/>
    <w:rsid w:val="007742D7"/>
    <w:rsid w:val="00775545"/>
    <w:rsid w:val="00775766"/>
    <w:rsid w:val="00777571"/>
    <w:rsid w:val="0078120E"/>
    <w:rsid w:val="007827AA"/>
    <w:rsid w:val="007827F7"/>
    <w:rsid w:val="00785721"/>
    <w:rsid w:val="00790541"/>
    <w:rsid w:val="00792EE6"/>
    <w:rsid w:val="00794ABD"/>
    <w:rsid w:val="007A498F"/>
    <w:rsid w:val="007A510D"/>
    <w:rsid w:val="007A6305"/>
    <w:rsid w:val="007A6CC0"/>
    <w:rsid w:val="007A7A1E"/>
    <w:rsid w:val="007B1034"/>
    <w:rsid w:val="007B2079"/>
    <w:rsid w:val="007B3D96"/>
    <w:rsid w:val="007B7231"/>
    <w:rsid w:val="007C0B78"/>
    <w:rsid w:val="007C44E1"/>
    <w:rsid w:val="007C6383"/>
    <w:rsid w:val="007C779A"/>
    <w:rsid w:val="007E15A7"/>
    <w:rsid w:val="007E28C6"/>
    <w:rsid w:val="007E2CD3"/>
    <w:rsid w:val="007E416D"/>
    <w:rsid w:val="007E471D"/>
    <w:rsid w:val="007F23D2"/>
    <w:rsid w:val="007F5778"/>
    <w:rsid w:val="008005C0"/>
    <w:rsid w:val="008019CB"/>
    <w:rsid w:val="0080595C"/>
    <w:rsid w:val="008065D2"/>
    <w:rsid w:val="00810025"/>
    <w:rsid w:val="00810356"/>
    <w:rsid w:val="00810439"/>
    <w:rsid w:val="00810B55"/>
    <w:rsid w:val="00814FAC"/>
    <w:rsid w:val="00824585"/>
    <w:rsid w:val="00824B99"/>
    <w:rsid w:val="008307EF"/>
    <w:rsid w:val="00836DA1"/>
    <w:rsid w:val="008410F9"/>
    <w:rsid w:val="00846BCB"/>
    <w:rsid w:val="00851D37"/>
    <w:rsid w:val="008530CD"/>
    <w:rsid w:val="008629BD"/>
    <w:rsid w:val="0087310B"/>
    <w:rsid w:val="0088247F"/>
    <w:rsid w:val="008847B6"/>
    <w:rsid w:val="008848BC"/>
    <w:rsid w:val="00893CF2"/>
    <w:rsid w:val="00894267"/>
    <w:rsid w:val="008A3F4C"/>
    <w:rsid w:val="008A603B"/>
    <w:rsid w:val="008A6261"/>
    <w:rsid w:val="008A650E"/>
    <w:rsid w:val="008B0458"/>
    <w:rsid w:val="008B19E8"/>
    <w:rsid w:val="008B4463"/>
    <w:rsid w:val="008B746E"/>
    <w:rsid w:val="008C03F2"/>
    <w:rsid w:val="008C087C"/>
    <w:rsid w:val="008C23F0"/>
    <w:rsid w:val="008C389C"/>
    <w:rsid w:val="008C3F88"/>
    <w:rsid w:val="008D0FF9"/>
    <w:rsid w:val="008D7003"/>
    <w:rsid w:val="008E150A"/>
    <w:rsid w:val="008E7E54"/>
    <w:rsid w:val="008F0863"/>
    <w:rsid w:val="008F1E5B"/>
    <w:rsid w:val="008F2A4B"/>
    <w:rsid w:val="008F3398"/>
    <w:rsid w:val="008F3AC1"/>
    <w:rsid w:val="008F6E57"/>
    <w:rsid w:val="008F75FB"/>
    <w:rsid w:val="00900E7B"/>
    <w:rsid w:val="009015A3"/>
    <w:rsid w:val="00912B83"/>
    <w:rsid w:val="00913553"/>
    <w:rsid w:val="00913C15"/>
    <w:rsid w:val="00913CD3"/>
    <w:rsid w:val="00914B36"/>
    <w:rsid w:val="00915763"/>
    <w:rsid w:val="00922AE7"/>
    <w:rsid w:val="0092376E"/>
    <w:rsid w:val="00930457"/>
    <w:rsid w:val="00930AAE"/>
    <w:rsid w:val="00930CBA"/>
    <w:rsid w:val="00931F46"/>
    <w:rsid w:val="00933526"/>
    <w:rsid w:val="00936732"/>
    <w:rsid w:val="00943496"/>
    <w:rsid w:val="00944869"/>
    <w:rsid w:val="0094623D"/>
    <w:rsid w:val="00946FBD"/>
    <w:rsid w:val="00951BF7"/>
    <w:rsid w:val="00952229"/>
    <w:rsid w:val="009618C1"/>
    <w:rsid w:val="00962B0E"/>
    <w:rsid w:val="00966A18"/>
    <w:rsid w:val="00967136"/>
    <w:rsid w:val="00970B37"/>
    <w:rsid w:val="009737A9"/>
    <w:rsid w:val="009739B0"/>
    <w:rsid w:val="00975BEE"/>
    <w:rsid w:val="00981DCD"/>
    <w:rsid w:val="0098442F"/>
    <w:rsid w:val="00984E80"/>
    <w:rsid w:val="00984F16"/>
    <w:rsid w:val="00985858"/>
    <w:rsid w:val="00985E04"/>
    <w:rsid w:val="0099423D"/>
    <w:rsid w:val="00996FEE"/>
    <w:rsid w:val="009975D3"/>
    <w:rsid w:val="009A590F"/>
    <w:rsid w:val="009B469A"/>
    <w:rsid w:val="009C21E1"/>
    <w:rsid w:val="009C2C39"/>
    <w:rsid w:val="009C3337"/>
    <w:rsid w:val="009D1931"/>
    <w:rsid w:val="009D1AF9"/>
    <w:rsid w:val="009D332A"/>
    <w:rsid w:val="009D6D76"/>
    <w:rsid w:val="009D6EA4"/>
    <w:rsid w:val="009E0FF0"/>
    <w:rsid w:val="009E117F"/>
    <w:rsid w:val="009E17A7"/>
    <w:rsid w:val="009E40FC"/>
    <w:rsid w:val="009E485C"/>
    <w:rsid w:val="009E6684"/>
    <w:rsid w:val="009E7C0D"/>
    <w:rsid w:val="009F3BA0"/>
    <w:rsid w:val="009F4C20"/>
    <w:rsid w:val="009F4F56"/>
    <w:rsid w:val="00A028AE"/>
    <w:rsid w:val="00A10134"/>
    <w:rsid w:val="00A112CF"/>
    <w:rsid w:val="00A12EA7"/>
    <w:rsid w:val="00A22042"/>
    <w:rsid w:val="00A26394"/>
    <w:rsid w:val="00A33FE2"/>
    <w:rsid w:val="00A36AA7"/>
    <w:rsid w:val="00A36EA5"/>
    <w:rsid w:val="00A40B62"/>
    <w:rsid w:val="00A41FBD"/>
    <w:rsid w:val="00A429FF"/>
    <w:rsid w:val="00A44278"/>
    <w:rsid w:val="00A46542"/>
    <w:rsid w:val="00A47605"/>
    <w:rsid w:val="00A47873"/>
    <w:rsid w:val="00A52053"/>
    <w:rsid w:val="00A533AC"/>
    <w:rsid w:val="00A53A3F"/>
    <w:rsid w:val="00A54FC5"/>
    <w:rsid w:val="00A56356"/>
    <w:rsid w:val="00A5644B"/>
    <w:rsid w:val="00A5799C"/>
    <w:rsid w:val="00A6176C"/>
    <w:rsid w:val="00A618A6"/>
    <w:rsid w:val="00A628C2"/>
    <w:rsid w:val="00A72846"/>
    <w:rsid w:val="00A72C0A"/>
    <w:rsid w:val="00A75CDD"/>
    <w:rsid w:val="00A762B4"/>
    <w:rsid w:val="00A76911"/>
    <w:rsid w:val="00A81698"/>
    <w:rsid w:val="00A82CC7"/>
    <w:rsid w:val="00A86A5E"/>
    <w:rsid w:val="00A902AF"/>
    <w:rsid w:val="00AA393C"/>
    <w:rsid w:val="00AA3F9C"/>
    <w:rsid w:val="00AA690F"/>
    <w:rsid w:val="00AB3FB8"/>
    <w:rsid w:val="00AB6E56"/>
    <w:rsid w:val="00AC00DA"/>
    <w:rsid w:val="00AC1D08"/>
    <w:rsid w:val="00AC26F3"/>
    <w:rsid w:val="00AC6069"/>
    <w:rsid w:val="00AC6820"/>
    <w:rsid w:val="00AC769D"/>
    <w:rsid w:val="00AD17F5"/>
    <w:rsid w:val="00AD2F4D"/>
    <w:rsid w:val="00AD3192"/>
    <w:rsid w:val="00AD5844"/>
    <w:rsid w:val="00AD617B"/>
    <w:rsid w:val="00AD62A5"/>
    <w:rsid w:val="00AD6CAB"/>
    <w:rsid w:val="00AD7710"/>
    <w:rsid w:val="00AE02A2"/>
    <w:rsid w:val="00AE203D"/>
    <w:rsid w:val="00AE4B5B"/>
    <w:rsid w:val="00AE79A9"/>
    <w:rsid w:val="00B015FA"/>
    <w:rsid w:val="00B03460"/>
    <w:rsid w:val="00B1617B"/>
    <w:rsid w:val="00B227FB"/>
    <w:rsid w:val="00B23439"/>
    <w:rsid w:val="00B25057"/>
    <w:rsid w:val="00B25920"/>
    <w:rsid w:val="00B32E1F"/>
    <w:rsid w:val="00B367D7"/>
    <w:rsid w:val="00B40A19"/>
    <w:rsid w:val="00B42208"/>
    <w:rsid w:val="00B4298E"/>
    <w:rsid w:val="00B42B51"/>
    <w:rsid w:val="00B44913"/>
    <w:rsid w:val="00B473AA"/>
    <w:rsid w:val="00B47408"/>
    <w:rsid w:val="00B47C07"/>
    <w:rsid w:val="00B50790"/>
    <w:rsid w:val="00B50ACB"/>
    <w:rsid w:val="00B50B23"/>
    <w:rsid w:val="00B50BCF"/>
    <w:rsid w:val="00B52E0F"/>
    <w:rsid w:val="00B5401D"/>
    <w:rsid w:val="00B5471A"/>
    <w:rsid w:val="00B54E57"/>
    <w:rsid w:val="00B6455B"/>
    <w:rsid w:val="00B64AE0"/>
    <w:rsid w:val="00B65969"/>
    <w:rsid w:val="00B660E5"/>
    <w:rsid w:val="00B66A13"/>
    <w:rsid w:val="00B66F3F"/>
    <w:rsid w:val="00B67462"/>
    <w:rsid w:val="00B701DA"/>
    <w:rsid w:val="00B72D90"/>
    <w:rsid w:val="00B74497"/>
    <w:rsid w:val="00B80397"/>
    <w:rsid w:val="00B816F5"/>
    <w:rsid w:val="00B836F6"/>
    <w:rsid w:val="00B90420"/>
    <w:rsid w:val="00B92635"/>
    <w:rsid w:val="00B9350B"/>
    <w:rsid w:val="00B94F09"/>
    <w:rsid w:val="00B96A87"/>
    <w:rsid w:val="00BA1D7E"/>
    <w:rsid w:val="00BA5637"/>
    <w:rsid w:val="00BB0A91"/>
    <w:rsid w:val="00BB39F8"/>
    <w:rsid w:val="00BB540C"/>
    <w:rsid w:val="00BB5CCC"/>
    <w:rsid w:val="00BB6B84"/>
    <w:rsid w:val="00BC244A"/>
    <w:rsid w:val="00BC5C6D"/>
    <w:rsid w:val="00BD4C6E"/>
    <w:rsid w:val="00BD51F2"/>
    <w:rsid w:val="00BD7CAC"/>
    <w:rsid w:val="00BE0462"/>
    <w:rsid w:val="00BE0D73"/>
    <w:rsid w:val="00BE2161"/>
    <w:rsid w:val="00BE7BD9"/>
    <w:rsid w:val="00BF16CB"/>
    <w:rsid w:val="00BF24B6"/>
    <w:rsid w:val="00BF3C5F"/>
    <w:rsid w:val="00BF41FF"/>
    <w:rsid w:val="00C069F7"/>
    <w:rsid w:val="00C16CDD"/>
    <w:rsid w:val="00C174DE"/>
    <w:rsid w:val="00C26AB8"/>
    <w:rsid w:val="00C2733B"/>
    <w:rsid w:val="00C31DF9"/>
    <w:rsid w:val="00C36DDB"/>
    <w:rsid w:val="00C378E4"/>
    <w:rsid w:val="00C41470"/>
    <w:rsid w:val="00C42FAD"/>
    <w:rsid w:val="00C45866"/>
    <w:rsid w:val="00C45BA5"/>
    <w:rsid w:val="00C45E8A"/>
    <w:rsid w:val="00C479CD"/>
    <w:rsid w:val="00C51030"/>
    <w:rsid w:val="00C5164D"/>
    <w:rsid w:val="00C74F95"/>
    <w:rsid w:val="00C75441"/>
    <w:rsid w:val="00C762DE"/>
    <w:rsid w:val="00C77A96"/>
    <w:rsid w:val="00C8271A"/>
    <w:rsid w:val="00C844B3"/>
    <w:rsid w:val="00C87580"/>
    <w:rsid w:val="00C93987"/>
    <w:rsid w:val="00CA1A2A"/>
    <w:rsid w:val="00CA3B9C"/>
    <w:rsid w:val="00CA4D38"/>
    <w:rsid w:val="00CB0550"/>
    <w:rsid w:val="00CB471D"/>
    <w:rsid w:val="00CB5F8C"/>
    <w:rsid w:val="00CC0488"/>
    <w:rsid w:val="00CC189D"/>
    <w:rsid w:val="00CC3137"/>
    <w:rsid w:val="00CC35BE"/>
    <w:rsid w:val="00CC6BCD"/>
    <w:rsid w:val="00CC6DF2"/>
    <w:rsid w:val="00CC75FD"/>
    <w:rsid w:val="00CD03A6"/>
    <w:rsid w:val="00CD2482"/>
    <w:rsid w:val="00CD48D1"/>
    <w:rsid w:val="00CD6CB0"/>
    <w:rsid w:val="00CD7FE8"/>
    <w:rsid w:val="00CE104E"/>
    <w:rsid w:val="00CE2D29"/>
    <w:rsid w:val="00CE4CBF"/>
    <w:rsid w:val="00CF08FE"/>
    <w:rsid w:val="00CF2A7D"/>
    <w:rsid w:val="00CF2C60"/>
    <w:rsid w:val="00CF3989"/>
    <w:rsid w:val="00D023BE"/>
    <w:rsid w:val="00D061A3"/>
    <w:rsid w:val="00D11E9E"/>
    <w:rsid w:val="00D24B70"/>
    <w:rsid w:val="00D27866"/>
    <w:rsid w:val="00D33EA7"/>
    <w:rsid w:val="00D34498"/>
    <w:rsid w:val="00D36F6F"/>
    <w:rsid w:val="00D40684"/>
    <w:rsid w:val="00D4566F"/>
    <w:rsid w:val="00D50C74"/>
    <w:rsid w:val="00D5386E"/>
    <w:rsid w:val="00D57C10"/>
    <w:rsid w:val="00D65E62"/>
    <w:rsid w:val="00D66CC1"/>
    <w:rsid w:val="00D71F31"/>
    <w:rsid w:val="00D75370"/>
    <w:rsid w:val="00D76A4C"/>
    <w:rsid w:val="00D77E9A"/>
    <w:rsid w:val="00D81F96"/>
    <w:rsid w:val="00D82121"/>
    <w:rsid w:val="00DA0AC3"/>
    <w:rsid w:val="00DA0ADB"/>
    <w:rsid w:val="00DA34F8"/>
    <w:rsid w:val="00DA36D9"/>
    <w:rsid w:val="00DA5503"/>
    <w:rsid w:val="00DB05B8"/>
    <w:rsid w:val="00DB4253"/>
    <w:rsid w:val="00DB7E40"/>
    <w:rsid w:val="00DC4D4D"/>
    <w:rsid w:val="00DC7097"/>
    <w:rsid w:val="00DC78A6"/>
    <w:rsid w:val="00DD0B40"/>
    <w:rsid w:val="00DD0D21"/>
    <w:rsid w:val="00DD2AB5"/>
    <w:rsid w:val="00DD3234"/>
    <w:rsid w:val="00DD7784"/>
    <w:rsid w:val="00DE3D84"/>
    <w:rsid w:val="00DF04F5"/>
    <w:rsid w:val="00DF18F3"/>
    <w:rsid w:val="00DF29C6"/>
    <w:rsid w:val="00DF37BA"/>
    <w:rsid w:val="00DF6552"/>
    <w:rsid w:val="00E013D9"/>
    <w:rsid w:val="00E016E4"/>
    <w:rsid w:val="00E0289C"/>
    <w:rsid w:val="00E036DE"/>
    <w:rsid w:val="00E0471B"/>
    <w:rsid w:val="00E07A7D"/>
    <w:rsid w:val="00E1033B"/>
    <w:rsid w:val="00E163BF"/>
    <w:rsid w:val="00E204AA"/>
    <w:rsid w:val="00E21A8F"/>
    <w:rsid w:val="00E222AB"/>
    <w:rsid w:val="00E2566A"/>
    <w:rsid w:val="00E26EBB"/>
    <w:rsid w:val="00E317AA"/>
    <w:rsid w:val="00E40B8E"/>
    <w:rsid w:val="00E42C0B"/>
    <w:rsid w:val="00E4371F"/>
    <w:rsid w:val="00E45A83"/>
    <w:rsid w:val="00E46FBA"/>
    <w:rsid w:val="00E53E2F"/>
    <w:rsid w:val="00E564ED"/>
    <w:rsid w:val="00E63412"/>
    <w:rsid w:val="00E64ABC"/>
    <w:rsid w:val="00E6529D"/>
    <w:rsid w:val="00E74A65"/>
    <w:rsid w:val="00E75B33"/>
    <w:rsid w:val="00E80168"/>
    <w:rsid w:val="00E8543E"/>
    <w:rsid w:val="00E85749"/>
    <w:rsid w:val="00E85961"/>
    <w:rsid w:val="00E90220"/>
    <w:rsid w:val="00E91094"/>
    <w:rsid w:val="00E92CE5"/>
    <w:rsid w:val="00E93347"/>
    <w:rsid w:val="00E94669"/>
    <w:rsid w:val="00E94D0F"/>
    <w:rsid w:val="00E95E14"/>
    <w:rsid w:val="00E96BB7"/>
    <w:rsid w:val="00EA13CA"/>
    <w:rsid w:val="00EA5AC3"/>
    <w:rsid w:val="00EB45D0"/>
    <w:rsid w:val="00EB4F88"/>
    <w:rsid w:val="00EC38C9"/>
    <w:rsid w:val="00EC5052"/>
    <w:rsid w:val="00EC5989"/>
    <w:rsid w:val="00EC6807"/>
    <w:rsid w:val="00ED08F7"/>
    <w:rsid w:val="00ED2AB3"/>
    <w:rsid w:val="00ED42ED"/>
    <w:rsid w:val="00ED4A0C"/>
    <w:rsid w:val="00EE6E62"/>
    <w:rsid w:val="00F0562E"/>
    <w:rsid w:val="00F05EFE"/>
    <w:rsid w:val="00F060E9"/>
    <w:rsid w:val="00F10879"/>
    <w:rsid w:val="00F12511"/>
    <w:rsid w:val="00F1342F"/>
    <w:rsid w:val="00F17AFE"/>
    <w:rsid w:val="00F21F11"/>
    <w:rsid w:val="00F31398"/>
    <w:rsid w:val="00F3147A"/>
    <w:rsid w:val="00F323FA"/>
    <w:rsid w:val="00F34751"/>
    <w:rsid w:val="00F34A61"/>
    <w:rsid w:val="00F359C4"/>
    <w:rsid w:val="00F36C9E"/>
    <w:rsid w:val="00F42472"/>
    <w:rsid w:val="00F42EA4"/>
    <w:rsid w:val="00F45D6A"/>
    <w:rsid w:val="00F5032E"/>
    <w:rsid w:val="00F54EAE"/>
    <w:rsid w:val="00F56E25"/>
    <w:rsid w:val="00F606E0"/>
    <w:rsid w:val="00F60E35"/>
    <w:rsid w:val="00F61DBF"/>
    <w:rsid w:val="00F62584"/>
    <w:rsid w:val="00F66BA6"/>
    <w:rsid w:val="00F702DA"/>
    <w:rsid w:val="00F70843"/>
    <w:rsid w:val="00F715E4"/>
    <w:rsid w:val="00F72480"/>
    <w:rsid w:val="00F7293E"/>
    <w:rsid w:val="00F73E5C"/>
    <w:rsid w:val="00F74AD1"/>
    <w:rsid w:val="00F76EC7"/>
    <w:rsid w:val="00F77BDF"/>
    <w:rsid w:val="00F81057"/>
    <w:rsid w:val="00F9499E"/>
    <w:rsid w:val="00F952FB"/>
    <w:rsid w:val="00FA15A1"/>
    <w:rsid w:val="00FA50FE"/>
    <w:rsid w:val="00FA660F"/>
    <w:rsid w:val="00FA7FD0"/>
    <w:rsid w:val="00FB03B9"/>
    <w:rsid w:val="00FB1216"/>
    <w:rsid w:val="00FB22BA"/>
    <w:rsid w:val="00FB4539"/>
    <w:rsid w:val="00FB5767"/>
    <w:rsid w:val="00FB741C"/>
    <w:rsid w:val="00FC060F"/>
    <w:rsid w:val="00FC0681"/>
    <w:rsid w:val="00FC6480"/>
    <w:rsid w:val="00FD1C28"/>
    <w:rsid w:val="00FD388B"/>
    <w:rsid w:val="00FD5274"/>
    <w:rsid w:val="00FD5F30"/>
    <w:rsid w:val="00FD6C13"/>
    <w:rsid w:val="00FE252F"/>
    <w:rsid w:val="00FE4840"/>
    <w:rsid w:val="00FE5360"/>
    <w:rsid w:val="00FE77DD"/>
    <w:rsid w:val="00FF2405"/>
    <w:rsid w:val="00FF28C0"/>
    <w:rsid w:val="00FF30E6"/>
    <w:rsid w:val="00FF5BC8"/>
    <w:rsid w:val="00FF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7761"/>
  <w15:chartTrackingRefBased/>
  <w15:docId w15:val="{29F651CB-D641-4A74-BA3A-4DBE45CE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0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Dylan</dc:creator>
  <cp:keywords/>
  <dc:description/>
  <cp:lastModifiedBy>Davis, Dylan</cp:lastModifiedBy>
  <cp:revision>3</cp:revision>
  <dcterms:created xsi:type="dcterms:W3CDTF">2019-04-14T01:39:00Z</dcterms:created>
  <dcterms:modified xsi:type="dcterms:W3CDTF">2019-04-14T18:22:00Z</dcterms:modified>
</cp:coreProperties>
</file>