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E608" w14:textId="116DC457" w:rsidR="00224AEB" w:rsidRDefault="00224AEB" w:rsidP="00224AEB">
      <w:pPr>
        <w:pStyle w:val="Heading1"/>
        <w:rPr>
          <w:lang w:val="en-GB"/>
        </w:rPr>
      </w:pPr>
      <w:r>
        <w:t>An assessment of the climate damage costs of European</w:t>
      </w:r>
      <w:r>
        <w:rPr>
          <w:lang w:val="en-GB"/>
        </w:rPr>
        <w:t xml:space="preserve"> </w:t>
      </w:r>
      <w:r>
        <w:t>short-lived climate forcers</w:t>
      </w:r>
      <w:r>
        <w:rPr>
          <w:lang w:val="en-GB"/>
        </w:rPr>
        <w:t xml:space="preserve"> – Supplementary Material 1</w:t>
      </w:r>
    </w:p>
    <w:p w14:paraId="3B1209A9" w14:textId="77777777" w:rsidR="00224AEB" w:rsidRPr="00224AEB" w:rsidRDefault="00224AEB" w:rsidP="00224AEB">
      <w:pPr>
        <w:rPr>
          <w:lang w:val="en-GB"/>
        </w:rPr>
      </w:pPr>
    </w:p>
    <w:p w14:paraId="369D37C1" w14:textId="4090312A" w:rsidR="00224AEB" w:rsidRPr="005B7E9F" w:rsidRDefault="00224AEB" w:rsidP="00224AEB">
      <w:pPr>
        <w:pStyle w:val="Heading3"/>
        <w:spacing w:line="480" w:lineRule="auto"/>
        <w:ind w:right="521"/>
        <w:jc w:val="left"/>
        <w:rPr>
          <w:lang w:val="en-GB"/>
        </w:rPr>
      </w:pPr>
      <w:r>
        <w:rPr>
          <w:lang w:val="en-GB"/>
        </w:rPr>
        <w:t>Adjusting for differences in atmospheric lifetime of pollutants</w:t>
      </w:r>
    </w:p>
    <w:p w14:paraId="4870BB42"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Although SCM is a more suitable metric than SCC, methane has a longer lifetime in the atmosphere and a different temporal profile (how long after an emission pulse that the temperature response occurs) than the other SLCFs. Since future values are discounted, it is reasonable to adjust the SCC values with respect to difference in temporal profiles. To do this we use the results from IWG (2021) and information from Figure 6.15 in </w:t>
      </w:r>
      <w:proofErr w:type="spellStart"/>
      <w:r>
        <w:rPr>
          <w:rFonts w:ascii="Times New Roman" w:hAnsi="Times New Roman" w:cs="Times New Roman"/>
          <w:sz w:val="24"/>
          <w:szCs w:val="24"/>
          <w:lang w:val="en-GB"/>
        </w:rPr>
        <w:t>Szopa</w:t>
      </w:r>
      <w:proofErr w:type="spellEnd"/>
      <w:r>
        <w:rPr>
          <w:rFonts w:ascii="Times New Roman" w:hAnsi="Times New Roman" w:cs="Times New Roman"/>
          <w:sz w:val="24"/>
          <w:szCs w:val="24"/>
          <w:lang w:val="en-GB"/>
        </w:rPr>
        <w:t xml:space="preserve">, Naik et al. (2021) and the following assumptions: </w:t>
      </w:r>
    </w:p>
    <w:p w14:paraId="27CCAC25" w14:textId="77777777" w:rsidR="00224AEB" w:rsidRPr="00297742" w:rsidRDefault="00224AEB" w:rsidP="00224AEB">
      <w:pPr>
        <w:pStyle w:val="ListParagraph"/>
        <w:numPr>
          <w:ilvl w:val="0"/>
          <w:numId w:val="9"/>
        </w:num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An emission pulse of an </w:t>
      </w:r>
      <w:r w:rsidRPr="00297742">
        <w:rPr>
          <w:rFonts w:ascii="Times New Roman" w:hAnsi="Times New Roman" w:cs="Times New Roman"/>
          <w:sz w:val="24"/>
          <w:szCs w:val="24"/>
          <w:lang w:val="en-GB"/>
        </w:rPr>
        <w:t>SLCF ha</w:t>
      </w:r>
      <w:r>
        <w:rPr>
          <w:rFonts w:ascii="Times New Roman" w:hAnsi="Times New Roman" w:cs="Times New Roman"/>
          <w:sz w:val="24"/>
          <w:szCs w:val="24"/>
          <w:lang w:val="en-GB"/>
        </w:rPr>
        <w:t>s</w:t>
      </w:r>
      <w:r w:rsidRPr="00297742">
        <w:rPr>
          <w:rFonts w:ascii="Times New Roman" w:hAnsi="Times New Roman" w:cs="Times New Roman"/>
          <w:sz w:val="24"/>
          <w:szCs w:val="24"/>
          <w:lang w:val="en-GB"/>
        </w:rPr>
        <w:t xml:space="preserve"> no </w:t>
      </w:r>
      <w:r>
        <w:rPr>
          <w:rFonts w:ascii="Times New Roman" w:hAnsi="Times New Roman" w:cs="Times New Roman"/>
          <w:sz w:val="24"/>
          <w:szCs w:val="24"/>
          <w:lang w:val="en-GB"/>
        </w:rPr>
        <w:t xml:space="preserve">significant surface air temperature response </w:t>
      </w:r>
      <w:r w:rsidRPr="00297742">
        <w:rPr>
          <w:rFonts w:ascii="Times New Roman" w:hAnsi="Times New Roman" w:cs="Times New Roman"/>
          <w:sz w:val="24"/>
          <w:szCs w:val="24"/>
          <w:lang w:val="en-GB"/>
        </w:rPr>
        <w:t xml:space="preserve">after 400 years, </w:t>
      </w:r>
    </w:p>
    <w:p w14:paraId="71F4C0C2" w14:textId="77777777" w:rsidR="00224AEB" w:rsidRDefault="00224AEB" w:rsidP="00224AEB">
      <w:pPr>
        <w:pStyle w:val="ListParagraph"/>
        <w:numPr>
          <w:ilvl w:val="0"/>
          <w:numId w:val="9"/>
        </w:numPr>
        <w:ind w:right="521"/>
        <w:jc w:val="left"/>
        <w:rPr>
          <w:rFonts w:ascii="Times New Roman" w:hAnsi="Times New Roman" w:cs="Times New Roman"/>
          <w:sz w:val="24"/>
          <w:szCs w:val="24"/>
          <w:lang w:val="en-GB"/>
        </w:rPr>
      </w:pPr>
      <w:r w:rsidRPr="00297742">
        <w:rPr>
          <w:rFonts w:ascii="Times New Roman" w:hAnsi="Times New Roman" w:cs="Times New Roman"/>
          <w:sz w:val="24"/>
          <w:szCs w:val="24"/>
          <w:lang w:val="en-GB"/>
        </w:rPr>
        <w:t xml:space="preserve">the net-present values </w:t>
      </w:r>
      <w:r>
        <w:rPr>
          <w:rFonts w:ascii="Times New Roman" w:hAnsi="Times New Roman" w:cs="Times New Roman"/>
          <w:sz w:val="24"/>
          <w:szCs w:val="24"/>
          <w:lang w:val="en-GB"/>
        </w:rPr>
        <w:t xml:space="preserve">of SCM </w:t>
      </w:r>
      <w:r w:rsidRPr="00297742">
        <w:rPr>
          <w:rFonts w:ascii="Times New Roman" w:hAnsi="Times New Roman" w:cs="Times New Roman"/>
          <w:sz w:val="24"/>
          <w:szCs w:val="24"/>
          <w:lang w:val="en-GB"/>
        </w:rPr>
        <w:t xml:space="preserve">given by IWG are based on similar </w:t>
      </w:r>
      <w:r>
        <w:rPr>
          <w:rFonts w:ascii="Times New Roman" w:hAnsi="Times New Roman" w:cs="Times New Roman"/>
          <w:sz w:val="24"/>
          <w:szCs w:val="24"/>
          <w:lang w:val="en-GB"/>
        </w:rPr>
        <w:t xml:space="preserve">surface air temperature response temporal profiles </w:t>
      </w:r>
      <w:r w:rsidRPr="00297742">
        <w:rPr>
          <w:rFonts w:ascii="Times New Roman" w:hAnsi="Times New Roman" w:cs="Times New Roman"/>
          <w:sz w:val="24"/>
          <w:szCs w:val="24"/>
          <w:lang w:val="en-GB"/>
        </w:rPr>
        <w:t xml:space="preserve">as reported for </w:t>
      </w:r>
      <w:r>
        <w:rPr>
          <w:rFonts w:ascii="Times New Roman" w:hAnsi="Times New Roman" w:cs="Times New Roman"/>
          <w:sz w:val="24"/>
          <w:szCs w:val="24"/>
          <w:lang w:val="en-GB"/>
        </w:rPr>
        <w:t xml:space="preserve">gases with a </w:t>
      </w:r>
      <w:r w:rsidRPr="00297742">
        <w:rPr>
          <w:rFonts w:ascii="Times New Roman" w:hAnsi="Times New Roman" w:cs="Times New Roman"/>
          <w:sz w:val="24"/>
          <w:szCs w:val="24"/>
          <w:lang w:val="en-GB"/>
        </w:rPr>
        <w:t>10</w:t>
      </w:r>
      <w:r>
        <w:rPr>
          <w:rFonts w:ascii="Times New Roman" w:hAnsi="Times New Roman" w:cs="Times New Roman"/>
          <w:sz w:val="24"/>
          <w:szCs w:val="24"/>
          <w:lang w:val="en-GB"/>
        </w:rPr>
        <w:t>-</w:t>
      </w:r>
      <w:r w:rsidRPr="00297742">
        <w:rPr>
          <w:rFonts w:ascii="Times New Roman" w:hAnsi="Times New Roman" w:cs="Times New Roman"/>
          <w:sz w:val="24"/>
          <w:szCs w:val="24"/>
          <w:lang w:val="en-GB"/>
        </w:rPr>
        <w:t xml:space="preserve">year lifetime </w:t>
      </w:r>
      <w:r>
        <w:rPr>
          <w:rFonts w:ascii="Times New Roman" w:hAnsi="Times New Roman" w:cs="Times New Roman"/>
          <w:sz w:val="24"/>
          <w:szCs w:val="24"/>
          <w:lang w:val="en-GB"/>
        </w:rPr>
        <w:t>as</w:t>
      </w:r>
      <w:r w:rsidRPr="00297742">
        <w:rPr>
          <w:rFonts w:ascii="Times New Roman" w:hAnsi="Times New Roman" w:cs="Times New Roman"/>
          <w:sz w:val="24"/>
          <w:szCs w:val="24"/>
          <w:lang w:val="en-GB"/>
        </w:rPr>
        <w:t xml:space="preserve"> in figure 6.15,</w:t>
      </w:r>
    </w:p>
    <w:p w14:paraId="5593D0F4" w14:textId="77777777" w:rsidR="00224AEB" w:rsidRPr="00212B3B" w:rsidRDefault="00224AEB" w:rsidP="00224AEB">
      <w:pPr>
        <w:pStyle w:val="ListParagraph"/>
        <w:numPr>
          <w:ilvl w:val="0"/>
          <w:numId w:val="9"/>
        </w:num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Mitigating and exacerbating SLCFs with the same lifetime have the same global mean surface air temperature response in absolute terms.</w:t>
      </w:r>
    </w:p>
    <w:p w14:paraId="22C411DC" w14:textId="716DDF33" w:rsidR="00224AEB" w:rsidRDefault="00224AEB" w:rsidP="00224AEB">
      <w:pPr>
        <w:ind w:right="521"/>
        <w:jc w:val="left"/>
        <w:rPr>
          <w:rFonts w:ascii="Times New Roman" w:hAnsi="Times New Roman" w:cs="Times New Roman"/>
          <w:sz w:val="24"/>
          <w:szCs w:val="24"/>
          <w:lang w:val="en-GB"/>
        </w:rPr>
      </w:pPr>
    </w:p>
    <w:p w14:paraId="1F189F91" w14:textId="6E299D45"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The adjustment is made in six steps. </w:t>
      </w:r>
    </w:p>
    <w:p w14:paraId="4D8348E4" w14:textId="77777777" w:rsidR="00224AEB" w:rsidRDefault="00224AEB" w:rsidP="00224AEB">
      <w:pPr>
        <w:ind w:right="521"/>
        <w:jc w:val="left"/>
        <w:rPr>
          <w:rFonts w:ascii="Times New Roman" w:hAnsi="Times New Roman" w:cs="Times New Roman"/>
          <w:sz w:val="24"/>
          <w:szCs w:val="24"/>
          <w:lang w:val="en-GB"/>
        </w:rPr>
      </w:pPr>
    </w:p>
    <w:p w14:paraId="5C13F744" w14:textId="77777777" w:rsidR="00224AEB" w:rsidRPr="006E2AEC" w:rsidRDefault="00224AEB" w:rsidP="00224AEB">
      <w:pPr>
        <w:ind w:right="521"/>
        <w:jc w:val="left"/>
        <w:rPr>
          <w:rFonts w:ascii="Times New Roman" w:hAnsi="Times New Roman" w:cs="Times New Roman"/>
          <w:b/>
          <w:bCs/>
          <w:sz w:val="24"/>
          <w:szCs w:val="24"/>
          <w:lang w:val="en-GB"/>
        </w:rPr>
      </w:pPr>
      <w:r w:rsidRPr="006E2AEC">
        <w:rPr>
          <w:rFonts w:ascii="Times New Roman" w:hAnsi="Times New Roman" w:cs="Times New Roman"/>
          <w:b/>
          <w:bCs/>
          <w:sz w:val="24"/>
          <w:szCs w:val="24"/>
          <w:lang w:val="en-GB"/>
        </w:rPr>
        <w:t xml:space="preserve">Step 1: Measure </w:t>
      </w:r>
      <w:r>
        <w:rPr>
          <w:rFonts w:ascii="Times New Roman" w:hAnsi="Times New Roman" w:cs="Times New Roman"/>
          <w:b/>
          <w:bCs/>
          <w:sz w:val="24"/>
          <w:szCs w:val="24"/>
          <w:lang w:val="en-GB"/>
        </w:rPr>
        <w:t>idealised global mean surface air temperature responses</w:t>
      </w:r>
    </w:p>
    <w:p w14:paraId="0501C53F"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From figure 6.15 in </w:t>
      </w:r>
      <w:proofErr w:type="spellStart"/>
      <w:r>
        <w:rPr>
          <w:rFonts w:ascii="Times New Roman" w:hAnsi="Times New Roman" w:cs="Times New Roman"/>
          <w:sz w:val="24"/>
          <w:szCs w:val="24"/>
          <w:lang w:val="en-GB"/>
        </w:rPr>
        <w:t>Szopa</w:t>
      </w:r>
      <w:proofErr w:type="spellEnd"/>
      <w:r>
        <w:rPr>
          <w:rFonts w:ascii="Times New Roman" w:hAnsi="Times New Roman" w:cs="Times New Roman"/>
          <w:sz w:val="24"/>
          <w:szCs w:val="24"/>
          <w:lang w:val="en-GB"/>
        </w:rPr>
        <w:t>, Naik et al. (2021) we measure data on the global mean surface air temperature (</w:t>
      </w:r>
      <w:r w:rsidRPr="00D26D25">
        <w:rPr>
          <w:rFonts w:ascii="Times New Roman" w:hAnsi="Times New Roman" w:cs="Times New Roman"/>
          <w:i/>
          <w:iCs/>
          <w:sz w:val="24"/>
          <w:szCs w:val="24"/>
          <w:lang w:val="en-GB"/>
        </w:rPr>
        <w:t>GSAT</w:t>
      </w:r>
      <w:r>
        <w:rPr>
          <w:rFonts w:ascii="Times New Roman" w:hAnsi="Times New Roman" w:cs="Times New Roman"/>
          <w:sz w:val="24"/>
          <w:szCs w:val="24"/>
          <w:lang w:val="en-GB"/>
        </w:rPr>
        <w:t>) response for idealised gases with atmospheric lifetimes (</w:t>
      </w:r>
      <w:proofErr w:type="spellStart"/>
      <w:r w:rsidRPr="00D26D25">
        <w:rPr>
          <w:rFonts w:ascii="Times New Roman" w:hAnsi="Times New Roman" w:cs="Times New Roman"/>
          <w:i/>
          <w:iCs/>
          <w:sz w:val="24"/>
          <w:szCs w:val="24"/>
          <w:lang w:val="en-GB"/>
        </w:rPr>
        <w:t>lt</w:t>
      </w:r>
      <w:proofErr w:type="spellEnd"/>
      <w:r>
        <w:rPr>
          <w:rFonts w:ascii="Times New Roman" w:hAnsi="Times New Roman" w:cs="Times New Roman"/>
          <w:sz w:val="24"/>
          <w:szCs w:val="24"/>
          <w:lang w:val="en-GB"/>
        </w:rPr>
        <w:t>) of 0.01, 1, 5, and 10 years for time after emission pulse (</w:t>
      </w:r>
      <w:proofErr w:type="spellStart"/>
      <w:r>
        <w:rPr>
          <w:rFonts w:ascii="Times New Roman" w:hAnsi="Times New Roman" w:cs="Times New Roman"/>
          <w:i/>
          <w:iCs/>
          <w:sz w:val="24"/>
          <w:szCs w:val="24"/>
          <w:lang w:val="en-GB"/>
        </w:rPr>
        <w:t>tep</w:t>
      </w:r>
      <w:proofErr w:type="spellEnd"/>
      <w:r>
        <w:rPr>
          <w:rFonts w:ascii="Times New Roman" w:hAnsi="Times New Roman" w:cs="Times New Roman"/>
          <w:sz w:val="24"/>
          <w:szCs w:val="24"/>
          <w:lang w:val="en-GB"/>
        </w:rPr>
        <w:t xml:space="preserve">) = 0 → 400. </w:t>
      </w:r>
    </w:p>
    <w:p w14:paraId="2FF8C613" w14:textId="77777777" w:rsidR="00224AEB" w:rsidRDefault="00224AEB" w:rsidP="00224AEB">
      <w:pPr>
        <w:ind w:right="521"/>
        <w:jc w:val="left"/>
        <w:rPr>
          <w:rFonts w:ascii="Times New Roman" w:hAnsi="Times New Roman" w:cs="Times New Roman"/>
          <w:sz w:val="24"/>
          <w:szCs w:val="24"/>
          <w:lang w:val="en-GB"/>
        </w:rPr>
      </w:pPr>
    </w:p>
    <w:p w14:paraId="75D3859D" w14:textId="77777777" w:rsidR="00224AEB" w:rsidRPr="006E2AEC" w:rsidRDefault="00224AEB" w:rsidP="00224AEB">
      <w:pPr>
        <w:ind w:right="521"/>
        <w:jc w:val="left"/>
        <w:rPr>
          <w:rFonts w:ascii="Times New Roman" w:hAnsi="Times New Roman" w:cs="Times New Roman"/>
          <w:b/>
          <w:bCs/>
          <w:sz w:val="24"/>
          <w:szCs w:val="24"/>
          <w:lang w:val="en-GB"/>
        </w:rPr>
      </w:pPr>
      <w:r w:rsidRPr="006E2AEC">
        <w:rPr>
          <w:rFonts w:ascii="Times New Roman" w:hAnsi="Times New Roman" w:cs="Times New Roman"/>
          <w:b/>
          <w:bCs/>
          <w:sz w:val="24"/>
          <w:szCs w:val="24"/>
          <w:lang w:val="en-GB"/>
        </w:rPr>
        <w:t>Step 2: Calibrate response function</w:t>
      </w:r>
      <w:r>
        <w:rPr>
          <w:rFonts w:ascii="Times New Roman" w:hAnsi="Times New Roman" w:cs="Times New Roman"/>
          <w:b/>
          <w:bCs/>
          <w:sz w:val="24"/>
          <w:szCs w:val="24"/>
          <w:lang w:val="en-GB"/>
        </w:rPr>
        <w:t xml:space="preserve"> for CH</w:t>
      </w:r>
      <w:r w:rsidRPr="006E2AEC">
        <w:rPr>
          <w:rFonts w:ascii="Times New Roman" w:hAnsi="Times New Roman" w:cs="Times New Roman"/>
          <w:b/>
          <w:bCs/>
          <w:sz w:val="24"/>
          <w:szCs w:val="24"/>
          <w:vertAlign w:val="subscript"/>
          <w:lang w:val="en-GB"/>
        </w:rPr>
        <w:t>4</w:t>
      </w:r>
    </w:p>
    <w:p w14:paraId="4EB9D983"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 measurements, we estimate an indicative GSAT response function as a function of </w:t>
      </w:r>
      <w:proofErr w:type="spellStart"/>
      <w:r w:rsidRPr="004830C0">
        <w:rPr>
          <w:rFonts w:ascii="Times New Roman" w:hAnsi="Times New Roman" w:cs="Times New Roman"/>
          <w:i/>
          <w:iCs/>
          <w:sz w:val="24"/>
          <w:szCs w:val="24"/>
          <w:lang w:val="en-GB"/>
        </w:rPr>
        <w:t>lt</w:t>
      </w:r>
      <w:proofErr w:type="spellEnd"/>
      <w:r>
        <w:rPr>
          <w:rFonts w:ascii="Times New Roman" w:hAnsi="Times New Roman" w:cs="Times New Roman"/>
          <w:sz w:val="24"/>
          <w:szCs w:val="24"/>
          <w:lang w:val="en-GB"/>
        </w:rPr>
        <w:t xml:space="preserve"> for the </w:t>
      </w:r>
      <w:proofErr w:type="spellStart"/>
      <w:r w:rsidRPr="004830C0">
        <w:rPr>
          <w:rFonts w:ascii="Times New Roman" w:hAnsi="Times New Roman" w:cs="Times New Roman"/>
          <w:i/>
          <w:iCs/>
          <w:sz w:val="24"/>
          <w:szCs w:val="24"/>
          <w:lang w:val="en-GB"/>
        </w:rPr>
        <w:t>tep</w:t>
      </w:r>
      <w:proofErr w:type="spellEnd"/>
      <w:r>
        <w:rPr>
          <w:rFonts w:ascii="Times New Roman" w:hAnsi="Times New Roman" w:cs="Times New Roman"/>
          <w:sz w:val="24"/>
          <w:szCs w:val="24"/>
          <w:lang w:val="en-GB"/>
        </w:rPr>
        <w:t xml:space="preserve">-years 2→400: </w:t>
      </w:r>
    </w:p>
    <w:p w14:paraId="4ADA4BA2" w14:textId="77777777" w:rsidR="00224AEB" w:rsidRDefault="00224AEB" w:rsidP="00224AEB">
      <w:pPr>
        <w:ind w:right="521"/>
        <w:jc w:val="left"/>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GSAT</m:t>
              </m:r>
            </m:e>
            <m:sub>
              <m:r>
                <w:rPr>
                  <w:rFonts w:ascii="Cambria Math" w:hAnsi="Cambria Math" w:cs="Times New Roman"/>
                  <w:sz w:val="24"/>
                  <w:szCs w:val="24"/>
                  <w:lang w:val="en-GB"/>
                </w:rPr>
                <m:t>lt,tep</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lt,tep</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lt</m:t>
              </m:r>
            </m:e>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b</m:t>
                  </m:r>
                </m:e>
                <m:sub>
                  <m:r>
                    <w:rPr>
                      <w:rFonts w:ascii="Cambria Math" w:hAnsi="Cambria Math" w:cs="Times New Roman"/>
                      <w:sz w:val="24"/>
                      <w:szCs w:val="24"/>
                      <w:lang w:val="en-GB"/>
                    </w:rPr>
                    <m:t>lt,tep</m:t>
                  </m:r>
                </m:sub>
              </m:sSub>
            </m:sup>
          </m:sSup>
        </m:oMath>
      </m:oMathPara>
    </w:p>
    <w:p w14:paraId="339465E9"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w:p>
    <w:p w14:paraId="5F16703D" w14:textId="77777777" w:rsidR="00224AEB" w:rsidRDefault="00224AEB" w:rsidP="00224AEB">
      <w:pPr>
        <w:ind w:right="521"/>
        <w:jc w:val="left"/>
        <w:rPr>
          <w:rFonts w:ascii="Times New Roman" w:hAnsi="Times New Roman" w:cs="Times New Roman"/>
          <w:sz w:val="24"/>
          <w:szCs w:val="24"/>
          <w:lang w:val="en-GB"/>
        </w:rPr>
      </w:pPr>
      <w:r w:rsidRPr="00CF4A52">
        <w:rPr>
          <w:rFonts w:ascii="Times New Roman" w:hAnsi="Times New Roman" w:cs="Times New Roman"/>
          <w:i/>
          <w:iCs/>
          <w:sz w:val="24"/>
          <w:szCs w:val="24"/>
          <w:lang w:val="en-GB"/>
        </w:rPr>
        <w:t>a, b</w:t>
      </w:r>
      <w:r>
        <w:rPr>
          <w:rFonts w:ascii="Times New Roman" w:hAnsi="Times New Roman" w:cs="Times New Roman"/>
          <w:sz w:val="24"/>
          <w:szCs w:val="24"/>
          <w:lang w:val="en-GB"/>
        </w:rPr>
        <w:t xml:space="preserve"> = constants specified per </w:t>
      </w:r>
      <w:proofErr w:type="spellStart"/>
      <w:r w:rsidRPr="006F58E8">
        <w:rPr>
          <w:rFonts w:ascii="Times New Roman" w:hAnsi="Times New Roman" w:cs="Times New Roman"/>
          <w:i/>
          <w:iCs/>
          <w:sz w:val="24"/>
          <w:szCs w:val="24"/>
          <w:lang w:val="en-GB"/>
        </w:rPr>
        <w:t>lt</w:t>
      </w:r>
      <w:proofErr w:type="spellEnd"/>
      <w:r>
        <w:rPr>
          <w:rFonts w:ascii="Times New Roman" w:hAnsi="Times New Roman" w:cs="Times New Roman"/>
          <w:sz w:val="24"/>
          <w:szCs w:val="24"/>
          <w:lang w:val="en-GB"/>
        </w:rPr>
        <w:t xml:space="preserve"> and </w:t>
      </w:r>
      <w:proofErr w:type="spellStart"/>
      <w:r w:rsidRPr="006F58E8">
        <w:rPr>
          <w:rFonts w:ascii="Times New Roman" w:hAnsi="Times New Roman" w:cs="Times New Roman"/>
          <w:i/>
          <w:iCs/>
          <w:sz w:val="24"/>
          <w:szCs w:val="24"/>
          <w:lang w:val="en-GB"/>
        </w:rPr>
        <w:t>t</w:t>
      </w:r>
      <w:r>
        <w:rPr>
          <w:rFonts w:ascii="Times New Roman" w:hAnsi="Times New Roman" w:cs="Times New Roman"/>
          <w:i/>
          <w:iCs/>
          <w:sz w:val="24"/>
          <w:szCs w:val="24"/>
          <w:lang w:val="en-GB"/>
        </w:rPr>
        <w:t>ep</w:t>
      </w:r>
      <w:proofErr w:type="spellEnd"/>
    </w:p>
    <w:p w14:paraId="7ADCB0C5" w14:textId="77777777" w:rsidR="00224AEB" w:rsidRDefault="00224AEB" w:rsidP="00224AEB">
      <w:pPr>
        <w:ind w:right="521"/>
        <w:jc w:val="left"/>
        <w:rPr>
          <w:rFonts w:ascii="Times New Roman" w:hAnsi="Times New Roman" w:cs="Times New Roman"/>
          <w:sz w:val="24"/>
          <w:szCs w:val="24"/>
          <w:lang w:val="en-GB"/>
        </w:rPr>
      </w:pPr>
    </w:p>
    <w:p w14:paraId="7F7662E2"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For </w:t>
      </w:r>
      <w:proofErr w:type="spellStart"/>
      <w:r w:rsidRPr="00413F39">
        <w:rPr>
          <w:rFonts w:ascii="Times New Roman" w:hAnsi="Times New Roman" w:cs="Times New Roman"/>
          <w:i/>
          <w:iCs/>
          <w:sz w:val="24"/>
          <w:szCs w:val="24"/>
          <w:lang w:val="en-GB"/>
        </w:rPr>
        <w:t>tep</w:t>
      </w:r>
      <w:proofErr w:type="spellEnd"/>
      <w:r>
        <w:rPr>
          <w:rFonts w:ascii="Times New Roman" w:hAnsi="Times New Roman" w:cs="Times New Roman"/>
          <w:sz w:val="24"/>
          <w:szCs w:val="24"/>
          <w:lang w:val="en-GB"/>
        </w:rPr>
        <w:t xml:space="preserve">-values of 0 and 1 we used GSAT-values from the measurements. </w:t>
      </w:r>
    </w:p>
    <w:p w14:paraId="7BBC78E6" w14:textId="77777777" w:rsidR="00224AEB" w:rsidRDefault="00224AEB" w:rsidP="00224AEB">
      <w:pPr>
        <w:ind w:right="521"/>
        <w:jc w:val="left"/>
        <w:rPr>
          <w:rFonts w:ascii="Times New Roman" w:hAnsi="Times New Roman" w:cs="Times New Roman"/>
          <w:sz w:val="24"/>
          <w:szCs w:val="24"/>
          <w:lang w:val="en-GB"/>
        </w:rPr>
      </w:pPr>
    </w:p>
    <w:p w14:paraId="0877190D" w14:textId="77777777" w:rsidR="00224AEB" w:rsidRPr="00FA57D0" w:rsidRDefault="00224AEB" w:rsidP="00224AEB">
      <w:pPr>
        <w:ind w:right="521"/>
        <w:jc w:val="left"/>
        <w:rPr>
          <w:rFonts w:ascii="Times New Roman" w:hAnsi="Times New Roman" w:cs="Times New Roman"/>
          <w:b/>
          <w:bCs/>
          <w:sz w:val="24"/>
          <w:szCs w:val="24"/>
          <w:lang w:val="en-GB"/>
        </w:rPr>
      </w:pPr>
      <w:r w:rsidRPr="00FA57D0">
        <w:rPr>
          <w:rFonts w:ascii="Times New Roman" w:hAnsi="Times New Roman" w:cs="Times New Roman"/>
          <w:b/>
          <w:bCs/>
          <w:sz w:val="24"/>
          <w:szCs w:val="24"/>
          <w:lang w:val="en-GB"/>
        </w:rPr>
        <w:t xml:space="preserve">Step 3: Calculate response function for other SLCPs </w:t>
      </w:r>
    </w:p>
    <w:p w14:paraId="5C08C72F"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CH</w:t>
      </w:r>
      <w:r w:rsidRPr="00E36C42">
        <w:rPr>
          <w:rFonts w:ascii="Times New Roman" w:hAnsi="Times New Roman" w:cs="Times New Roman"/>
          <w:sz w:val="24"/>
          <w:szCs w:val="24"/>
          <w:vertAlign w:val="subscript"/>
          <w:lang w:val="en-GB"/>
        </w:rPr>
        <w:t>4</w:t>
      </w:r>
      <w:r>
        <w:rPr>
          <w:rFonts w:ascii="Times New Roman" w:hAnsi="Times New Roman" w:cs="Times New Roman"/>
          <w:sz w:val="24"/>
          <w:szCs w:val="24"/>
          <w:lang w:val="en-GB"/>
        </w:rPr>
        <w:t xml:space="preserve"> has an average climate perturbation lifetime of 11.8 years (</w:t>
      </w:r>
      <w:proofErr w:type="spellStart"/>
      <w:r>
        <w:rPr>
          <w:rFonts w:ascii="Times New Roman" w:hAnsi="Times New Roman" w:cs="Times New Roman"/>
          <w:sz w:val="24"/>
          <w:szCs w:val="24"/>
          <w:lang w:val="en-GB"/>
        </w:rPr>
        <w:t>Szopa</w:t>
      </w:r>
      <w:proofErr w:type="spellEnd"/>
      <w:r>
        <w:rPr>
          <w:rFonts w:ascii="Times New Roman" w:hAnsi="Times New Roman" w:cs="Times New Roman"/>
          <w:sz w:val="24"/>
          <w:szCs w:val="24"/>
          <w:lang w:val="en-GB"/>
        </w:rPr>
        <w:t xml:space="preserve">, Naik et al., 2021). The atmospheric lifetime of the other SLCP air pollutants varies much dependent on temperature, precipitation, wind strength etc. Based on information from the United States Agency for Toxic Substances and Disease Registry (2022), and AEA Technology (2022) we assume lifetimes of </w:t>
      </w:r>
      <w:r w:rsidRPr="00A95F1D">
        <w:rPr>
          <w:rFonts w:ascii="Times New Roman" w:hAnsi="Times New Roman" w:cs="Times New Roman"/>
          <w:sz w:val="24"/>
          <w:szCs w:val="24"/>
          <w:lang w:val="en-GB"/>
        </w:rPr>
        <w:t>0.027</w:t>
      </w:r>
      <w:r>
        <w:rPr>
          <w:rFonts w:ascii="Times New Roman" w:hAnsi="Times New Roman" w:cs="Times New Roman"/>
          <w:sz w:val="24"/>
          <w:szCs w:val="24"/>
          <w:lang w:val="en-GB"/>
        </w:rPr>
        <w:t xml:space="preserve"> year (10 days) for </w:t>
      </w:r>
      <w:proofErr w:type="spellStart"/>
      <w:r>
        <w:rPr>
          <w:rFonts w:ascii="Times New Roman" w:hAnsi="Times New Roman" w:cs="Times New Roman"/>
          <w:sz w:val="24"/>
          <w:szCs w:val="24"/>
          <w:lang w:val="en-GB"/>
        </w:rPr>
        <w:t>PMres</w:t>
      </w:r>
      <w:proofErr w:type="spellEnd"/>
      <w:r>
        <w:rPr>
          <w:rFonts w:ascii="Times New Roman" w:hAnsi="Times New Roman" w:cs="Times New Roman"/>
          <w:sz w:val="24"/>
          <w:szCs w:val="24"/>
          <w:lang w:val="en-GB"/>
        </w:rPr>
        <w:t>, BC, OC, &amp; SO</w:t>
      </w:r>
      <w:r w:rsidRPr="00E36C42">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and 0.01 year (3.65 days) for NMVOC, NO</w:t>
      </w:r>
      <w:r w:rsidRPr="00E36C42">
        <w:rPr>
          <w:rFonts w:ascii="Times New Roman" w:hAnsi="Times New Roman" w:cs="Times New Roman"/>
          <w:sz w:val="24"/>
          <w:szCs w:val="24"/>
          <w:vertAlign w:val="subscript"/>
          <w:lang w:val="en-GB"/>
        </w:rPr>
        <w:t>x</w:t>
      </w:r>
      <w:r>
        <w:rPr>
          <w:rFonts w:ascii="Times New Roman" w:hAnsi="Times New Roman" w:cs="Times New Roman"/>
          <w:sz w:val="24"/>
          <w:szCs w:val="24"/>
          <w:lang w:val="en-GB"/>
        </w:rPr>
        <w:t>, and NH</w:t>
      </w:r>
      <w:r w:rsidRPr="00E36C42">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w:t>
      </w:r>
    </w:p>
    <w:p w14:paraId="57CE5082"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these SLCF-specific lifetimes, we re-calculated </w:t>
      </w:r>
      <w:proofErr w:type="spellStart"/>
      <w:proofErr w:type="gramStart"/>
      <w:r w:rsidRPr="00AF1523">
        <w:rPr>
          <w:rFonts w:ascii="Times New Roman" w:hAnsi="Times New Roman" w:cs="Times New Roman"/>
          <w:i/>
          <w:iCs/>
          <w:sz w:val="24"/>
          <w:szCs w:val="24"/>
          <w:lang w:val="en-GB"/>
        </w:rPr>
        <w:t>GSAT</w:t>
      </w:r>
      <w:r w:rsidRPr="00AF1523">
        <w:rPr>
          <w:rFonts w:ascii="Times New Roman" w:hAnsi="Times New Roman" w:cs="Times New Roman"/>
          <w:i/>
          <w:iCs/>
          <w:sz w:val="24"/>
          <w:szCs w:val="24"/>
          <w:vertAlign w:val="subscript"/>
          <w:lang w:val="en-GB"/>
        </w:rPr>
        <w:t>lt,t</w:t>
      </w:r>
      <w:r>
        <w:rPr>
          <w:rFonts w:ascii="Times New Roman" w:hAnsi="Times New Roman" w:cs="Times New Roman"/>
          <w:i/>
          <w:iCs/>
          <w:sz w:val="24"/>
          <w:szCs w:val="24"/>
          <w:vertAlign w:val="subscript"/>
          <w:lang w:val="en-GB"/>
        </w:rPr>
        <w:t>ep</w:t>
      </w:r>
      <w:proofErr w:type="spellEnd"/>
      <w:proofErr w:type="gramEnd"/>
      <w:r>
        <w:rPr>
          <w:rFonts w:ascii="Times New Roman" w:hAnsi="Times New Roman" w:cs="Times New Roman"/>
          <w:sz w:val="24"/>
          <w:szCs w:val="24"/>
          <w:lang w:val="en-GB"/>
        </w:rPr>
        <w:t xml:space="preserve"> for each SLCF. We used </w:t>
      </w:r>
      <w:proofErr w:type="gramStart"/>
      <w:r w:rsidRPr="00AF1523">
        <w:rPr>
          <w:rFonts w:ascii="Times New Roman" w:hAnsi="Times New Roman" w:cs="Times New Roman"/>
          <w:i/>
          <w:iCs/>
          <w:sz w:val="24"/>
          <w:szCs w:val="24"/>
          <w:lang w:val="en-GB"/>
        </w:rPr>
        <w:t>a</w:t>
      </w:r>
      <w:r w:rsidRPr="00AF1523">
        <w:rPr>
          <w:rFonts w:ascii="Times New Roman" w:hAnsi="Times New Roman" w:cs="Times New Roman"/>
          <w:i/>
          <w:iCs/>
          <w:sz w:val="24"/>
          <w:szCs w:val="24"/>
          <w:vertAlign w:val="subscript"/>
          <w:lang w:val="en-GB"/>
        </w:rPr>
        <w:t>0.01,t</w:t>
      </w:r>
      <w:r>
        <w:rPr>
          <w:rFonts w:ascii="Times New Roman" w:hAnsi="Times New Roman" w:cs="Times New Roman"/>
          <w:i/>
          <w:iCs/>
          <w:sz w:val="24"/>
          <w:szCs w:val="24"/>
          <w:vertAlign w:val="subscript"/>
          <w:lang w:val="en-GB"/>
        </w:rPr>
        <w:t>ep</w:t>
      </w:r>
      <w:proofErr w:type="gramEnd"/>
      <w:r>
        <w:rPr>
          <w:rFonts w:ascii="Times New Roman" w:hAnsi="Times New Roman" w:cs="Times New Roman"/>
          <w:sz w:val="24"/>
          <w:szCs w:val="24"/>
          <w:lang w:val="en-GB"/>
        </w:rPr>
        <w:t xml:space="preserve"> and </w:t>
      </w:r>
      <w:r w:rsidRPr="00AF1523">
        <w:rPr>
          <w:rFonts w:ascii="Times New Roman" w:hAnsi="Times New Roman" w:cs="Times New Roman"/>
          <w:i/>
          <w:iCs/>
          <w:sz w:val="24"/>
          <w:szCs w:val="24"/>
          <w:lang w:val="en-GB"/>
        </w:rPr>
        <w:t>b</w:t>
      </w:r>
      <w:r w:rsidRPr="00AF1523">
        <w:rPr>
          <w:rFonts w:ascii="Times New Roman" w:hAnsi="Times New Roman" w:cs="Times New Roman"/>
          <w:i/>
          <w:iCs/>
          <w:sz w:val="24"/>
          <w:szCs w:val="24"/>
          <w:vertAlign w:val="subscript"/>
          <w:lang w:val="en-GB"/>
        </w:rPr>
        <w:t>0.01,t</w:t>
      </w:r>
      <w:r>
        <w:rPr>
          <w:rFonts w:ascii="Times New Roman" w:hAnsi="Times New Roman" w:cs="Times New Roman"/>
          <w:i/>
          <w:iCs/>
          <w:sz w:val="24"/>
          <w:szCs w:val="24"/>
          <w:vertAlign w:val="subscript"/>
          <w:lang w:val="en-GB"/>
        </w:rPr>
        <w:t>ep</w:t>
      </w:r>
      <w:r>
        <w:rPr>
          <w:rFonts w:ascii="Times New Roman" w:hAnsi="Times New Roman" w:cs="Times New Roman"/>
          <w:sz w:val="24"/>
          <w:szCs w:val="24"/>
          <w:lang w:val="en-GB"/>
        </w:rPr>
        <w:t xml:space="preserve"> values for </w:t>
      </w:r>
      <w:proofErr w:type="spellStart"/>
      <w:r>
        <w:rPr>
          <w:rFonts w:ascii="Times New Roman" w:hAnsi="Times New Roman" w:cs="Times New Roman"/>
          <w:sz w:val="24"/>
          <w:szCs w:val="24"/>
          <w:lang w:val="en-GB"/>
        </w:rPr>
        <w:t>PMres</w:t>
      </w:r>
      <w:proofErr w:type="spellEnd"/>
      <w:r>
        <w:rPr>
          <w:rFonts w:ascii="Times New Roman" w:hAnsi="Times New Roman" w:cs="Times New Roman"/>
          <w:sz w:val="24"/>
          <w:szCs w:val="24"/>
          <w:lang w:val="en-GB"/>
        </w:rPr>
        <w:t>, BC, OC, SO</w:t>
      </w:r>
      <w:r w:rsidRPr="00E36C42">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NMVOC, NO</w:t>
      </w:r>
      <w:r w:rsidRPr="00E36C42">
        <w:rPr>
          <w:rFonts w:ascii="Times New Roman" w:hAnsi="Times New Roman" w:cs="Times New Roman"/>
          <w:sz w:val="24"/>
          <w:szCs w:val="24"/>
          <w:vertAlign w:val="subscript"/>
          <w:lang w:val="en-GB"/>
        </w:rPr>
        <w:t>x</w:t>
      </w:r>
      <w:r>
        <w:rPr>
          <w:rFonts w:ascii="Times New Roman" w:hAnsi="Times New Roman" w:cs="Times New Roman"/>
          <w:sz w:val="24"/>
          <w:szCs w:val="24"/>
          <w:lang w:val="en-GB"/>
        </w:rPr>
        <w:t>, and NH</w:t>
      </w:r>
      <w:r w:rsidRPr="00E36C42">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We used </w:t>
      </w:r>
      <w:r w:rsidRPr="00AF1523">
        <w:rPr>
          <w:rFonts w:ascii="Times New Roman" w:hAnsi="Times New Roman" w:cs="Times New Roman"/>
          <w:i/>
          <w:iCs/>
          <w:sz w:val="24"/>
          <w:szCs w:val="24"/>
          <w:lang w:val="en-GB"/>
        </w:rPr>
        <w:t>a</w:t>
      </w:r>
      <w:proofErr w:type="gramStart"/>
      <w:r w:rsidRPr="00AF1523">
        <w:rPr>
          <w:rFonts w:ascii="Times New Roman" w:hAnsi="Times New Roman" w:cs="Times New Roman"/>
          <w:i/>
          <w:iCs/>
          <w:sz w:val="24"/>
          <w:szCs w:val="24"/>
          <w:vertAlign w:val="subscript"/>
          <w:lang w:val="en-GB"/>
        </w:rPr>
        <w:t>10,t</w:t>
      </w:r>
      <w:r>
        <w:rPr>
          <w:rFonts w:ascii="Times New Roman" w:hAnsi="Times New Roman" w:cs="Times New Roman"/>
          <w:i/>
          <w:iCs/>
          <w:sz w:val="24"/>
          <w:szCs w:val="24"/>
          <w:vertAlign w:val="subscript"/>
          <w:lang w:val="en-GB"/>
        </w:rPr>
        <w:t>ep</w:t>
      </w:r>
      <w:proofErr w:type="gramEnd"/>
      <w:r>
        <w:rPr>
          <w:rFonts w:ascii="Times New Roman" w:hAnsi="Times New Roman" w:cs="Times New Roman"/>
          <w:sz w:val="24"/>
          <w:szCs w:val="24"/>
          <w:lang w:val="en-GB"/>
        </w:rPr>
        <w:t xml:space="preserve"> and </w:t>
      </w:r>
      <w:r w:rsidRPr="00AF1523">
        <w:rPr>
          <w:rFonts w:ascii="Times New Roman" w:hAnsi="Times New Roman" w:cs="Times New Roman"/>
          <w:i/>
          <w:iCs/>
          <w:sz w:val="24"/>
          <w:szCs w:val="24"/>
          <w:lang w:val="en-GB"/>
        </w:rPr>
        <w:t>b</w:t>
      </w:r>
      <w:r w:rsidRPr="00AF1523">
        <w:rPr>
          <w:rFonts w:ascii="Times New Roman" w:hAnsi="Times New Roman" w:cs="Times New Roman"/>
          <w:i/>
          <w:iCs/>
          <w:sz w:val="24"/>
          <w:szCs w:val="24"/>
          <w:vertAlign w:val="subscript"/>
          <w:lang w:val="en-GB"/>
        </w:rPr>
        <w:t>10,t</w:t>
      </w:r>
      <w:r>
        <w:rPr>
          <w:rFonts w:ascii="Times New Roman" w:hAnsi="Times New Roman" w:cs="Times New Roman"/>
          <w:i/>
          <w:iCs/>
          <w:sz w:val="24"/>
          <w:szCs w:val="24"/>
          <w:vertAlign w:val="subscript"/>
          <w:lang w:val="en-GB"/>
        </w:rPr>
        <w:t>ep</w:t>
      </w:r>
      <w:r>
        <w:rPr>
          <w:rFonts w:ascii="Times New Roman" w:hAnsi="Times New Roman" w:cs="Times New Roman"/>
          <w:sz w:val="24"/>
          <w:szCs w:val="24"/>
          <w:lang w:val="en-GB"/>
        </w:rPr>
        <w:t xml:space="preserve"> values for CH</w:t>
      </w:r>
      <w:r w:rsidRPr="0061469D">
        <w:rPr>
          <w:rFonts w:ascii="Times New Roman" w:hAnsi="Times New Roman" w:cs="Times New Roman"/>
          <w:sz w:val="24"/>
          <w:szCs w:val="24"/>
          <w:vertAlign w:val="subscript"/>
          <w:lang w:val="en-GB"/>
        </w:rPr>
        <w:t>4</w:t>
      </w:r>
      <w:r>
        <w:rPr>
          <w:rFonts w:ascii="Times New Roman" w:hAnsi="Times New Roman" w:cs="Times New Roman"/>
          <w:sz w:val="24"/>
          <w:szCs w:val="24"/>
          <w:lang w:val="en-GB"/>
        </w:rPr>
        <w:t>.</w:t>
      </w:r>
    </w:p>
    <w:p w14:paraId="20F35D6D" w14:textId="77777777" w:rsidR="00224AEB" w:rsidRDefault="00224AEB" w:rsidP="00224AEB">
      <w:pPr>
        <w:ind w:right="521"/>
        <w:jc w:val="left"/>
        <w:rPr>
          <w:rFonts w:ascii="Times New Roman" w:hAnsi="Times New Roman" w:cs="Times New Roman"/>
          <w:sz w:val="24"/>
          <w:szCs w:val="24"/>
          <w:lang w:val="en-GB"/>
        </w:rPr>
      </w:pPr>
    </w:p>
    <w:p w14:paraId="3353DC0A" w14:textId="77777777" w:rsidR="00224AEB" w:rsidRPr="009F58FF" w:rsidRDefault="00224AEB" w:rsidP="00224AEB">
      <w:pPr>
        <w:ind w:right="521"/>
        <w:jc w:val="left"/>
        <w:rPr>
          <w:rFonts w:ascii="Times New Roman" w:hAnsi="Times New Roman" w:cs="Times New Roman"/>
          <w:b/>
          <w:bCs/>
          <w:sz w:val="24"/>
          <w:szCs w:val="24"/>
          <w:lang w:val="en-GB"/>
        </w:rPr>
      </w:pPr>
      <w:r w:rsidRPr="009F58FF">
        <w:rPr>
          <w:rFonts w:ascii="Times New Roman" w:hAnsi="Times New Roman" w:cs="Times New Roman"/>
          <w:b/>
          <w:bCs/>
          <w:sz w:val="24"/>
          <w:szCs w:val="24"/>
          <w:lang w:val="en-GB"/>
        </w:rPr>
        <w:t xml:space="preserve">Step 4: Calculate GSAT-ratios for each SLCF and </w:t>
      </w:r>
      <w:r w:rsidRPr="009F58FF">
        <w:rPr>
          <w:rFonts w:ascii="Times New Roman" w:hAnsi="Times New Roman" w:cs="Times New Roman"/>
          <w:b/>
          <w:bCs/>
          <w:i/>
          <w:iCs/>
          <w:sz w:val="24"/>
          <w:szCs w:val="24"/>
          <w:lang w:val="en-GB"/>
        </w:rPr>
        <w:t>tep</w:t>
      </w:r>
      <w:r w:rsidRPr="009F58FF">
        <w:rPr>
          <w:rFonts w:ascii="Times New Roman" w:hAnsi="Times New Roman" w:cs="Times New Roman"/>
          <w:b/>
          <w:bCs/>
          <w:i/>
          <w:iCs/>
          <w:sz w:val="24"/>
          <w:szCs w:val="24"/>
          <w:vertAlign w:val="subscript"/>
          <w:lang w:val="en-GB"/>
        </w:rPr>
        <w:t>0→400</w:t>
      </w:r>
      <w:r w:rsidRPr="009F58FF">
        <w:rPr>
          <w:rFonts w:ascii="Times New Roman" w:hAnsi="Times New Roman" w:cs="Times New Roman"/>
          <w:b/>
          <w:bCs/>
          <w:sz w:val="24"/>
          <w:szCs w:val="24"/>
          <w:lang w:val="en-GB"/>
        </w:rPr>
        <w:t xml:space="preserve">. </w:t>
      </w:r>
    </w:p>
    <w:p w14:paraId="332D4360"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Based on the estimated SLCF-specific GSAT values, we then calculate the annual incremental contribution to GSAT. </w:t>
      </w:r>
    </w:p>
    <w:p w14:paraId="6A7E883F" w14:textId="77777777" w:rsidR="00224AEB" w:rsidRDefault="00224AEB" w:rsidP="00224AEB">
      <w:pPr>
        <w:ind w:right="521"/>
        <w:jc w:val="left"/>
        <w:rPr>
          <w:rFonts w:ascii="Times New Roman" w:hAnsi="Times New Roman" w:cs="Times New Roman"/>
          <w:sz w:val="24"/>
          <w:szCs w:val="24"/>
          <w:lang w:val="en-GB"/>
        </w:rPr>
      </w:pPr>
    </w:p>
    <w:p w14:paraId="133DD8F1" w14:textId="77777777" w:rsidR="00224AEB" w:rsidRPr="004F7400" w:rsidRDefault="00224AEB" w:rsidP="00224AEB">
      <w:pPr>
        <w:ind w:right="521"/>
        <w:jc w:val="left"/>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GSATratio</m:t>
              </m:r>
            </m:e>
            <m:sub>
              <m:r>
                <w:rPr>
                  <w:rFonts w:ascii="Cambria Math" w:hAnsi="Cambria Math" w:cs="Times New Roman"/>
                  <w:sz w:val="24"/>
                  <w:szCs w:val="24"/>
                  <w:lang w:val="en-GB"/>
                </w:rPr>
                <m:t>SCLF, tep</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GSAT</m:t>
                  </m:r>
                </m:e>
                <m:sub>
                  <m:r>
                    <w:rPr>
                      <w:rFonts w:ascii="Cambria Math" w:hAnsi="Cambria Math" w:cs="Times New Roman"/>
                      <w:sz w:val="24"/>
                      <w:szCs w:val="24"/>
                      <w:lang w:val="en-GB"/>
                    </w:rPr>
                    <m:t>SCLF,tep</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GSAT</m:t>
                  </m:r>
                </m:e>
                <m:sub>
                  <m:r>
                    <w:rPr>
                      <w:rFonts w:ascii="Cambria Math" w:hAnsi="Cambria Math" w:cs="Times New Roman"/>
                      <w:sz w:val="24"/>
                      <w:szCs w:val="24"/>
                      <w:lang w:val="en-GB"/>
                    </w:rPr>
                    <m:t>SLCF,tep-1</m:t>
                  </m:r>
                </m:sub>
              </m:sSub>
              <m:r>
                <w:rPr>
                  <w:rFonts w:ascii="Cambria Math" w:hAnsi="Cambria Math" w:cs="Times New Roman"/>
                  <w:sz w:val="24"/>
                  <w:szCs w:val="24"/>
                  <w:lang w:val="en-GB"/>
                </w:rPr>
                <m:t>)</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GSAT</m:t>
                  </m:r>
                </m:e>
                <m:sub>
                  <m:r>
                    <w:rPr>
                      <w:rFonts w:ascii="Cambria Math" w:hAnsi="Cambria Math" w:cs="Times New Roman"/>
                      <w:sz w:val="24"/>
                      <w:szCs w:val="24"/>
                      <w:lang w:val="en-GB"/>
                    </w:rPr>
                    <m:t>TEP</m:t>
                  </m:r>
                </m:sub>
              </m:sSub>
            </m:den>
          </m:f>
        </m:oMath>
      </m:oMathPara>
    </w:p>
    <w:p w14:paraId="46B85949" w14:textId="77777777" w:rsidR="00224AEB" w:rsidRDefault="00224AEB" w:rsidP="00224AEB">
      <w:pPr>
        <w:ind w:right="521"/>
        <w:jc w:val="left"/>
        <w:rPr>
          <w:rFonts w:ascii="Times New Roman" w:hAnsi="Times New Roman" w:cs="Times New Roman"/>
          <w:sz w:val="24"/>
          <w:szCs w:val="24"/>
          <w:lang w:val="en-GB"/>
        </w:rPr>
      </w:pPr>
    </w:p>
    <w:p w14:paraId="29462727"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w:proofErr w:type="spellStart"/>
      <w:r w:rsidRPr="008E1605">
        <w:rPr>
          <w:rFonts w:ascii="Times New Roman" w:hAnsi="Times New Roman" w:cs="Times New Roman"/>
          <w:i/>
          <w:iCs/>
          <w:sz w:val="24"/>
          <w:szCs w:val="24"/>
          <w:lang w:val="en-GB"/>
        </w:rPr>
        <w:t>GSAT</w:t>
      </w:r>
      <w:r>
        <w:rPr>
          <w:rFonts w:ascii="Times New Roman" w:hAnsi="Times New Roman" w:cs="Times New Roman"/>
          <w:i/>
          <w:iCs/>
          <w:sz w:val="24"/>
          <w:szCs w:val="24"/>
          <w:vertAlign w:val="subscript"/>
          <w:lang w:val="en-GB"/>
        </w:rPr>
        <w:t>tep</w:t>
      </w:r>
      <w:proofErr w:type="spellEnd"/>
      <w:r w:rsidRPr="008E1605">
        <w:rPr>
          <w:rFonts w:ascii="Times New Roman" w:hAnsi="Times New Roman" w:cs="Times New Roman"/>
          <w:i/>
          <w:iCs/>
          <w:sz w:val="24"/>
          <w:szCs w:val="24"/>
          <w:vertAlign w:val="subscript"/>
          <w:lang w:val="en-GB"/>
        </w:rPr>
        <w:t>=0</w:t>
      </w:r>
      <w:r>
        <w:rPr>
          <w:rFonts w:ascii="Times New Roman" w:hAnsi="Times New Roman" w:cs="Times New Roman"/>
          <w:sz w:val="24"/>
          <w:szCs w:val="24"/>
          <w:lang w:val="en-GB"/>
        </w:rPr>
        <w:t xml:space="preserve"> = 0, and </w:t>
      </w:r>
      <w:r w:rsidRPr="001E3DFF">
        <w:rPr>
          <w:rFonts w:ascii="Times New Roman" w:hAnsi="Times New Roman" w:cs="Times New Roman"/>
          <w:i/>
          <w:iCs/>
          <w:sz w:val="24"/>
          <w:szCs w:val="24"/>
          <w:lang w:val="en-GB"/>
        </w:rPr>
        <w:t>GSAT</w:t>
      </w:r>
      <w:r w:rsidRPr="001E3DFF">
        <w:rPr>
          <w:rFonts w:ascii="Times New Roman" w:hAnsi="Times New Roman" w:cs="Times New Roman"/>
          <w:i/>
          <w:iCs/>
          <w:sz w:val="24"/>
          <w:szCs w:val="24"/>
          <w:vertAlign w:val="subscript"/>
          <w:lang w:val="en-GB"/>
        </w:rPr>
        <w:t>T</w:t>
      </w:r>
      <w:r>
        <w:rPr>
          <w:rFonts w:ascii="Times New Roman" w:hAnsi="Times New Roman" w:cs="Times New Roman"/>
          <w:i/>
          <w:iCs/>
          <w:sz w:val="24"/>
          <w:szCs w:val="24"/>
          <w:vertAlign w:val="subscript"/>
          <w:lang w:val="en-GB"/>
        </w:rPr>
        <w:t>EP</w:t>
      </w:r>
      <w:r>
        <w:rPr>
          <w:rFonts w:ascii="Times New Roman" w:hAnsi="Times New Roman" w:cs="Times New Roman"/>
          <w:sz w:val="24"/>
          <w:szCs w:val="24"/>
          <w:lang w:val="en-GB"/>
        </w:rPr>
        <w:t xml:space="preserve"> = 0.69 (the temperature response at </w:t>
      </w:r>
      <w:proofErr w:type="spellStart"/>
      <w:r w:rsidRPr="00D40C65">
        <w:rPr>
          <w:rFonts w:ascii="Times New Roman" w:hAnsi="Times New Roman" w:cs="Times New Roman"/>
          <w:i/>
          <w:iCs/>
          <w:sz w:val="24"/>
          <w:szCs w:val="24"/>
          <w:lang w:val="en-GB"/>
        </w:rPr>
        <w:t>tep</w:t>
      </w:r>
      <w:proofErr w:type="spellEnd"/>
      <w:r>
        <w:rPr>
          <w:rFonts w:ascii="Times New Roman" w:hAnsi="Times New Roman" w:cs="Times New Roman"/>
          <w:sz w:val="24"/>
          <w:szCs w:val="24"/>
          <w:lang w:val="en-GB"/>
        </w:rPr>
        <w:t>=400).</w:t>
      </w:r>
    </w:p>
    <w:p w14:paraId="0358D0A6" w14:textId="77777777" w:rsidR="00224AEB" w:rsidRDefault="00224AEB" w:rsidP="00224AEB">
      <w:pPr>
        <w:ind w:right="521"/>
        <w:jc w:val="left"/>
        <w:rPr>
          <w:rFonts w:ascii="Times New Roman" w:hAnsi="Times New Roman" w:cs="Times New Roman"/>
          <w:sz w:val="24"/>
          <w:szCs w:val="24"/>
          <w:lang w:val="en-GB"/>
        </w:rPr>
      </w:pPr>
    </w:p>
    <w:p w14:paraId="01491CBE" w14:textId="77777777" w:rsidR="00224AEB" w:rsidRPr="007F7331" w:rsidRDefault="00224AEB" w:rsidP="00224AEB">
      <w:pPr>
        <w:ind w:right="521"/>
        <w:jc w:val="left"/>
        <w:rPr>
          <w:rFonts w:ascii="Times New Roman" w:hAnsi="Times New Roman" w:cs="Times New Roman"/>
          <w:b/>
          <w:bCs/>
          <w:sz w:val="24"/>
          <w:szCs w:val="24"/>
          <w:lang w:val="en-GB"/>
        </w:rPr>
      </w:pPr>
      <w:r w:rsidRPr="007F7331">
        <w:rPr>
          <w:rFonts w:ascii="Times New Roman" w:hAnsi="Times New Roman" w:cs="Times New Roman"/>
          <w:b/>
          <w:bCs/>
          <w:sz w:val="24"/>
          <w:szCs w:val="24"/>
          <w:lang w:val="en-GB"/>
        </w:rPr>
        <w:t>Step 5: Calibrate cumulative cost of CH</w:t>
      </w:r>
      <w:r w:rsidRPr="007F7331">
        <w:rPr>
          <w:rFonts w:ascii="Times New Roman" w:hAnsi="Times New Roman" w:cs="Times New Roman"/>
          <w:b/>
          <w:bCs/>
          <w:sz w:val="24"/>
          <w:szCs w:val="24"/>
          <w:vertAlign w:val="subscript"/>
          <w:lang w:val="en-GB"/>
        </w:rPr>
        <w:t>4</w:t>
      </w:r>
      <w:r w:rsidRPr="007F7331">
        <w:rPr>
          <w:rFonts w:ascii="Times New Roman" w:hAnsi="Times New Roman" w:cs="Times New Roman"/>
          <w:b/>
          <w:bCs/>
          <w:sz w:val="24"/>
          <w:szCs w:val="24"/>
          <w:lang w:val="en-GB"/>
        </w:rPr>
        <w:t xml:space="preserve"> = </w:t>
      </w:r>
      <w:r w:rsidRPr="007F7331">
        <w:rPr>
          <w:rFonts w:ascii="Times New Roman" w:hAnsi="Times New Roman" w:cs="Times New Roman"/>
          <w:b/>
          <w:bCs/>
          <w:i/>
          <w:iCs/>
          <w:sz w:val="24"/>
          <w:szCs w:val="24"/>
          <w:lang w:val="en-GB"/>
        </w:rPr>
        <w:t>A</w:t>
      </w:r>
    </w:p>
    <w:p w14:paraId="6CE04D7B"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The IWG (2021) presents net present values of the social cost of methane specified per emission year and discount rate </w:t>
      </w:r>
      <w:proofErr w:type="spellStart"/>
      <w:r w:rsidRPr="002F1AFE">
        <w:rPr>
          <w:rFonts w:ascii="Times New Roman" w:hAnsi="Times New Roman" w:cs="Times New Roman"/>
          <w:i/>
          <w:iCs/>
          <w:sz w:val="24"/>
          <w:szCs w:val="24"/>
          <w:lang w:val="en-GB"/>
        </w:rPr>
        <w:t>i</w:t>
      </w:r>
      <w:proofErr w:type="spellEnd"/>
      <w:r>
        <w:rPr>
          <w:rFonts w:ascii="Times New Roman" w:hAnsi="Times New Roman" w:cs="Times New Roman"/>
          <w:sz w:val="24"/>
          <w:szCs w:val="24"/>
          <w:lang w:val="en-GB"/>
        </w:rPr>
        <w:t xml:space="preserve">. Based on the GSAT-ratio, IWG-values for </w:t>
      </w:r>
      <w:proofErr w:type="spellStart"/>
      <w:r w:rsidRPr="002F1AFE">
        <w:rPr>
          <w:rFonts w:ascii="Times New Roman" w:hAnsi="Times New Roman" w:cs="Times New Roman"/>
          <w:i/>
          <w:iCs/>
          <w:sz w:val="24"/>
          <w:szCs w:val="24"/>
          <w:lang w:val="en-GB"/>
        </w:rPr>
        <w:t>i</w:t>
      </w:r>
      <w:proofErr w:type="spellEnd"/>
      <w:r>
        <w:rPr>
          <w:rFonts w:ascii="Times New Roman" w:hAnsi="Times New Roman" w:cs="Times New Roman"/>
          <w:sz w:val="24"/>
          <w:szCs w:val="24"/>
          <w:lang w:val="en-GB"/>
        </w:rPr>
        <w:t xml:space="preserve"> and a standard net present value function we can identify a cumulative, non-discounted cost of CH</w:t>
      </w:r>
      <w:r w:rsidRPr="002F1D67">
        <w:rPr>
          <w:rFonts w:ascii="Times New Roman" w:hAnsi="Times New Roman" w:cs="Times New Roman"/>
          <w:sz w:val="24"/>
          <w:szCs w:val="24"/>
          <w:vertAlign w:val="subscript"/>
          <w:lang w:val="en-GB"/>
        </w:rPr>
        <w:t>4</w:t>
      </w:r>
      <w:r>
        <w:rPr>
          <w:rFonts w:ascii="Times New Roman" w:hAnsi="Times New Roman" w:cs="Times New Roman"/>
          <w:sz w:val="24"/>
          <w:szCs w:val="24"/>
          <w:lang w:val="en-GB"/>
        </w:rPr>
        <w:t xml:space="preserve">, </w:t>
      </w:r>
      <w:r w:rsidRPr="002F1AFE">
        <w:rPr>
          <w:rFonts w:ascii="Times New Roman" w:hAnsi="Times New Roman" w:cs="Times New Roman"/>
          <w:i/>
          <w:iCs/>
          <w:sz w:val="24"/>
          <w:szCs w:val="24"/>
          <w:lang w:val="en-GB"/>
        </w:rPr>
        <w:t>A</w:t>
      </w:r>
      <w:r>
        <w:rPr>
          <w:rFonts w:ascii="Times New Roman" w:hAnsi="Times New Roman" w:cs="Times New Roman"/>
          <w:sz w:val="24"/>
          <w:szCs w:val="24"/>
          <w:lang w:val="en-GB"/>
        </w:rPr>
        <w:t>.</w:t>
      </w:r>
    </w:p>
    <w:p w14:paraId="74096B2E"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The value of </w:t>
      </w:r>
      <w:r w:rsidRPr="00103BCB">
        <w:rPr>
          <w:rFonts w:ascii="Times New Roman" w:hAnsi="Times New Roman" w:cs="Times New Roman"/>
          <w:i/>
          <w:iCs/>
          <w:sz w:val="24"/>
          <w:szCs w:val="24"/>
          <w:lang w:val="en-GB"/>
        </w:rPr>
        <w:t>A</w:t>
      </w:r>
      <w:r w:rsidRPr="00103BCB">
        <w:rPr>
          <w:rFonts w:ascii="Times New Roman" w:hAnsi="Times New Roman" w:cs="Times New Roman"/>
          <w:i/>
          <w:iCs/>
          <w:sz w:val="24"/>
          <w:szCs w:val="24"/>
          <w:vertAlign w:val="subscript"/>
          <w:lang w:val="en-GB"/>
        </w:rPr>
        <w:t>CH</w:t>
      </w:r>
      <w:proofErr w:type="gramStart"/>
      <w:r w:rsidRPr="00103BCB">
        <w:rPr>
          <w:rFonts w:ascii="Times New Roman" w:hAnsi="Times New Roman" w:cs="Times New Roman"/>
          <w:i/>
          <w:iCs/>
          <w:sz w:val="24"/>
          <w:szCs w:val="24"/>
          <w:vertAlign w:val="subscript"/>
          <w:lang w:val="en-GB"/>
        </w:rPr>
        <w:t>4,i</w:t>
      </w:r>
      <w:proofErr w:type="gramEnd"/>
      <w:r>
        <w:rPr>
          <w:rFonts w:ascii="Times New Roman" w:hAnsi="Times New Roman" w:cs="Times New Roman"/>
          <w:sz w:val="24"/>
          <w:szCs w:val="24"/>
          <w:lang w:val="en-GB"/>
        </w:rPr>
        <w:t xml:space="preserve"> is identified just by using the goal seek function in Microsoft Excel on the following function.</w:t>
      </w:r>
    </w:p>
    <w:p w14:paraId="2861C710" w14:textId="77777777" w:rsidR="00224AEB" w:rsidRDefault="00224AEB" w:rsidP="00224AEB">
      <w:pPr>
        <w:ind w:right="521"/>
        <w:jc w:val="left"/>
        <w:rPr>
          <w:rFonts w:ascii="Times New Roman" w:hAnsi="Times New Roman" w:cs="Times New Roman"/>
          <w:sz w:val="24"/>
          <w:szCs w:val="24"/>
          <w:lang w:val="en-GB"/>
        </w:rPr>
      </w:pPr>
    </w:p>
    <w:p w14:paraId="4A1E7453" w14:textId="77777777" w:rsidR="00224AEB" w:rsidRDefault="00224AEB" w:rsidP="00224AEB">
      <w:pPr>
        <w:ind w:right="521"/>
        <w:jc w:val="left"/>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SCM</m:t>
              </m:r>
            </m:e>
            <m:sub>
              <m:r>
                <w:rPr>
                  <w:rFonts w:ascii="Cambria Math" w:hAnsi="Cambria Math" w:cs="Times New Roman"/>
                  <w:sz w:val="24"/>
                  <w:szCs w:val="24"/>
                  <w:lang w:val="en-GB"/>
                </w:rPr>
                <m:t>IWG,CH4,i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NPV</m:t>
              </m:r>
            </m:e>
            <m:sub>
              <m:r>
                <w:rPr>
                  <w:rFonts w:ascii="Cambria Math" w:hAnsi="Cambria Math" w:cs="Times New Roman"/>
                  <w:sz w:val="24"/>
                  <w:szCs w:val="24"/>
                  <w:lang w:val="en-GB"/>
                </w:rPr>
                <m:t>CH4,i</m:t>
              </m:r>
            </m:sub>
          </m:sSub>
          <m:r>
            <w:rPr>
              <w:rFonts w:ascii="Cambria Math" w:hAnsi="Cambria Math" w:cs="Times New Roman"/>
              <w:sz w:val="24"/>
              <w:szCs w:val="24"/>
              <w:lang w:val="en-GB"/>
            </w:rPr>
            <m:t xml:space="preserve">= </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tep=1</m:t>
              </m:r>
            </m:sub>
            <m:sup>
              <m:r>
                <w:rPr>
                  <w:rFonts w:ascii="Cambria Math" w:hAnsi="Cambria Math" w:cs="Times New Roman"/>
                  <w:sz w:val="24"/>
                  <w:szCs w:val="24"/>
                  <w:lang w:val="en-GB"/>
                </w:rPr>
                <m:t>tep=400</m:t>
              </m:r>
            </m:sup>
            <m:e>
              <m:f>
                <m:fPr>
                  <m:ctrlPr>
                    <w:rPr>
                      <w:rFonts w:ascii="Cambria Math" w:hAnsi="Cambria Math" w:cs="Times New Roman"/>
                      <w:i/>
                      <w:sz w:val="24"/>
                      <w:szCs w:val="24"/>
                      <w:lang w:val="en-GB"/>
                    </w:rPr>
                  </m:ctrlPr>
                </m:fPr>
                <m:num>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CH4,i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GSATratio</m:t>
                      </m:r>
                    </m:e>
                    <m:sub>
                      <m:r>
                        <w:rPr>
                          <w:rFonts w:ascii="Cambria Math" w:hAnsi="Cambria Math" w:cs="Times New Roman"/>
                          <w:sz w:val="24"/>
                          <w:szCs w:val="24"/>
                          <w:lang w:val="en-GB"/>
                        </w:rPr>
                        <m:t>CH4,tep</m:t>
                      </m:r>
                    </m:sub>
                  </m:sSub>
                  <m:r>
                    <w:rPr>
                      <w:rFonts w:ascii="Cambria Math" w:hAnsi="Cambria Math" w:cs="Times New Roman"/>
                      <w:sz w:val="24"/>
                      <w:szCs w:val="24"/>
                      <w:lang w:val="en-GB"/>
                    </w:rPr>
                    <m:t>)</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(1+i)</m:t>
                      </m:r>
                    </m:e>
                    <m:sup>
                      <m:r>
                        <w:rPr>
                          <w:rFonts w:ascii="Cambria Math" w:hAnsi="Cambria Math" w:cs="Times New Roman"/>
                          <w:sz w:val="24"/>
                          <w:szCs w:val="24"/>
                          <w:lang w:val="en-GB"/>
                        </w:rPr>
                        <m:t>tep</m:t>
                      </m:r>
                    </m:sup>
                  </m:sSup>
                </m:den>
              </m:f>
            </m:e>
          </m:nary>
        </m:oMath>
      </m:oMathPara>
    </w:p>
    <w:p w14:paraId="0D6160E2" w14:textId="77777777" w:rsidR="00224AEB" w:rsidRDefault="00224AEB" w:rsidP="00224AEB">
      <w:pPr>
        <w:ind w:right="521"/>
        <w:jc w:val="left"/>
        <w:rPr>
          <w:rFonts w:ascii="Times New Roman" w:hAnsi="Times New Roman" w:cs="Times New Roman"/>
          <w:sz w:val="24"/>
          <w:szCs w:val="24"/>
          <w:lang w:val="en-GB"/>
        </w:rPr>
      </w:pPr>
    </w:p>
    <w:p w14:paraId="6BCE7193" w14:textId="77777777" w:rsidR="00224AEB" w:rsidRDefault="00224AEB" w:rsidP="00224AEB">
      <w:pPr>
        <w:ind w:right="521"/>
        <w:jc w:val="left"/>
        <w:rPr>
          <w:rFonts w:ascii="Times New Roman" w:hAnsi="Times New Roman" w:cs="Times New Roman"/>
          <w:sz w:val="24"/>
          <w:szCs w:val="24"/>
          <w:lang w:val="en-GB"/>
        </w:rPr>
      </w:pPr>
      <w:r w:rsidRPr="00D464C6">
        <w:rPr>
          <w:rFonts w:ascii="Times New Roman" w:hAnsi="Times New Roman" w:cs="Times New Roman"/>
          <w:i/>
          <w:iCs/>
          <w:sz w:val="24"/>
          <w:szCs w:val="24"/>
          <w:lang w:val="en-GB"/>
        </w:rPr>
        <w:t>A</w:t>
      </w:r>
      <w:r w:rsidRPr="00D464C6">
        <w:rPr>
          <w:rFonts w:ascii="Times New Roman" w:hAnsi="Times New Roman" w:cs="Times New Roman"/>
          <w:i/>
          <w:iCs/>
          <w:sz w:val="24"/>
          <w:szCs w:val="24"/>
          <w:vertAlign w:val="subscript"/>
          <w:lang w:val="en-GB"/>
        </w:rPr>
        <w:t>CH4</w:t>
      </w:r>
      <w:r>
        <w:rPr>
          <w:rFonts w:ascii="Times New Roman" w:hAnsi="Times New Roman" w:cs="Times New Roman"/>
          <w:sz w:val="24"/>
          <w:szCs w:val="24"/>
          <w:lang w:val="en-GB"/>
        </w:rPr>
        <w:t xml:space="preserve"> is identified for the emission years (</w:t>
      </w:r>
      <w:r w:rsidRPr="002D5CDD">
        <w:rPr>
          <w:rFonts w:ascii="Times New Roman" w:hAnsi="Times New Roman" w:cs="Times New Roman"/>
          <w:i/>
          <w:iCs/>
          <w:sz w:val="24"/>
          <w:szCs w:val="24"/>
          <w:lang w:val="en-GB"/>
        </w:rPr>
        <w:t>t</w:t>
      </w:r>
      <w:r>
        <w:rPr>
          <w:rFonts w:ascii="Times New Roman" w:hAnsi="Times New Roman" w:cs="Times New Roman"/>
          <w:sz w:val="24"/>
          <w:szCs w:val="24"/>
          <w:lang w:val="en-GB"/>
        </w:rPr>
        <w:t xml:space="preserve">) 2020, 2025, 2030, 2035, 2040, 2045, 2050 and the discount rates 2.5%, 3%, and 5%. </w:t>
      </w:r>
    </w:p>
    <w:p w14:paraId="69E80C6F" w14:textId="77777777" w:rsidR="00224AEB" w:rsidRDefault="00224AEB" w:rsidP="00224AEB">
      <w:pPr>
        <w:ind w:right="521"/>
        <w:jc w:val="left"/>
        <w:rPr>
          <w:rFonts w:ascii="Times New Roman" w:hAnsi="Times New Roman" w:cs="Times New Roman"/>
          <w:sz w:val="24"/>
          <w:szCs w:val="24"/>
          <w:lang w:val="en-GB"/>
        </w:rPr>
      </w:pPr>
    </w:p>
    <w:p w14:paraId="0631FE3B" w14:textId="77777777" w:rsidR="00224AEB" w:rsidRPr="007F7331" w:rsidRDefault="00224AEB" w:rsidP="00224AEB">
      <w:pPr>
        <w:ind w:right="521"/>
        <w:jc w:val="left"/>
        <w:rPr>
          <w:rFonts w:ascii="Times New Roman" w:hAnsi="Times New Roman" w:cs="Times New Roman"/>
          <w:b/>
          <w:bCs/>
          <w:sz w:val="24"/>
          <w:szCs w:val="24"/>
          <w:lang w:val="en-GB"/>
        </w:rPr>
      </w:pPr>
      <w:r w:rsidRPr="007F7331">
        <w:rPr>
          <w:rFonts w:ascii="Times New Roman" w:hAnsi="Times New Roman" w:cs="Times New Roman"/>
          <w:b/>
          <w:bCs/>
          <w:sz w:val="24"/>
          <w:szCs w:val="24"/>
          <w:lang w:val="en-GB"/>
        </w:rPr>
        <w:t xml:space="preserve">Step 6: calculating </w:t>
      </w:r>
      <w:r>
        <w:rPr>
          <w:rFonts w:ascii="Times New Roman" w:hAnsi="Times New Roman" w:cs="Times New Roman"/>
          <w:b/>
          <w:bCs/>
          <w:sz w:val="24"/>
          <w:szCs w:val="24"/>
          <w:lang w:val="en-GB"/>
        </w:rPr>
        <w:t>unit damage costs</w:t>
      </w:r>
      <w:r w:rsidRPr="007F7331">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per</w:t>
      </w:r>
      <w:r w:rsidRPr="007F7331">
        <w:rPr>
          <w:rFonts w:ascii="Times New Roman" w:hAnsi="Times New Roman" w:cs="Times New Roman"/>
          <w:b/>
          <w:bCs/>
          <w:sz w:val="24"/>
          <w:szCs w:val="24"/>
          <w:lang w:val="en-GB"/>
        </w:rPr>
        <w:t xml:space="preserve"> SLCF</w:t>
      </w:r>
      <w:r>
        <w:rPr>
          <w:rFonts w:ascii="Times New Roman" w:hAnsi="Times New Roman" w:cs="Times New Roman"/>
          <w:b/>
          <w:bCs/>
          <w:sz w:val="24"/>
          <w:szCs w:val="24"/>
          <w:lang w:val="en-GB"/>
        </w:rPr>
        <w:t>, discount rate and emission year</w:t>
      </w:r>
    </w:p>
    <w:p w14:paraId="46F2D33B" w14:textId="77777777" w:rsidR="00224AEB" w:rsidRDefault="00224AEB" w:rsidP="00224AEB">
      <w:pPr>
        <w:ind w:right="521"/>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The final step of the adjustments is to recalculate the net present value of the unit damage cost per SCLF, discount rate, and emission year, as in the following equation: </w:t>
      </w:r>
    </w:p>
    <w:p w14:paraId="6C9E684E" w14:textId="77777777" w:rsidR="00224AEB" w:rsidRDefault="00224AEB" w:rsidP="00224AEB">
      <w:pPr>
        <w:ind w:right="521"/>
        <w:jc w:val="left"/>
        <w:rPr>
          <w:rFonts w:ascii="Times New Roman" w:hAnsi="Times New Roman" w:cs="Times New Roman"/>
          <w:sz w:val="24"/>
          <w:szCs w:val="24"/>
          <w:lang w:val="en-GB"/>
        </w:rPr>
      </w:pPr>
    </w:p>
    <w:p w14:paraId="14146B6E" w14:textId="77777777" w:rsidR="00224AEB" w:rsidRDefault="00224AEB" w:rsidP="00224AEB">
      <w:pPr>
        <w:ind w:right="521"/>
        <w:jc w:val="left"/>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DC</m:t>
              </m:r>
            </m:e>
            <m:sub>
              <m:r>
                <w:rPr>
                  <w:rFonts w:ascii="Cambria Math" w:hAnsi="Cambria Math" w:cs="Times New Roman"/>
                  <w:sz w:val="24"/>
                  <w:szCs w:val="24"/>
                  <w:lang w:val="en-GB"/>
                </w:rPr>
                <m:t>SLCF,i,t</m:t>
              </m:r>
            </m:sub>
          </m:sSub>
          <m:r>
            <w:rPr>
              <w:rFonts w:ascii="Cambria Math" w:hAnsi="Cambria Math" w:cs="Times New Roman"/>
              <w:sz w:val="24"/>
              <w:szCs w:val="24"/>
              <w:lang w:val="en-GB"/>
            </w:rPr>
            <m:t xml:space="preserve">= </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tep=1</m:t>
              </m:r>
            </m:sub>
            <m:sup>
              <m:r>
                <w:rPr>
                  <w:rFonts w:ascii="Cambria Math" w:hAnsi="Cambria Math" w:cs="Times New Roman"/>
                  <w:sz w:val="24"/>
                  <w:szCs w:val="24"/>
                  <w:lang w:val="en-GB"/>
                </w:rPr>
                <m:t>tep=400</m:t>
              </m:r>
            </m:sup>
            <m:e>
              <m:f>
                <m:fPr>
                  <m:ctrlPr>
                    <w:rPr>
                      <w:rFonts w:ascii="Cambria Math" w:hAnsi="Cambria Math" w:cs="Times New Roman"/>
                      <w:i/>
                      <w:sz w:val="24"/>
                      <w:szCs w:val="24"/>
                      <w:lang w:val="en-GB"/>
                    </w:rPr>
                  </m:ctrlPr>
                </m:fPr>
                <m:num>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CH4,i,t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GSATratio</m:t>
                      </m:r>
                    </m:e>
                    <m:sub>
                      <m:r>
                        <w:rPr>
                          <w:rFonts w:ascii="Cambria Math" w:hAnsi="Cambria Math" w:cs="Times New Roman"/>
                          <w:sz w:val="24"/>
                          <w:szCs w:val="24"/>
                          <w:lang w:val="en-GB"/>
                        </w:rPr>
                        <m:t>SLCF,tep</m:t>
                      </m:r>
                    </m:sub>
                  </m:sSub>
                  <m:r>
                    <w:rPr>
                      <w:rFonts w:ascii="Cambria Math" w:hAnsi="Cambria Math" w:cs="Times New Roman"/>
                      <w:sz w:val="24"/>
                      <w:szCs w:val="24"/>
                      <w:lang w:val="en-GB"/>
                    </w:rPr>
                    <m:t>)</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(1+i)</m:t>
                      </m:r>
                    </m:e>
                    <m:sup>
                      <m:r>
                        <w:rPr>
                          <w:rFonts w:ascii="Cambria Math" w:hAnsi="Cambria Math" w:cs="Times New Roman"/>
                          <w:sz w:val="24"/>
                          <w:szCs w:val="24"/>
                          <w:lang w:val="en-GB"/>
                        </w:rPr>
                        <m:t>tep</m:t>
                      </m:r>
                    </m:sup>
                  </m:sSup>
                </m:den>
              </m:f>
            </m:e>
          </m:nary>
        </m:oMath>
      </m:oMathPara>
    </w:p>
    <w:p w14:paraId="6E6A0E6F" w14:textId="77777777" w:rsidR="00224AEB" w:rsidRDefault="00224AEB" w:rsidP="00224AEB">
      <w:pPr>
        <w:ind w:right="521"/>
        <w:jc w:val="left"/>
        <w:rPr>
          <w:rFonts w:ascii="Times New Roman" w:hAnsi="Times New Roman" w:cs="Times New Roman"/>
          <w:sz w:val="24"/>
          <w:szCs w:val="24"/>
          <w:lang w:val="en-GB"/>
        </w:rPr>
      </w:pPr>
    </w:p>
    <w:p w14:paraId="75B8B05B" w14:textId="77777777" w:rsidR="00224AEB" w:rsidRDefault="00224AEB" w:rsidP="00224AEB">
      <w:pPr>
        <w:ind w:right="521"/>
        <w:jc w:val="left"/>
        <w:rPr>
          <w:rFonts w:ascii="Times New Roman" w:hAnsi="Times New Roman" w:cs="Times New Roman"/>
          <w:sz w:val="24"/>
          <w:szCs w:val="24"/>
          <w:lang w:val="en-GB"/>
        </w:rPr>
      </w:pPr>
    </w:p>
    <w:p w14:paraId="37725B92" w14:textId="02AC0D6A" w:rsidR="00415FA2" w:rsidRDefault="00415FA2" w:rsidP="00224AEB">
      <w:pPr>
        <w:jc w:val="both"/>
      </w:pPr>
    </w:p>
    <w:p w14:paraId="34F24BE9" w14:textId="7D4198BE" w:rsidR="00224AEB" w:rsidRDefault="00224AEB" w:rsidP="00C249E7">
      <w:pPr>
        <w:pStyle w:val="Heading3"/>
        <w:spacing w:line="480" w:lineRule="auto"/>
        <w:ind w:right="521"/>
        <w:jc w:val="left"/>
        <w:rPr>
          <w:lang w:val="en-GB"/>
        </w:rPr>
      </w:pPr>
      <w:r>
        <w:rPr>
          <w:lang w:val="en-GB"/>
        </w:rPr>
        <w:t>Resulting unit damage costs</w:t>
      </w:r>
    </w:p>
    <w:p w14:paraId="2908C105" w14:textId="3A71F88B" w:rsidR="006C0453" w:rsidRPr="006C0453" w:rsidRDefault="006C0453" w:rsidP="006C0453">
      <w:pPr>
        <w:pStyle w:val="Caption"/>
        <w:keepNext/>
        <w:jc w:val="left"/>
        <w:rPr>
          <w:lang w:val="en-GB"/>
        </w:rPr>
      </w:pPr>
      <w:r>
        <w:t xml:space="preserve">Table </w:t>
      </w:r>
      <w:r>
        <w:rPr>
          <w:lang w:val="en-GB"/>
        </w:rPr>
        <w:t>SM1.</w:t>
      </w:r>
      <w:fldSimple w:instr=" SEQ Table \* ARABIC ">
        <w:r>
          <w:rPr>
            <w:noProof/>
          </w:rPr>
          <w:t>1</w:t>
        </w:r>
      </w:fldSimple>
      <w:r>
        <w:rPr>
          <w:lang w:val="en-GB"/>
        </w:rPr>
        <w:t>: Unit Damage Cost per SLCP, discount rate, uncertainty range, and emission year (€</w:t>
      </w:r>
      <w:r w:rsidRPr="006C0453">
        <w:rPr>
          <w:vertAlign w:val="subscript"/>
          <w:lang w:val="en-GB"/>
        </w:rPr>
        <w:t>2020</w:t>
      </w:r>
      <w:r>
        <w:rPr>
          <w:lang w:val="en-GB"/>
        </w:rPr>
        <w:t>/ton pollutant)</w:t>
      </w:r>
    </w:p>
    <w:tbl>
      <w:tblPr>
        <w:tblW w:w="7832" w:type="dxa"/>
        <w:tblLook w:val="04A0" w:firstRow="1" w:lastRow="0" w:firstColumn="1" w:lastColumn="0" w:noHBand="0" w:noVBand="1"/>
      </w:tblPr>
      <w:tblGrid>
        <w:gridCol w:w="1020"/>
        <w:gridCol w:w="1859"/>
        <w:gridCol w:w="1057"/>
        <w:gridCol w:w="976"/>
        <w:gridCol w:w="976"/>
        <w:gridCol w:w="976"/>
        <w:gridCol w:w="968"/>
      </w:tblGrid>
      <w:tr w:rsidR="00224AEB" w:rsidRPr="00224AEB" w14:paraId="20328472" w14:textId="77777777" w:rsidTr="006C0453">
        <w:trPr>
          <w:trHeight w:val="300"/>
          <w:tblHeader/>
        </w:trPr>
        <w:tc>
          <w:tcPr>
            <w:tcW w:w="1020" w:type="dxa"/>
            <w:tcBorders>
              <w:top w:val="single" w:sz="4" w:space="0" w:color="8EA9DB"/>
              <w:left w:val="nil"/>
              <w:bottom w:val="single" w:sz="4" w:space="0" w:color="8EA9DB"/>
              <w:right w:val="nil"/>
            </w:tcBorders>
            <w:shd w:val="clear" w:color="4472C4" w:fill="4472C4"/>
            <w:noWrap/>
            <w:vAlign w:val="bottom"/>
            <w:hideMark/>
          </w:tcPr>
          <w:p w14:paraId="2651D5F2" w14:textId="77777777" w:rsidR="00224AEB" w:rsidRPr="00224AEB" w:rsidRDefault="00224AEB" w:rsidP="00224AEB">
            <w:pPr>
              <w:jc w:val="left"/>
              <w:rPr>
                <w:rFonts w:ascii="Calibri" w:eastAsia="Times New Roman" w:hAnsi="Calibri" w:cs="Calibri"/>
                <w:b/>
                <w:bCs/>
                <w:color w:val="FFFFFF"/>
                <w:lang w:eastAsia="en-SE"/>
              </w:rPr>
            </w:pPr>
            <w:r w:rsidRPr="00224AEB">
              <w:rPr>
                <w:rFonts w:ascii="Calibri" w:eastAsia="Times New Roman" w:hAnsi="Calibri" w:cs="Calibri"/>
                <w:b/>
                <w:bCs/>
                <w:color w:val="FFFFFF"/>
                <w:lang w:eastAsia="en-SE"/>
              </w:rPr>
              <w:t>Discount rate</w:t>
            </w:r>
          </w:p>
        </w:tc>
        <w:tc>
          <w:tcPr>
            <w:tcW w:w="1859" w:type="dxa"/>
            <w:tcBorders>
              <w:top w:val="single" w:sz="4" w:space="0" w:color="8EA9DB"/>
              <w:left w:val="nil"/>
              <w:bottom w:val="single" w:sz="4" w:space="0" w:color="8EA9DB"/>
              <w:right w:val="nil"/>
            </w:tcBorders>
            <w:shd w:val="clear" w:color="4472C4" w:fill="4472C4"/>
            <w:noWrap/>
            <w:vAlign w:val="bottom"/>
            <w:hideMark/>
          </w:tcPr>
          <w:p w14:paraId="2C896BCC" w14:textId="77777777" w:rsidR="00224AEB" w:rsidRPr="00224AEB" w:rsidRDefault="00224AEB" w:rsidP="00224AEB">
            <w:pPr>
              <w:jc w:val="left"/>
              <w:rPr>
                <w:rFonts w:ascii="Calibri" w:eastAsia="Times New Roman" w:hAnsi="Calibri" w:cs="Calibri"/>
                <w:b/>
                <w:bCs/>
                <w:color w:val="FFFFFF"/>
                <w:lang w:eastAsia="en-SE"/>
              </w:rPr>
            </w:pPr>
            <w:r w:rsidRPr="00224AEB">
              <w:rPr>
                <w:rFonts w:ascii="Calibri" w:eastAsia="Times New Roman" w:hAnsi="Calibri" w:cs="Calibri"/>
                <w:b/>
                <w:bCs/>
                <w:color w:val="FFFFFF"/>
                <w:lang w:eastAsia="en-SE"/>
              </w:rPr>
              <w:t>SC-Range</w:t>
            </w:r>
          </w:p>
        </w:tc>
        <w:tc>
          <w:tcPr>
            <w:tcW w:w="1057" w:type="dxa"/>
            <w:tcBorders>
              <w:top w:val="single" w:sz="4" w:space="0" w:color="8EA9DB"/>
              <w:left w:val="nil"/>
              <w:bottom w:val="single" w:sz="4" w:space="0" w:color="8EA9DB"/>
              <w:right w:val="nil"/>
            </w:tcBorders>
            <w:shd w:val="clear" w:color="4472C4" w:fill="4472C4"/>
            <w:noWrap/>
            <w:vAlign w:val="bottom"/>
            <w:hideMark/>
          </w:tcPr>
          <w:p w14:paraId="2BC5E913" w14:textId="77777777" w:rsidR="00224AEB" w:rsidRPr="00224AEB" w:rsidRDefault="00224AEB" w:rsidP="00224AEB">
            <w:pPr>
              <w:jc w:val="left"/>
              <w:rPr>
                <w:rFonts w:ascii="Calibri" w:eastAsia="Times New Roman" w:hAnsi="Calibri" w:cs="Calibri"/>
                <w:b/>
                <w:bCs/>
                <w:color w:val="FFFFFF"/>
                <w:lang w:eastAsia="en-SE"/>
              </w:rPr>
            </w:pPr>
            <w:r w:rsidRPr="00224AEB">
              <w:rPr>
                <w:rFonts w:ascii="Calibri" w:eastAsia="Times New Roman" w:hAnsi="Calibri" w:cs="Calibri"/>
                <w:b/>
                <w:bCs/>
                <w:color w:val="FFFFFF"/>
                <w:lang w:eastAsia="en-SE"/>
              </w:rPr>
              <w:t>Pollutant</w:t>
            </w:r>
          </w:p>
        </w:tc>
        <w:tc>
          <w:tcPr>
            <w:tcW w:w="976" w:type="dxa"/>
            <w:tcBorders>
              <w:top w:val="single" w:sz="4" w:space="0" w:color="8EA9DB"/>
              <w:left w:val="nil"/>
              <w:bottom w:val="single" w:sz="4" w:space="0" w:color="8EA9DB"/>
              <w:right w:val="nil"/>
            </w:tcBorders>
            <w:shd w:val="clear" w:color="4472C4" w:fill="4472C4"/>
            <w:noWrap/>
            <w:vAlign w:val="bottom"/>
            <w:hideMark/>
          </w:tcPr>
          <w:p w14:paraId="628B3A11" w14:textId="77777777" w:rsidR="00224AEB" w:rsidRPr="00224AEB" w:rsidRDefault="00224AEB" w:rsidP="00224AEB">
            <w:pPr>
              <w:jc w:val="left"/>
              <w:rPr>
                <w:rFonts w:ascii="Calibri" w:eastAsia="Times New Roman" w:hAnsi="Calibri" w:cs="Calibri"/>
                <w:b/>
                <w:bCs/>
                <w:color w:val="FFFFFF"/>
                <w:lang w:eastAsia="en-SE"/>
              </w:rPr>
            </w:pPr>
            <w:r w:rsidRPr="00224AEB">
              <w:rPr>
                <w:rFonts w:ascii="Calibri" w:eastAsia="Times New Roman" w:hAnsi="Calibri" w:cs="Calibri"/>
                <w:b/>
                <w:bCs/>
                <w:color w:val="FFFFFF"/>
                <w:lang w:eastAsia="en-SE"/>
              </w:rPr>
              <w:t>2020</w:t>
            </w:r>
          </w:p>
        </w:tc>
        <w:tc>
          <w:tcPr>
            <w:tcW w:w="976" w:type="dxa"/>
            <w:tcBorders>
              <w:top w:val="single" w:sz="4" w:space="0" w:color="8EA9DB"/>
              <w:left w:val="nil"/>
              <w:bottom w:val="single" w:sz="4" w:space="0" w:color="8EA9DB"/>
              <w:right w:val="nil"/>
            </w:tcBorders>
            <w:shd w:val="clear" w:color="4472C4" w:fill="4472C4"/>
            <w:noWrap/>
            <w:vAlign w:val="bottom"/>
            <w:hideMark/>
          </w:tcPr>
          <w:p w14:paraId="2CD9EA5A" w14:textId="77777777" w:rsidR="00224AEB" w:rsidRPr="00224AEB" w:rsidRDefault="00224AEB" w:rsidP="00224AEB">
            <w:pPr>
              <w:jc w:val="left"/>
              <w:rPr>
                <w:rFonts w:ascii="Calibri" w:eastAsia="Times New Roman" w:hAnsi="Calibri" w:cs="Calibri"/>
                <w:b/>
                <w:bCs/>
                <w:color w:val="FFFFFF"/>
                <w:lang w:eastAsia="en-SE"/>
              </w:rPr>
            </w:pPr>
            <w:r w:rsidRPr="00224AEB">
              <w:rPr>
                <w:rFonts w:ascii="Calibri" w:eastAsia="Times New Roman" w:hAnsi="Calibri" w:cs="Calibri"/>
                <w:b/>
                <w:bCs/>
                <w:color w:val="FFFFFF"/>
                <w:lang w:eastAsia="en-SE"/>
              </w:rPr>
              <w:t>2030</w:t>
            </w:r>
          </w:p>
        </w:tc>
        <w:tc>
          <w:tcPr>
            <w:tcW w:w="976" w:type="dxa"/>
            <w:tcBorders>
              <w:top w:val="single" w:sz="4" w:space="0" w:color="8EA9DB"/>
              <w:left w:val="nil"/>
              <w:bottom w:val="single" w:sz="4" w:space="0" w:color="8EA9DB"/>
              <w:right w:val="nil"/>
            </w:tcBorders>
            <w:shd w:val="clear" w:color="4472C4" w:fill="4472C4"/>
            <w:noWrap/>
            <w:vAlign w:val="bottom"/>
            <w:hideMark/>
          </w:tcPr>
          <w:p w14:paraId="0A573CB2" w14:textId="77777777" w:rsidR="00224AEB" w:rsidRPr="00224AEB" w:rsidRDefault="00224AEB" w:rsidP="00224AEB">
            <w:pPr>
              <w:jc w:val="left"/>
              <w:rPr>
                <w:rFonts w:ascii="Calibri" w:eastAsia="Times New Roman" w:hAnsi="Calibri" w:cs="Calibri"/>
                <w:b/>
                <w:bCs/>
                <w:color w:val="FFFFFF"/>
                <w:lang w:eastAsia="en-SE"/>
              </w:rPr>
            </w:pPr>
            <w:r w:rsidRPr="00224AEB">
              <w:rPr>
                <w:rFonts w:ascii="Calibri" w:eastAsia="Times New Roman" w:hAnsi="Calibri" w:cs="Calibri"/>
                <w:b/>
                <w:bCs/>
                <w:color w:val="FFFFFF"/>
                <w:lang w:eastAsia="en-SE"/>
              </w:rPr>
              <w:t>2040</w:t>
            </w:r>
          </w:p>
        </w:tc>
        <w:tc>
          <w:tcPr>
            <w:tcW w:w="968" w:type="dxa"/>
            <w:tcBorders>
              <w:top w:val="single" w:sz="4" w:space="0" w:color="8EA9DB"/>
              <w:left w:val="nil"/>
              <w:bottom w:val="single" w:sz="4" w:space="0" w:color="8EA9DB"/>
              <w:right w:val="single" w:sz="4" w:space="0" w:color="8EA9DB"/>
            </w:tcBorders>
            <w:shd w:val="clear" w:color="4472C4" w:fill="4472C4"/>
            <w:noWrap/>
            <w:vAlign w:val="bottom"/>
            <w:hideMark/>
          </w:tcPr>
          <w:p w14:paraId="1C55BCA3" w14:textId="77777777" w:rsidR="00224AEB" w:rsidRPr="00224AEB" w:rsidRDefault="00224AEB" w:rsidP="00224AEB">
            <w:pPr>
              <w:jc w:val="left"/>
              <w:rPr>
                <w:rFonts w:ascii="Calibri" w:eastAsia="Times New Roman" w:hAnsi="Calibri" w:cs="Calibri"/>
                <w:b/>
                <w:bCs/>
                <w:color w:val="FFFFFF"/>
                <w:lang w:eastAsia="en-SE"/>
              </w:rPr>
            </w:pPr>
            <w:r w:rsidRPr="00224AEB">
              <w:rPr>
                <w:rFonts w:ascii="Calibri" w:eastAsia="Times New Roman" w:hAnsi="Calibri" w:cs="Calibri"/>
                <w:b/>
                <w:bCs/>
                <w:color w:val="FFFFFF"/>
                <w:lang w:eastAsia="en-SE"/>
              </w:rPr>
              <w:t>2050</w:t>
            </w:r>
          </w:p>
        </w:tc>
      </w:tr>
      <w:tr w:rsidR="00224AEB" w:rsidRPr="00224AEB" w14:paraId="1C5B8951"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41B63EF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0799451F"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1FF63081"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auto" w:fill="auto"/>
            <w:noWrap/>
            <w:vAlign w:val="bottom"/>
            <w:hideMark/>
          </w:tcPr>
          <w:p w14:paraId="42AF864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316.7</w:t>
            </w:r>
          </w:p>
        </w:tc>
        <w:tc>
          <w:tcPr>
            <w:tcW w:w="976" w:type="dxa"/>
            <w:tcBorders>
              <w:top w:val="single" w:sz="4" w:space="0" w:color="8EA9DB"/>
              <w:left w:val="nil"/>
              <w:bottom w:val="single" w:sz="4" w:space="0" w:color="8EA9DB"/>
              <w:right w:val="nil"/>
            </w:tcBorders>
            <w:shd w:val="clear" w:color="auto" w:fill="auto"/>
            <w:noWrap/>
            <w:vAlign w:val="bottom"/>
            <w:hideMark/>
          </w:tcPr>
          <w:p w14:paraId="588433D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421.0</w:t>
            </w:r>
          </w:p>
        </w:tc>
        <w:tc>
          <w:tcPr>
            <w:tcW w:w="976" w:type="dxa"/>
            <w:tcBorders>
              <w:top w:val="single" w:sz="4" w:space="0" w:color="8EA9DB"/>
              <w:left w:val="nil"/>
              <w:bottom w:val="single" w:sz="4" w:space="0" w:color="8EA9DB"/>
              <w:right w:val="nil"/>
            </w:tcBorders>
            <w:shd w:val="clear" w:color="auto" w:fill="auto"/>
            <w:noWrap/>
            <w:vAlign w:val="bottom"/>
            <w:hideMark/>
          </w:tcPr>
          <w:p w14:paraId="5A3D095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543.6</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0703157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653.6</w:t>
            </w:r>
          </w:p>
        </w:tc>
      </w:tr>
      <w:tr w:rsidR="00224AEB" w:rsidRPr="00224AEB" w14:paraId="0E8FC746"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7EAFB16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3535B97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075D892E"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D9E1F2" w:fill="D9E1F2"/>
            <w:noWrap/>
            <w:vAlign w:val="bottom"/>
            <w:hideMark/>
          </w:tcPr>
          <w:p w14:paraId="2A64641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1797.4</w:t>
            </w:r>
          </w:p>
        </w:tc>
        <w:tc>
          <w:tcPr>
            <w:tcW w:w="976" w:type="dxa"/>
            <w:tcBorders>
              <w:top w:val="single" w:sz="4" w:space="0" w:color="8EA9DB"/>
              <w:left w:val="nil"/>
              <w:bottom w:val="single" w:sz="4" w:space="0" w:color="8EA9DB"/>
              <w:right w:val="nil"/>
            </w:tcBorders>
            <w:shd w:val="clear" w:color="D9E1F2" w:fill="D9E1F2"/>
            <w:noWrap/>
            <w:vAlign w:val="bottom"/>
            <w:hideMark/>
          </w:tcPr>
          <w:p w14:paraId="4F8C358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2311.3</w:t>
            </w:r>
          </w:p>
        </w:tc>
        <w:tc>
          <w:tcPr>
            <w:tcW w:w="976" w:type="dxa"/>
            <w:tcBorders>
              <w:top w:val="single" w:sz="4" w:space="0" w:color="8EA9DB"/>
              <w:left w:val="nil"/>
              <w:bottom w:val="single" w:sz="4" w:space="0" w:color="8EA9DB"/>
              <w:right w:val="nil"/>
            </w:tcBorders>
            <w:shd w:val="clear" w:color="D9E1F2" w:fill="D9E1F2"/>
            <w:noWrap/>
            <w:vAlign w:val="bottom"/>
            <w:hideMark/>
          </w:tcPr>
          <w:p w14:paraId="3D9018D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2904.1</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40BC302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3490.3</w:t>
            </w:r>
          </w:p>
        </w:tc>
      </w:tr>
      <w:tr w:rsidR="00224AEB" w:rsidRPr="00224AEB" w14:paraId="30DC005D"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3CDC750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7081D0D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1814148E"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auto" w:fill="auto"/>
            <w:noWrap/>
            <w:vAlign w:val="bottom"/>
            <w:hideMark/>
          </w:tcPr>
          <w:p w14:paraId="5565490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4819.7</w:t>
            </w:r>
          </w:p>
        </w:tc>
        <w:tc>
          <w:tcPr>
            <w:tcW w:w="976" w:type="dxa"/>
            <w:tcBorders>
              <w:top w:val="single" w:sz="4" w:space="0" w:color="8EA9DB"/>
              <w:left w:val="nil"/>
              <w:bottom w:val="single" w:sz="4" w:space="0" w:color="8EA9DB"/>
              <w:right w:val="nil"/>
            </w:tcBorders>
            <w:shd w:val="clear" w:color="auto" w:fill="auto"/>
            <w:noWrap/>
            <w:vAlign w:val="bottom"/>
            <w:hideMark/>
          </w:tcPr>
          <w:p w14:paraId="4966E3E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6229.4</w:t>
            </w:r>
          </w:p>
        </w:tc>
        <w:tc>
          <w:tcPr>
            <w:tcW w:w="976" w:type="dxa"/>
            <w:tcBorders>
              <w:top w:val="single" w:sz="4" w:space="0" w:color="8EA9DB"/>
              <w:left w:val="nil"/>
              <w:bottom w:val="single" w:sz="4" w:space="0" w:color="8EA9DB"/>
              <w:right w:val="nil"/>
            </w:tcBorders>
            <w:shd w:val="clear" w:color="auto" w:fill="auto"/>
            <w:noWrap/>
            <w:vAlign w:val="bottom"/>
            <w:hideMark/>
          </w:tcPr>
          <w:p w14:paraId="6FEC1ED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7855.1</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3B0B056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9317.6</w:t>
            </w:r>
          </w:p>
        </w:tc>
      </w:tr>
      <w:tr w:rsidR="00224AEB" w:rsidRPr="00224AEB" w14:paraId="72E7700E"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0306BA7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342D2AEC"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477CF9C5"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D9E1F2" w:fill="D9E1F2"/>
            <w:noWrap/>
            <w:vAlign w:val="bottom"/>
            <w:hideMark/>
          </w:tcPr>
          <w:p w14:paraId="2086D21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238.1</w:t>
            </w:r>
          </w:p>
        </w:tc>
        <w:tc>
          <w:tcPr>
            <w:tcW w:w="976" w:type="dxa"/>
            <w:tcBorders>
              <w:top w:val="single" w:sz="4" w:space="0" w:color="8EA9DB"/>
              <w:left w:val="nil"/>
              <w:bottom w:val="single" w:sz="4" w:space="0" w:color="8EA9DB"/>
              <w:right w:val="nil"/>
            </w:tcBorders>
            <w:shd w:val="clear" w:color="D9E1F2" w:fill="D9E1F2"/>
            <w:noWrap/>
            <w:vAlign w:val="bottom"/>
            <w:hideMark/>
          </w:tcPr>
          <w:p w14:paraId="119347E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327.8</w:t>
            </w:r>
          </w:p>
        </w:tc>
        <w:tc>
          <w:tcPr>
            <w:tcW w:w="976" w:type="dxa"/>
            <w:tcBorders>
              <w:top w:val="single" w:sz="4" w:space="0" w:color="8EA9DB"/>
              <w:left w:val="nil"/>
              <w:bottom w:val="single" w:sz="4" w:space="0" w:color="8EA9DB"/>
              <w:right w:val="nil"/>
            </w:tcBorders>
            <w:shd w:val="clear" w:color="D9E1F2" w:fill="D9E1F2"/>
            <w:noWrap/>
            <w:vAlign w:val="bottom"/>
            <w:hideMark/>
          </w:tcPr>
          <w:p w14:paraId="21693AE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434.3</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3EAFA20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535.7</w:t>
            </w:r>
          </w:p>
        </w:tc>
      </w:tr>
      <w:tr w:rsidR="00224AEB" w:rsidRPr="00224AEB" w14:paraId="6E796FF9"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33C2CBE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5315892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3636C4E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auto" w:fill="auto"/>
            <w:noWrap/>
            <w:vAlign w:val="bottom"/>
            <w:hideMark/>
          </w:tcPr>
          <w:p w14:paraId="6E2D7C8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1363.6</w:t>
            </w:r>
          </w:p>
        </w:tc>
        <w:tc>
          <w:tcPr>
            <w:tcW w:w="976" w:type="dxa"/>
            <w:tcBorders>
              <w:top w:val="single" w:sz="4" w:space="0" w:color="8EA9DB"/>
              <w:left w:val="nil"/>
              <w:bottom w:val="single" w:sz="4" w:space="0" w:color="8EA9DB"/>
              <w:right w:val="nil"/>
            </w:tcBorders>
            <w:shd w:val="clear" w:color="auto" w:fill="auto"/>
            <w:noWrap/>
            <w:vAlign w:val="bottom"/>
            <w:hideMark/>
          </w:tcPr>
          <w:p w14:paraId="5BC0059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1798.4</w:t>
            </w:r>
          </w:p>
        </w:tc>
        <w:tc>
          <w:tcPr>
            <w:tcW w:w="976" w:type="dxa"/>
            <w:tcBorders>
              <w:top w:val="single" w:sz="4" w:space="0" w:color="8EA9DB"/>
              <w:left w:val="nil"/>
              <w:bottom w:val="single" w:sz="4" w:space="0" w:color="8EA9DB"/>
              <w:right w:val="nil"/>
            </w:tcBorders>
            <w:shd w:val="clear" w:color="auto" w:fill="auto"/>
            <w:noWrap/>
            <w:vAlign w:val="bottom"/>
            <w:hideMark/>
          </w:tcPr>
          <w:p w14:paraId="378F681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2312.3</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055D7C6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2833.0</w:t>
            </w:r>
          </w:p>
        </w:tc>
      </w:tr>
      <w:tr w:rsidR="00224AEB" w:rsidRPr="00224AEB" w14:paraId="07A4B08F"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43C9A26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29677E6B"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25BFF63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D9E1F2" w:fill="D9E1F2"/>
            <w:noWrap/>
            <w:vAlign w:val="bottom"/>
            <w:hideMark/>
          </w:tcPr>
          <w:p w14:paraId="50563DC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3591.4</w:t>
            </w:r>
          </w:p>
        </w:tc>
        <w:tc>
          <w:tcPr>
            <w:tcW w:w="976" w:type="dxa"/>
            <w:tcBorders>
              <w:top w:val="single" w:sz="4" w:space="0" w:color="8EA9DB"/>
              <w:left w:val="nil"/>
              <w:bottom w:val="single" w:sz="4" w:space="0" w:color="8EA9DB"/>
              <w:right w:val="nil"/>
            </w:tcBorders>
            <w:shd w:val="clear" w:color="D9E1F2" w:fill="D9E1F2"/>
            <w:noWrap/>
            <w:vAlign w:val="bottom"/>
            <w:hideMark/>
          </w:tcPr>
          <w:p w14:paraId="3A288F3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4766.9</w:t>
            </w:r>
          </w:p>
        </w:tc>
        <w:tc>
          <w:tcPr>
            <w:tcW w:w="976" w:type="dxa"/>
            <w:tcBorders>
              <w:top w:val="single" w:sz="4" w:space="0" w:color="8EA9DB"/>
              <w:left w:val="nil"/>
              <w:bottom w:val="single" w:sz="4" w:space="0" w:color="8EA9DB"/>
              <w:right w:val="nil"/>
            </w:tcBorders>
            <w:shd w:val="clear" w:color="D9E1F2" w:fill="D9E1F2"/>
            <w:noWrap/>
            <w:vAlign w:val="bottom"/>
            <w:hideMark/>
          </w:tcPr>
          <w:p w14:paraId="7B2A8F3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6210.0</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0BF9C26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7548.5</w:t>
            </w:r>
          </w:p>
        </w:tc>
      </w:tr>
      <w:tr w:rsidR="00224AEB" w:rsidRPr="00224AEB" w14:paraId="7E3A8230"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5416131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6DE6916C"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799E9F4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auto" w:fill="auto"/>
            <w:noWrap/>
            <w:vAlign w:val="bottom"/>
            <w:hideMark/>
          </w:tcPr>
          <w:p w14:paraId="5550C5A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96.0</w:t>
            </w:r>
          </w:p>
        </w:tc>
        <w:tc>
          <w:tcPr>
            <w:tcW w:w="976" w:type="dxa"/>
            <w:tcBorders>
              <w:top w:val="single" w:sz="4" w:space="0" w:color="8EA9DB"/>
              <w:left w:val="nil"/>
              <w:bottom w:val="single" w:sz="4" w:space="0" w:color="8EA9DB"/>
              <w:right w:val="nil"/>
            </w:tcBorders>
            <w:shd w:val="clear" w:color="auto" w:fill="auto"/>
            <w:noWrap/>
            <w:vAlign w:val="bottom"/>
            <w:hideMark/>
          </w:tcPr>
          <w:p w14:paraId="50DEDF3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145.8</w:t>
            </w:r>
          </w:p>
        </w:tc>
        <w:tc>
          <w:tcPr>
            <w:tcW w:w="976" w:type="dxa"/>
            <w:tcBorders>
              <w:top w:val="single" w:sz="4" w:space="0" w:color="8EA9DB"/>
              <w:left w:val="nil"/>
              <w:bottom w:val="single" w:sz="4" w:space="0" w:color="8EA9DB"/>
              <w:right w:val="nil"/>
            </w:tcBorders>
            <w:shd w:val="clear" w:color="auto" w:fill="auto"/>
            <w:noWrap/>
            <w:vAlign w:val="bottom"/>
            <w:hideMark/>
          </w:tcPr>
          <w:p w14:paraId="177F54D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212.2</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4A38C06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284.0</w:t>
            </w:r>
          </w:p>
        </w:tc>
      </w:tr>
      <w:tr w:rsidR="00224AEB" w:rsidRPr="00224AEB" w14:paraId="2C323FC2"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25A169E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3C69273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4ABD4124"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D9E1F2" w:fill="D9E1F2"/>
            <w:noWrap/>
            <w:vAlign w:val="bottom"/>
            <w:hideMark/>
          </w:tcPr>
          <w:p w14:paraId="5978D21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604.5</w:t>
            </w:r>
          </w:p>
        </w:tc>
        <w:tc>
          <w:tcPr>
            <w:tcW w:w="976" w:type="dxa"/>
            <w:tcBorders>
              <w:top w:val="single" w:sz="4" w:space="0" w:color="8EA9DB"/>
              <w:left w:val="nil"/>
              <w:bottom w:val="single" w:sz="4" w:space="0" w:color="8EA9DB"/>
              <w:right w:val="nil"/>
            </w:tcBorders>
            <w:shd w:val="clear" w:color="D9E1F2" w:fill="D9E1F2"/>
            <w:noWrap/>
            <w:vAlign w:val="bottom"/>
            <w:hideMark/>
          </w:tcPr>
          <w:p w14:paraId="0D6287B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855.2</w:t>
            </w:r>
          </w:p>
        </w:tc>
        <w:tc>
          <w:tcPr>
            <w:tcW w:w="976" w:type="dxa"/>
            <w:tcBorders>
              <w:top w:val="single" w:sz="4" w:space="0" w:color="8EA9DB"/>
              <w:left w:val="nil"/>
              <w:bottom w:val="single" w:sz="4" w:space="0" w:color="8EA9DB"/>
              <w:right w:val="nil"/>
            </w:tcBorders>
            <w:shd w:val="clear" w:color="D9E1F2" w:fill="D9E1F2"/>
            <w:noWrap/>
            <w:vAlign w:val="bottom"/>
            <w:hideMark/>
          </w:tcPr>
          <w:p w14:paraId="630D313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1173.3</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24C81DF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1522.2</w:t>
            </w:r>
          </w:p>
        </w:tc>
      </w:tr>
      <w:tr w:rsidR="00224AEB" w:rsidRPr="00224AEB" w14:paraId="233F8C7B"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1EC4C3B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7D949C24"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5E8B00E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CH4</w:t>
            </w:r>
          </w:p>
        </w:tc>
        <w:tc>
          <w:tcPr>
            <w:tcW w:w="976" w:type="dxa"/>
            <w:tcBorders>
              <w:top w:val="single" w:sz="4" w:space="0" w:color="8EA9DB"/>
              <w:left w:val="nil"/>
              <w:bottom w:val="single" w:sz="4" w:space="0" w:color="8EA9DB"/>
              <w:right w:val="nil"/>
            </w:tcBorders>
            <w:shd w:val="clear" w:color="auto" w:fill="auto"/>
            <w:noWrap/>
            <w:vAlign w:val="bottom"/>
            <w:hideMark/>
          </w:tcPr>
          <w:p w14:paraId="15AE806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1478.3</w:t>
            </w:r>
          </w:p>
        </w:tc>
        <w:tc>
          <w:tcPr>
            <w:tcW w:w="976" w:type="dxa"/>
            <w:tcBorders>
              <w:top w:val="single" w:sz="4" w:space="0" w:color="8EA9DB"/>
              <w:left w:val="nil"/>
              <w:bottom w:val="single" w:sz="4" w:space="0" w:color="8EA9DB"/>
              <w:right w:val="nil"/>
            </w:tcBorders>
            <w:shd w:val="clear" w:color="auto" w:fill="auto"/>
            <w:noWrap/>
            <w:vAlign w:val="bottom"/>
            <w:hideMark/>
          </w:tcPr>
          <w:p w14:paraId="579A5F9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2172.3</w:t>
            </w:r>
          </w:p>
        </w:tc>
        <w:tc>
          <w:tcPr>
            <w:tcW w:w="976" w:type="dxa"/>
            <w:tcBorders>
              <w:top w:val="single" w:sz="4" w:space="0" w:color="8EA9DB"/>
              <w:left w:val="nil"/>
              <w:bottom w:val="single" w:sz="4" w:space="0" w:color="8EA9DB"/>
              <w:right w:val="nil"/>
            </w:tcBorders>
            <w:shd w:val="clear" w:color="auto" w:fill="auto"/>
            <w:noWrap/>
            <w:vAlign w:val="bottom"/>
            <w:hideMark/>
          </w:tcPr>
          <w:p w14:paraId="0973E18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3108.8</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2546ABF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4106.7</w:t>
            </w:r>
          </w:p>
        </w:tc>
      </w:tr>
      <w:tr w:rsidR="00224AEB" w:rsidRPr="00224AEB" w14:paraId="7E0FDE26"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57FD002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1FFCD914"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7585AFDF"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D9E1F2" w:fill="D9E1F2"/>
            <w:noWrap/>
            <w:vAlign w:val="bottom"/>
            <w:hideMark/>
          </w:tcPr>
          <w:p w14:paraId="24B9042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389.3</w:t>
            </w:r>
          </w:p>
        </w:tc>
        <w:tc>
          <w:tcPr>
            <w:tcW w:w="976" w:type="dxa"/>
            <w:tcBorders>
              <w:top w:val="single" w:sz="4" w:space="0" w:color="8EA9DB"/>
              <w:left w:val="nil"/>
              <w:bottom w:val="single" w:sz="4" w:space="0" w:color="8EA9DB"/>
              <w:right w:val="nil"/>
            </w:tcBorders>
            <w:shd w:val="clear" w:color="D9E1F2" w:fill="D9E1F2"/>
            <w:noWrap/>
            <w:vAlign w:val="bottom"/>
            <w:hideMark/>
          </w:tcPr>
          <w:p w14:paraId="048C2E2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517.5</w:t>
            </w:r>
          </w:p>
        </w:tc>
        <w:tc>
          <w:tcPr>
            <w:tcW w:w="976" w:type="dxa"/>
            <w:tcBorders>
              <w:top w:val="single" w:sz="4" w:space="0" w:color="8EA9DB"/>
              <w:left w:val="nil"/>
              <w:bottom w:val="single" w:sz="4" w:space="0" w:color="8EA9DB"/>
              <w:right w:val="nil"/>
            </w:tcBorders>
            <w:shd w:val="clear" w:color="D9E1F2" w:fill="D9E1F2"/>
            <w:noWrap/>
            <w:vAlign w:val="bottom"/>
            <w:hideMark/>
          </w:tcPr>
          <w:p w14:paraId="263F112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668.2</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03375DA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803.4</w:t>
            </w:r>
          </w:p>
        </w:tc>
      </w:tr>
      <w:tr w:rsidR="00224AEB" w:rsidRPr="00224AEB" w14:paraId="5A19FD4C"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41CA50E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lastRenderedPageBreak/>
              <w:t>2.5%</w:t>
            </w:r>
          </w:p>
        </w:tc>
        <w:tc>
          <w:tcPr>
            <w:tcW w:w="1859" w:type="dxa"/>
            <w:tcBorders>
              <w:top w:val="single" w:sz="4" w:space="0" w:color="8EA9DB"/>
              <w:left w:val="nil"/>
              <w:bottom w:val="single" w:sz="4" w:space="0" w:color="8EA9DB"/>
              <w:right w:val="nil"/>
            </w:tcBorders>
            <w:shd w:val="clear" w:color="auto" w:fill="auto"/>
            <w:noWrap/>
            <w:vAlign w:val="bottom"/>
            <w:hideMark/>
          </w:tcPr>
          <w:p w14:paraId="098E19C4"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48EE26B3"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auto" w:fill="auto"/>
            <w:noWrap/>
            <w:vAlign w:val="bottom"/>
            <w:hideMark/>
          </w:tcPr>
          <w:p w14:paraId="734F88B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2209.3</w:t>
            </w:r>
          </w:p>
        </w:tc>
        <w:tc>
          <w:tcPr>
            <w:tcW w:w="976" w:type="dxa"/>
            <w:tcBorders>
              <w:top w:val="single" w:sz="4" w:space="0" w:color="8EA9DB"/>
              <w:left w:val="nil"/>
              <w:bottom w:val="single" w:sz="4" w:space="0" w:color="8EA9DB"/>
              <w:right w:val="nil"/>
            </w:tcBorders>
            <w:shd w:val="clear" w:color="auto" w:fill="auto"/>
            <w:noWrap/>
            <w:vAlign w:val="bottom"/>
            <w:hideMark/>
          </w:tcPr>
          <w:p w14:paraId="3F76710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2840.9</w:t>
            </w:r>
          </w:p>
        </w:tc>
        <w:tc>
          <w:tcPr>
            <w:tcW w:w="976" w:type="dxa"/>
            <w:tcBorders>
              <w:top w:val="single" w:sz="4" w:space="0" w:color="8EA9DB"/>
              <w:left w:val="nil"/>
              <w:bottom w:val="single" w:sz="4" w:space="0" w:color="8EA9DB"/>
              <w:right w:val="nil"/>
            </w:tcBorders>
            <w:shd w:val="clear" w:color="auto" w:fill="auto"/>
            <w:noWrap/>
            <w:vAlign w:val="bottom"/>
            <w:hideMark/>
          </w:tcPr>
          <w:p w14:paraId="11E8FD1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3569.6</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38601BD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4290.1</w:t>
            </w:r>
          </w:p>
        </w:tc>
      </w:tr>
      <w:tr w:rsidR="00224AEB" w:rsidRPr="00224AEB" w14:paraId="21107EBF"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32172AC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3DD193F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3ABDFF9B"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D9E1F2" w:fill="D9E1F2"/>
            <w:noWrap/>
            <w:vAlign w:val="bottom"/>
            <w:hideMark/>
          </w:tcPr>
          <w:p w14:paraId="2603C2F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5924.1</w:t>
            </w:r>
          </w:p>
        </w:tc>
        <w:tc>
          <w:tcPr>
            <w:tcW w:w="976" w:type="dxa"/>
            <w:tcBorders>
              <w:top w:val="single" w:sz="4" w:space="0" w:color="8EA9DB"/>
              <w:left w:val="nil"/>
              <w:bottom w:val="single" w:sz="4" w:space="0" w:color="8EA9DB"/>
              <w:right w:val="nil"/>
            </w:tcBorders>
            <w:shd w:val="clear" w:color="D9E1F2" w:fill="D9E1F2"/>
            <w:noWrap/>
            <w:vAlign w:val="bottom"/>
            <w:hideMark/>
          </w:tcPr>
          <w:p w14:paraId="5FC5C26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7656.8</w:t>
            </w:r>
          </w:p>
        </w:tc>
        <w:tc>
          <w:tcPr>
            <w:tcW w:w="976" w:type="dxa"/>
            <w:tcBorders>
              <w:top w:val="single" w:sz="4" w:space="0" w:color="8EA9DB"/>
              <w:left w:val="nil"/>
              <w:bottom w:val="single" w:sz="4" w:space="0" w:color="8EA9DB"/>
              <w:right w:val="nil"/>
            </w:tcBorders>
            <w:shd w:val="clear" w:color="D9E1F2" w:fill="D9E1F2"/>
            <w:noWrap/>
            <w:vAlign w:val="bottom"/>
            <w:hideMark/>
          </w:tcPr>
          <w:p w14:paraId="4714EAE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9654.9</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4FD7B39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11452.7</w:t>
            </w:r>
          </w:p>
        </w:tc>
      </w:tr>
      <w:tr w:rsidR="00224AEB" w:rsidRPr="00224AEB" w14:paraId="36019BD5"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10DB1A4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408C4580"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6EB253C4"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auto" w:fill="auto"/>
            <w:noWrap/>
            <w:vAlign w:val="bottom"/>
            <w:hideMark/>
          </w:tcPr>
          <w:p w14:paraId="4A44822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303.6</w:t>
            </w:r>
          </w:p>
        </w:tc>
        <w:tc>
          <w:tcPr>
            <w:tcW w:w="976" w:type="dxa"/>
            <w:tcBorders>
              <w:top w:val="single" w:sz="4" w:space="0" w:color="8EA9DB"/>
              <w:left w:val="nil"/>
              <w:bottom w:val="single" w:sz="4" w:space="0" w:color="8EA9DB"/>
              <w:right w:val="nil"/>
            </w:tcBorders>
            <w:shd w:val="clear" w:color="auto" w:fill="auto"/>
            <w:noWrap/>
            <w:vAlign w:val="bottom"/>
            <w:hideMark/>
          </w:tcPr>
          <w:p w14:paraId="7ECD088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418.0</w:t>
            </w:r>
          </w:p>
        </w:tc>
        <w:tc>
          <w:tcPr>
            <w:tcW w:w="976" w:type="dxa"/>
            <w:tcBorders>
              <w:top w:val="single" w:sz="4" w:space="0" w:color="8EA9DB"/>
              <w:left w:val="nil"/>
              <w:bottom w:val="single" w:sz="4" w:space="0" w:color="8EA9DB"/>
              <w:right w:val="nil"/>
            </w:tcBorders>
            <w:shd w:val="clear" w:color="auto" w:fill="auto"/>
            <w:noWrap/>
            <w:vAlign w:val="bottom"/>
            <w:hideMark/>
          </w:tcPr>
          <w:p w14:paraId="22228E0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553.8</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6534CF4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683.1</w:t>
            </w:r>
          </w:p>
        </w:tc>
      </w:tr>
      <w:tr w:rsidR="00224AEB" w:rsidRPr="00224AEB" w14:paraId="59F3EA77"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76C4129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5B093CDC"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59667C3B"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D9E1F2" w:fill="D9E1F2"/>
            <w:noWrap/>
            <w:vAlign w:val="bottom"/>
            <w:hideMark/>
          </w:tcPr>
          <w:p w14:paraId="4BB8D64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1738.7</w:t>
            </w:r>
          </w:p>
        </w:tc>
        <w:tc>
          <w:tcPr>
            <w:tcW w:w="976" w:type="dxa"/>
            <w:tcBorders>
              <w:top w:val="single" w:sz="4" w:space="0" w:color="8EA9DB"/>
              <w:left w:val="nil"/>
              <w:bottom w:val="single" w:sz="4" w:space="0" w:color="8EA9DB"/>
              <w:right w:val="nil"/>
            </w:tcBorders>
            <w:shd w:val="clear" w:color="D9E1F2" w:fill="D9E1F2"/>
            <w:noWrap/>
            <w:vAlign w:val="bottom"/>
            <w:hideMark/>
          </w:tcPr>
          <w:p w14:paraId="22B5FE5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2293.2</w:t>
            </w:r>
          </w:p>
        </w:tc>
        <w:tc>
          <w:tcPr>
            <w:tcW w:w="976" w:type="dxa"/>
            <w:tcBorders>
              <w:top w:val="single" w:sz="4" w:space="0" w:color="8EA9DB"/>
              <w:left w:val="nil"/>
              <w:bottom w:val="single" w:sz="4" w:space="0" w:color="8EA9DB"/>
              <w:right w:val="nil"/>
            </w:tcBorders>
            <w:shd w:val="clear" w:color="D9E1F2" w:fill="D9E1F2"/>
            <w:noWrap/>
            <w:vAlign w:val="bottom"/>
            <w:hideMark/>
          </w:tcPr>
          <w:p w14:paraId="47E6FC1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2948.4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5D1717A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3612.4</w:t>
            </w:r>
          </w:p>
        </w:tc>
      </w:tr>
      <w:tr w:rsidR="00224AEB" w:rsidRPr="00224AEB" w14:paraId="7BF512E5"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7D76ADE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4CFB16A4"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43259870"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auto" w:fill="auto"/>
            <w:noWrap/>
            <w:vAlign w:val="bottom"/>
            <w:hideMark/>
          </w:tcPr>
          <w:p w14:paraId="1455C6E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4579.4</w:t>
            </w:r>
          </w:p>
        </w:tc>
        <w:tc>
          <w:tcPr>
            <w:tcW w:w="976" w:type="dxa"/>
            <w:tcBorders>
              <w:top w:val="single" w:sz="4" w:space="0" w:color="8EA9DB"/>
              <w:left w:val="nil"/>
              <w:bottom w:val="single" w:sz="4" w:space="0" w:color="8EA9DB"/>
              <w:right w:val="nil"/>
            </w:tcBorders>
            <w:shd w:val="clear" w:color="auto" w:fill="auto"/>
            <w:noWrap/>
            <w:vAlign w:val="bottom"/>
            <w:hideMark/>
          </w:tcPr>
          <w:p w14:paraId="013B6C8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6078.3</w:t>
            </w:r>
          </w:p>
        </w:tc>
        <w:tc>
          <w:tcPr>
            <w:tcW w:w="976" w:type="dxa"/>
            <w:tcBorders>
              <w:top w:val="single" w:sz="4" w:space="0" w:color="8EA9DB"/>
              <w:left w:val="nil"/>
              <w:bottom w:val="single" w:sz="4" w:space="0" w:color="8EA9DB"/>
              <w:right w:val="nil"/>
            </w:tcBorders>
            <w:shd w:val="clear" w:color="auto" w:fill="auto"/>
            <w:noWrap/>
            <w:vAlign w:val="bottom"/>
            <w:hideMark/>
          </w:tcPr>
          <w:p w14:paraId="391B9D3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7918.4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1061332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9625.2</w:t>
            </w:r>
          </w:p>
        </w:tc>
      </w:tr>
      <w:tr w:rsidR="00224AEB" w:rsidRPr="00224AEB" w14:paraId="76E628D8"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03E2DB5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3104A3A5"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0E81F028"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D9E1F2" w:fill="D9E1F2"/>
            <w:noWrap/>
            <w:vAlign w:val="bottom"/>
            <w:hideMark/>
          </w:tcPr>
          <w:p w14:paraId="29E6D83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140.0</w:t>
            </w:r>
          </w:p>
        </w:tc>
        <w:tc>
          <w:tcPr>
            <w:tcW w:w="976" w:type="dxa"/>
            <w:tcBorders>
              <w:top w:val="single" w:sz="4" w:space="0" w:color="8EA9DB"/>
              <w:left w:val="nil"/>
              <w:bottom w:val="single" w:sz="4" w:space="0" w:color="8EA9DB"/>
              <w:right w:val="nil"/>
            </w:tcBorders>
            <w:shd w:val="clear" w:color="D9E1F2" w:fill="D9E1F2"/>
            <w:noWrap/>
            <w:vAlign w:val="bottom"/>
            <w:hideMark/>
          </w:tcPr>
          <w:p w14:paraId="6C6D4AC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212.6</w:t>
            </w:r>
          </w:p>
        </w:tc>
        <w:tc>
          <w:tcPr>
            <w:tcW w:w="976" w:type="dxa"/>
            <w:tcBorders>
              <w:top w:val="single" w:sz="4" w:space="0" w:color="8EA9DB"/>
              <w:left w:val="nil"/>
              <w:bottom w:val="single" w:sz="4" w:space="0" w:color="8EA9DB"/>
              <w:right w:val="nil"/>
            </w:tcBorders>
            <w:shd w:val="clear" w:color="D9E1F2" w:fill="D9E1F2"/>
            <w:noWrap/>
            <w:vAlign w:val="bottom"/>
            <w:hideMark/>
          </w:tcPr>
          <w:p w14:paraId="47B36B1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309.4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50B2D01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414.0</w:t>
            </w:r>
          </w:p>
        </w:tc>
      </w:tr>
      <w:tr w:rsidR="00224AEB" w:rsidRPr="00224AEB" w14:paraId="45DFA99A"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76B9D78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528E805B"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67DB1DC3"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auto" w:fill="auto"/>
            <w:noWrap/>
            <w:vAlign w:val="bottom"/>
            <w:hideMark/>
          </w:tcPr>
          <w:p w14:paraId="5C119EA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881.3</w:t>
            </w:r>
          </w:p>
        </w:tc>
        <w:tc>
          <w:tcPr>
            <w:tcW w:w="976" w:type="dxa"/>
            <w:tcBorders>
              <w:top w:val="single" w:sz="4" w:space="0" w:color="8EA9DB"/>
              <w:left w:val="nil"/>
              <w:bottom w:val="single" w:sz="4" w:space="0" w:color="8EA9DB"/>
              <w:right w:val="nil"/>
            </w:tcBorders>
            <w:shd w:val="clear" w:color="auto" w:fill="auto"/>
            <w:noWrap/>
            <w:vAlign w:val="bottom"/>
            <w:hideMark/>
          </w:tcPr>
          <w:p w14:paraId="6769CA1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1246.8</w:t>
            </w:r>
          </w:p>
        </w:tc>
        <w:tc>
          <w:tcPr>
            <w:tcW w:w="976" w:type="dxa"/>
            <w:tcBorders>
              <w:top w:val="single" w:sz="4" w:space="0" w:color="8EA9DB"/>
              <w:left w:val="nil"/>
              <w:bottom w:val="single" w:sz="4" w:space="0" w:color="8EA9DB"/>
              <w:right w:val="nil"/>
            </w:tcBorders>
            <w:shd w:val="clear" w:color="auto" w:fill="auto"/>
            <w:noWrap/>
            <w:vAlign w:val="bottom"/>
            <w:hideMark/>
          </w:tcPr>
          <w:p w14:paraId="0639108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1710.5</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3CACA26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2219.1</w:t>
            </w:r>
          </w:p>
        </w:tc>
      </w:tr>
      <w:tr w:rsidR="00224AEB" w:rsidRPr="00224AEB" w14:paraId="259B619F"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307A64C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62789BA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18741231" w14:textId="77777777" w:rsidR="00224AEB" w:rsidRPr="00224AEB" w:rsidRDefault="00224AEB" w:rsidP="00224AEB">
            <w:pPr>
              <w:jc w:val="left"/>
              <w:rPr>
                <w:rFonts w:ascii="Calibri" w:eastAsia="Times New Roman" w:hAnsi="Calibri" w:cs="Calibri"/>
                <w:color w:val="000000"/>
                <w:lang w:eastAsia="en-SE"/>
              </w:rPr>
            </w:pPr>
            <w:proofErr w:type="spellStart"/>
            <w:r w:rsidRPr="00224AEB">
              <w:rPr>
                <w:rFonts w:ascii="Calibri" w:eastAsia="Times New Roman" w:hAnsi="Calibri" w:cs="Calibri"/>
                <w:color w:val="000000"/>
                <w:lang w:eastAsia="en-SE"/>
              </w:rPr>
              <w:t>PMres</w:t>
            </w:r>
            <w:proofErr w:type="spellEnd"/>
          </w:p>
        </w:tc>
        <w:tc>
          <w:tcPr>
            <w:tcW w:w="976" w:type="dxa"/>
            <w:tcBorders>
              <w:top w:val="single" w:sz="4" w:space="0" w:color="8EA9DB"/>
              <w:left w:val="nil"/>
              <w:bottom w:val="single" w:sz="4" w:space="0" w:color="8EA9DB"/>
              <w:right w:val="nil"/>
            </w:tcBorders>
            <w:shd w:val="clear" w:color="D9E1F2" w:fill="D9E1F2"/>
            <w:noWrap/>
            <w:vAlign w:val="bottom"/>
            <w:hideMark/>
          </w:tcPr>
          <w:p w14:paraId="37EAAC5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2155.1</w:t>
            </w:r>
          </w:p>
        </w:tc>
        <w:tc>
          <w:tcPr>
            <w:tcW w:w="976" w:type="dxa"/>
            <w:tcBorders>
              <w:top w:val="single" w:sz="4" w:space="0" w:color="8EA9DB"/>
              <w:left w:val="nil"/>
              <w:bottom w:val="single" w:sz="4" w:space="0" w:color="8EA9DB"/>
              <w:right w:val="nil"/>
            </w:tcBorders>
            <w:shd w:val="clear" w:color="D9E1F2" w:fill="D9E1F2"/>
            <w:noWrap/>
            <w:vAlign w:val="bottom"/>
            <w:hideMark/>
          </w:tcPr>
          <w:p w14:paraId="5CE992F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3166.9</w:t>
            </w:r>
          </w:p>
        </w:tc>
        <w:tc>
          <w:tcPr>
            <w:tcW w:w="976" w:type="dxa"/>
            <w:tcBorders>
              <w:top w:val="single" w:sz="4" w:space="0" w:color="8EA9DB"/>
              <w:left w:val="nil"/>
              <w:bottom w:val="single" w:sz="4" w:space="0" w:color="8EA9DB"/>
              <w:right w:val="nil"/>
            </w:tcBorders>
            <w:shd w:val="clear" w:color="D9E1F2" w:fill="D9E1F2"/>
            <w:noWrap/>
            <w:vAlign w:val="bottom"/>
            <w:hideMark/>
          </w:tcPr>
          <w:p w14:paraId="16CADC5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4532.2</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71DF7BC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5987.0</w:t>
            </w:r>
          </w:p>
        </w:tc>
      </w:tr>
      <w:tr w:rsidR="00224AEB" w:rsidRPr="00224AEB" w14:paraId="071E1125"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54FCE7C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0553AC8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2E0038E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auto" w:fill="auto"/>
            <w:noWrap/>
            <w:vAlign w:val="bottom"/>
            <w:hideMark/>
          </w:tcPr>
          <w:p w14:paraId="5993D48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389.3</w:t>
            </w:r>
          </w:p>
        </w:tc>
        <w:tc>
          <w:tcPr>
            <w:tcW w:w="976" w:type="dxa"/>
            <w:tcBorders>
              <w:top w:val="single" w:sz="4" w:space="0" w:color="8EA9DB"/>
              <w:left w:val="nil"/>
              <w:bottom w:val="single" w:sz="4" w:space="0" w:color="8EA9DB"/>
              <w:right w:val="nil"/>
            </w:tcBorders>
            <w:shd w:val="clear" w:color="auto" w:fill="auto"/>
            <w:noWrap/>
            <w:vAlign w:val="bottom"/>
            <w:hideMark/>
          </w:tcPr>
          <w:p w14:paraId="289D5F3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517.5</w:t>
            </w:r>
          </w:p>
        </w:tc>
        <w:tc>
          <w:tcPr>
            <w:tcW w:w="976" w:type="dxa"/>
            <w:tcBorders>
              <w:top w:val="single" w:sz="4" w:space="0" w:color="8EA9DB"/>
              <w:left w:val="nil"/>
              <w:bottom w:val="single" w:sz="4" w:space="0" w:color="8EA9DB"/>
              <w:right w:val="nil"/>
            </w:tcBorders>
            <w:shd w:val="clear" w:color="auto" w:fill="auto"/>
            <w:noWrap/>
            <w:vAlign w:val="bottom"/>
            <w:hideMark/>
          </w:tcPr>
          <w:p w14:paraId="6C0DD1B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668.2</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5109FC3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803.4</w:t>
            </w:r>
          </w:p>
        </w:tc>
      </w:tr>
      <w:tr w:rsidR="00224AEB" w:rsidRPr="00224AEB" w14:paraId="6420FE69"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2784644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1D07B53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365BFA8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D9E1F2" w:fill="D9E1F2"/>
            <w:noWrap/>
            <w:vAlign w:val="bottom"/>
            <w:hideMark/>
          </w:tcPr>
          <w:p w14:paraId="01A626E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2209.3</w:t>
            </w:r>
          </w:p>
        </w:tc>
        <w:tc>
          <w:tcPr>
            <w:tcW w:w="976" w:type="dxa"/>
            <w:tcBorders>
              <w:top w:val="single" w:sz="4" w:space="0" w:color="8EA9DB"/>
              <w:left w:val="nil"/>
              <w:bottom w:val="single" w:sz="4" w:space="0" w:color="8EA9DB"/>
              <w:right w:val="nil"/>
            </w:tcBorders>
            <w:shd w:val="clear" w:color="D9E1F2" w:fill="D9E1F2"/>
            <w:noWrap/>
            <w:vAlign w:val="bottom"/>
            <w:hideMark/>
          </w:tcPr>
          <w:p w14:paraId="6A42F27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2840.9</w:t>
            </w:r>
          </w:p>
        </w:tc>
        <w:tc>
          <w:tcPr>
            <w:tcW w:w="976" w:type="dxa"/>
            <w:tcBorders>
              <w:top w:val="single" w:sz="4" w:space="0" w:color="8EA9DB"/>
              <w:left w:val="nil"/>
              <w:bottom w:val="single" w:sz="4" w:space="0" w:color="8EA9DB"/>
              <w:right w:val="nil"/>
            </w:tcBorders>
            <w:shd w:val="clear" w:color="D9E1F2" w:fill="D9E1F2"/>
            <w:noWrap/>
            <w:vAlign w:val="bottom"/>
            <w:hideMark/>
          </w:tcPr>
          <w:p w14:paraId="49C8280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3569.6</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2F12179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4290.1</w:t>
            </w:r>
          </w:p>
        </w:tc>
      </w:tr>
      <w:tr w:rsidR="00224AEB" w:rsidRPr="00224AEB" w14:paraId="50437BB9"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60CCDF3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2E9BBEA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748FE03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auto" w:fill="auto"/>
            <w:noWrap/>
            <w:vAlign w:val="bottom"/>
            <w:hideMark/>
          </w:tcPr>
          <w:p w14:paraId="4E9A784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5924.1</w:t>
            </w:r>
          </w:p>
        </w:tc>
        <w:tc>
          <w:tcPr>
            <w:tcW w:w="976" w:type="dxa"/>
            <w:tcBorders>
              <w:top w:val="single" w:sz="4" w:space="0" w:color="8EA9DB"/>
              <w:left w:val="nil"/>
              <w:bottom w:val="single" w:sz="4" w:space="0" w:color="8EA9DB"/>
              <w:right w:val="nil"/>
            </w:tcBorders>
            <w:shd w:val="clear" w:color="auto" w:fill="auto"/>
            <w:noWrap/>
            <w:vAlign w:val="bottom"/>
            <w:hideMark/>
          </w:tcPr>
          <w:p w14:paraId="58FF4A3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7656.8</w:t>
            </w:r>
          </w:p>
        </w:tc>
        <w:tc>
          <w:tcPr>
            <w:tcW w:w="976" w:type="dxa"/>
            <w:tcBorders>
              <w:top w:val="single" w:sz="4" w:space="0" w:color="8EA9DB"/>
              <w:left w:val="nil"/>
              <w:bottom w:val="single" w:sz="4" w:space="0" w:color="8EA9DB"/>
              <w:right w:val="nil"/>
            </w:tcBorders>
            <w:shd w:val="clear" w:color="auto" w:fill="auto"/>
            <w:noWrap/>
            <w:vAlign w:val="bottom"/>
            <w:hideMark/>
          </w:tcPr>
          <w:p w14:paraId="454CF79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9654.9</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6D86324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11452.7</w:t>
            </w:r>
          </w:p>
        </w:tc>
      </w:tr>
      <w:tr w:rsidR="00224AEB" w:rsidRPr="00224AEB" w14:paraId="76178D8E"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47EE4F6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1C684104"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2C61A9EE"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D9E1F2" w:fill="D9E1F2"/>
            <w:noWrap/>
            <w:vAlign w:val="bottom"/>
            <w:hideMark/>
          </w:tcPr>
          <w:p w14:paraId="39C0CE2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303.6</w:t>
            </w:r>
          </w:p>
        </w:tc>
        <w:tc>
          <w:tcPr>
            <w:tcW w:w="976" w:type="dxa"/>
            <w:tcBorders>
              <w:top w:val="single" w:sz="4" w:space="0" w:color="8EA9DB"/>
              <w:left w:val="nil"/>
              <w:bottom w:val="single" w:sz="4" w:space="0" w:color="8EA9DB"/>
              <w:right w:val="nil"/>
            </w:tcBorders>
            <w:shd w:val="clear" w:color="D9E1F2" w:fill="D9E1F2"/>
            <w:noWrap/>
            <w:vAlign w:val="bottom"/>
            <w:hideMark/>
          </w:tcPr>
          <w:p w14:paraId="3C6AD6E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418.0</w:t>
            </w:r>
          </w:p>
        </w:tc>
        <w:tc>
          <w:tcPr>
            <w:tcW w:w="976" w:type="dxa"/>
            <w:tcBorders>
              <w:top w:val="single" w:sz="4" w:space="0" w:color="8EA9DB"/>
              <w:left w:val="nil"/>
              <w:bottom w:val="single" w:sz="4" w:space="0" w:color="8EA9DB"/>
              <w:right w:val="nil"/>
            </w:tcBorders>
            <w:shd w:val="clear" w:color="D9E1F2" w:fill="D9E1F2"/>
            <w:noWrap/>
            <w:vAlign w:val="bottom"/>
            <w:hideMark/>
          </w:tcPr>
          <w:p w14:paraId="0D6035F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553.8</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12E1A8D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683.1</w:t>
            </w:r>
          </w:p>
        </w:tc>
      </w:tr>
      <w:tr w:rsidR="00224AEB" w:rsidRPr="00224AEB" w14:paraId="13098624"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009E830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5C15D340"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1D996AFC"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auto" w:fill="auto"/>
            <w:noWrap/>
            <w:vAlign w:val="bottom"/>
            <w:hideMark/>
          </w:tcPr>
          <w:p w14:paraId="21AA131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1738.7</w:t>
            </w:r>
          </w:p>
        </w:tc>
        <w:tc>
          <w:tcPr>
            <w:tcW w:w="976" w:type="dxa"/>
            <w:tcBorders>
              <w:top w:val="single" w:sz="4" w:space="0" w:color="8EA9DB"/>
              <w:left w:val="nil"/>
              <w:bottom w:val="single" w:sz="4" w:space="0" w:color="8EA9DB"/>
              <w:right w:val="nil"/>
            </w:tcBorders>
            <w:shd w:val="clear" w:color="auto" w:fill="auto"/>
            <w:noWrap/>
            <w:vAlign w:val="bottom"/>
            <w:hideMark/>
          </w:tcPr>
          <w:p w14:paraId="1254728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2293.2</w:t>
            </w:r>
          </w:p>
        </w:tc>
        <w:tc>
          <w:tcPr>
            <w:tcW w:w="976" w:type="dxa"/>
            <w:tcBorders>
              <w:top w:val="single" w:sz="4" w:space="0" w:color="8EA9DB"/>
              <w:left w:val="nil"/>
              <w:bottom w:val="single" w:sz="4" w:space="0" w:color="8EA9DB"/>
              <w:right w:val="nil"/>
            </w:tcBorders>
            <w:shd w:val="clear" w:color="auto" w:fill="auto"/>
            <w:noWrap/>
            <w:vAlign w:val="bottom"/>
            <w:hideMark/>
          </w:tcPr>
          <w:p w14:paraId="35AECB0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2948.4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08146F9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3612.4</w:t>
            </w:r>
          </w:p>
        </w:tc>
      </w:tr>
      <w:tr w:rsidR="00224AEB" w:rsidRPr="00224AEB" w14:paraId="5AF92A68"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6F6BD2D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1684720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225A2D5F"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D9E1F2" w:fill="D9E1F2"/>
            <w:noWrap/>
            <w:vAlign w:val="bottom"/>
            <w:hideMark/>
          </w:tcPr>
          <w:p w14:paraId="788B571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4579.4</w:t>
            </w:r>
          </w:p>
        </w:tc>
        <w:tc>
          <w:tcPr>
            <w:tcW w:w="976" w:type="dxa"/>
            <w:tcBorders>
              <w:top w:val="single" w:sz="4" w:space="0" w:color="8EA9DB"/>
              <w:left w:val="nil"/>
              <w:bottom w:val="single" w:sz="4" w:space="0" w:color="8EA9DB"/>
              <w:right w:val="nil"/>
            </w:tcBorders>
            <w:shd w:val="clear" w:color="D9E1F2" w:fill="D9E1F2"/>
            <w:noWrap/>
            <w:vAlign w:val="bottom"/>
            <w:hideMark/>
          </w:tcPr>
          <w:p w14:paraId="318C681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6078.3</w:t>
            </w:r>
          </w:p>
        </w:tc>
        <w:tc>
          <w:tcPr>
            <w:tcW w:w="976" w:type="dxa"/>
            <w:tcBorders>
              <w:top w:val="single" w:sz="4" w:space="0" w:color="8EA9DB"/>
              <w:left w:val="nil"/>
              <w:bottom w:val="single" w:sz="4" w:space="0" w:color="8EA9DB"/>
              <w:right w:val="nil"/>
            </w:tcBorders>
            <w:shd w:val="clear" w:color="D9E1F2" w:fill="D9E1F2"/>
            <w:noWrap/>
            <w:vAlign w:val="bottom"/>
            <w:hideMark/>
          </w:tcPr>
          <w:p w14:paraId="2533AD6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7918.4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14AD649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9625.2</w:t>
            </w:r>
          </w:p>
        </w:tc>
      </w:tr>
      <w:tr w:rsidR="00224AEB" w:rsidRPr="00224AEB" w14:paraId="57C45E7E"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23DCB60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65408AC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10E467AC"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auto" w:fill="auto"/>
            <w:noWrap/>
            <w:vAlign w:val="bottom"/>
            <w:hideMark/>
          </w:tcPr>
          <w:p w14:paraId="2569ED5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140.0</w:t>
            </w:r>
          </w:p>
        </w:tc>
        <w:tc>
          <w:tcPr>
            <w:tcW w:w="976" w:type="dxa"/>
            <w:tcBorders>
              <w:top w:val="single" w:sz="4" w:space="0" w:color="8EA9DB"/>
              <w:left w:val="nil"/>
              <w:bottom w:val="single" w:sz="4" w:space="0" w:color="8EA9DB"/>
              <w:right w:val="nil"/>
            </w:tcBorders>
            <w:shd w:val="clear" w:color="auto" w:fill="auto"/>
            <w:noWrap/>
            <w:vAlign w:val="bottom"/>
            <w:hideMark/>
          </w:tcPr>
          <w:p w14:paraId="445B43C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212.6</w:t>
            </w:r>
          </w:p>
        </w:tc>
        <w:tc>
          <w:tcPr>
            <w:tcW w:w="976" w:type="dxa"/>
            <w:tcBorders>
              <w:top w:val="single" w:sz="4" w:space="0" w:color="8EA9DB"/>
              <w:left w:val="nil"/>
              <w:bottom w:val="single" w:sz="4" w:space="0" w:color="8EA9DB"/>
              <w:right w:val="nil"/>
            </w:tcBorders>
            <w:shd w:val="clear" w:color="auto" w:fill="auto"/>
            <w:noWrap/>
            <w:vAlign w:val="bottom"/>
            <w:hideMark/>
          </w:tcPr>
          <w:p w14:paraId="57084EB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309.4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3560A5C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414.0</w:t>
            </w:r>
          </w:p>
        </w:tc>
      </w:tr>
      <w:tr w:rsidR="00224AEB" w:rsidRPr="00224AEB" w14:paraId="0DF97DC8"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2369DF2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2FA239F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2311F4F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D9E1F2" w:fill="D9E1F2"/>
            <w:noWrap/>
            <w:vAlign w:val="bottom"/>
            <w:hideMark/>
          </w:tcPr>
          <w:p w14:paraId="02EFE7C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881.3</w:t>
            </w:r>
          </w:p>
        </w:tc>
        <w:tc>
          <w:tcPr>
            <w:tcW w:w="976" w:type="dxa"/>
            <w:tcBorders>
              <w:top w:val="single" w:sz="4" w:space="0" w:color="8EA9DB"/>
              <w:left w:val="nil"/>
              <w:bottom w:val="single" w:sz="4" w:space="0" w:color="8EA9DB"/>
              <w:right w:val="nil"/>
            </w:tcBorders>
            <w:shd w:val="clear" w:color="D9E1F2" w:fill="D9E1F2"/>
            <w:noWrap/>
            <w:vAlign w:val="bottom"/>
            <w:hideMark/>
          </w:tcPr>
          <w:p w14:paraId="0BA4456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1246.8</w:t>
            </w:r>
          </w:p>
        </w:tc>
        <w:tc>
          <w:tcPr>
            <w:tcW w:w="976" w:type="dxa"/>
            <w:tcBorders>
              <w:top w:val="single" w:sz="4" w:space="0" w:color="8EA9DB"/>
              <w:left w:val="nil"/>
              <w:bottom w:val="single" w:sz="4" w:space="0" w:color="8EA9DB"/>
              <w:right w:val="nil"/>
            </w:tcBorders>
            <w:shd w:val="clear" w:color="D9E1F2" w:fill="D9E1F2"/>
            <w:noWrap/>
            <w:vAlign w:val="bottom"/>
            <w:hideMark/>
          </w:tcPr>
          <w:p w14:paraId="62ACD08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1710.5</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766B506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2219.1</w:t>
            </w:r>
          </w:p>
        </w:tc>
      </w:tr>
      <w:tr w:rsidR="00224AEB" w:rsidRPr="00224AEB" w14:paraId="58734D61"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375B11D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3BC810B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055F6C5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BC</w:t>
            </w:r>
          </w:p>
        </w:tc>
        <w:tc>
          <w:tcPr>
            <w:tcW w:w="976" w:type="dxa"/>
            <w:tcBorders>
              <w:top w:val="single" w:sz="4" w:space="0" w:color="8EA9DB"/>
              <w:left w:val="nil"/>
              <w:bottom w:val="single" w:sz="4" w:space="0" w:color="8EA9DB"/>
              <w:right w:val="nil"/>
            </w:tcBorders>
            <w:shd w:val="clear" w:color="auto" w:fill="auto"/>
            <w:noWrap/>
            <w:vAlign w:val="bottom"/>
            <w:hideMark/>
          </w:tcPr>
          <w:p w14:paraId="38CC393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2155.1</w:t>
            </w:r>
          </w:p>
        </w:tc>
        <w:tc>
          <w:tcPr>
            <w:tcW w:w="976" w:type="dxa"/>
            <w:tcBorders>
              <w:top w:val="single" w:sz="4" w:space="0" w:color="8EA9DB"/>
              <w:left w:val="nil"/>
              <w:bottom w:val="single" w:sz="4" w:space="0" w:color="8EA9DB"/>
              <w:right w:val="nil"/>
            </w:tcBorders>
            <w:shd w:val="clear" w:color="auto" w:fill="auto"/>
            <w:noWrap/>
            <w:vAlign w:val="bottom"/>
            <w:hideMark/>
          </w:tcPr>
          <w:p w14:paraId="7FFCB1C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3166.9</w:t>
            </w:r>
          </w:p>
        </w:tc>
        <w:tc>
          <w:tcPr>
            <w:tcW w:w="976" w:type="dxa"/>
            <w:tcBorders>
              <w:top w:val="single" w:sz="4" w:space="0" w:color="8EA9DB"/>
              <w:left w:val="nil"/>
              <w:bottom w:val="single" w:sz="4" w:space="0" w:color="8EA9DB"/>
              <w:right w:val="nil"/>
            </w:tcBorders>
            <w:shd w:val="clear" w:color="auto" w:fill="auto"/>
            <w:noWrap/>
            <w:vAlign w:val="bottom"/>
            <w:hideMark/>
          </w:tcPr>
          <w:p w14:paraId="5F023FB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4532.2</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236AEF8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5987.0</w:t>
            </w:r>
          </w:p>
        </w:tc>
      </w:tr>
      <w:tr w:rsidR="00224AEB" w:rsidRPr="00224AEB" w14:paraId="2C5052E7"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5A6C657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0B7C8CC6"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32F9D156"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D9E1F2" w:fill="D9E1F2"/>
            <w:noWrap/>
            <w:vAlign w:val="bottom"/>
            <w:hideMark/>
          </w:tcPr>
          <w:p w14:paraId="34E0B02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389.3</w:t>
            </w:r>
          </w:p>
        </w:tc>
        <w:tc>
          <w:tcPr>
            <w:tcW w:w="976" w:type="dxa"/>
            <w:tcBorders>
              <w:top w:val="single" w:sz="4" w:space="0" w:color="8EA9DB"/>
              <w:left w:val="nil"/>
              <w:bottom w:val="single" w:sz="4" w:space="0" w:color="8EA9DB"/>
              <w:right w:val="nil"/>
            </w:tcBorders>
            <w:shd w:val="clear" w:color="D9E1F2" w:fill="D9E1F2"/>
            <w:noWrap/>
            <w:vAlign w:val="bottom"/>
            <w:hideMark/>
          </w:tcPr>
          <w:p w14:paraId="6ABE198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517.5</w:t>
            </w:r>
          </w:p>
        </w:tc>
        <w:tc>
          <w:tcPr>
            <w:tcW w:w="976" w:type="dxa"/>
            <w:tcBorders>
              <w:top w:val="single" w:sz="4" w:space="0" w:color="8EA9DB"/>
              <w:left w:val="nil"/>
              <w:bottom w:val="single" w:sz="4" w:space="0" w:color="8EA9DB"/>
              <w:right w:val="nil"/>
            </w:tcBorders>
            <w:shd w:val="clear" w:color="D9E1F2" w:fill="D9E1F2"/>
            <w:noWrap/>
            <w:vAlign w:val="bottom"/>
            <w:hideMark/>
          </w:tcPr>
          <w:p w14:paraId="0E31C1B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668.2</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6A6E80C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803.4</w:t>
            </w:r>
          </w:p>
        </w:tc>
      </w:tr>
      <w:tr w:rsidR="00224AEB" w:rsidRPr="00224AEB" w14:paraId="34F8DB84"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2089294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49008B70"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48A6A216"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auto" w:fill="auto"/>
            <w:noWrap/>
            <w:vAlign w:val="bottom"/>
            <w:hideMark/>
          </w:tcPr>
          <w:p w14:paraId="3BA4F26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2209.3</w:t>
            </w:r>
          </w:p>
        </w:tc>
        <w:tc>
          <w:tcPr>
            <w:tcW w:w="976" w:type="dxa"/>
            <w:tcBorders>
              <w:top w:val="single" w:sz="4" w:space="0" w:color="8EA9DB"/>
              <w:left w:val="nil"/>
              <w:bottom w:val="single" w:sz="4" w:space="0" w:color="8EA9DB"/>
              <w:right w:val="nil"/>
            </w:tcBorders>
            <w:shd w:val="clear" w:color="auto" w:fill="auto"/>
            <w:noWrap/>
            <w:vAlign w:val="bottom"/>
            <w:hideMark/>
          </w:tcPr>
          <w:p w14:paraId="68F0A1A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2840.9</w:t>
            </w:r>
          </w:p>
        </w:tc>
        <w:tc>
          <w:tcPr>
            <w:tcW w:w="976" w:type="dxa"/>
            <w:tcBorders>
              <w:top w:val="single" w:sz="4" w:space="0" w:color="8EA9DB"/>
              <w:left w:val="nil"/>
              <w:bottom w:val="single" w:sz="4" w:space="0" w:color="8EA9DB"/>
              <w:right w:val="nil"/>
            </w:tcBorders>
            <w:shd w:val="clear" w:color="auto" w:fill="auto"/>
            <w:noWrap/>
            <w:vAlign w:val="bottom"/>
            <w:hideMark/>
          </w:tcPr>
          <w:p w14:paraId="6FA1478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3569.6</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24F3B87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4290.1</w:t>
            </w:r>
          </w:p>
        </w:tc>
      </w:tr>
      <w:tr w:rsidR="00224AEB" w:rsidRPr="00224AEB" w14:paraId="65BE2711"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4A0A1D7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01190EC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26E6F341"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D9E1F2" w:fill="D9E1F2"/>
            <w:noWrap/>
            <w:vAlign w:val="bottom"/>
            <w:hideMark/>
          </w:tcPr>
          <w:p w14:paraId="050ECFB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5924.1</w:t>
            </w:r>
          </w:p>
        </w:tc>
        <w:tc>
          <w:tcPr>
            <w:tcW w:w="976" w:type="dxa"/>
            <w:tcBorders>
              <w:top w:val="single" w:sz="4" w:space="0" w:color="8EA9DB"/>
              <w:left w:val="nil"/>
              <w:bottom w:val="single" w:sz="4" w:space="0" w:color="8EA9DB"/>
              <w:right w:val="nil"/>
            </w:tcBorders>
            <w:shd w:val="clear" w:color="D9E1F2" w:fill="D9E1F2"/>
            <w:noWrap/>
            <w:vAlign w:val="bottom"/>
            <w:hideMark/>
          </w:tcPr>
          <w:p w14:paraId="29195D7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7656.8</w:t>
            </w:r>
          </w:p>
        </w:tc>
        <w:tc>
          <w:tcPr>
            <w:tcW w:w="976" w:type="dxa"/>
            <w:tcBorders>
              <w:top w:val="single" w:sz="4" w:space="0" w:color="8EA9DB"/>
              <w:left w:val="nil"/>
              <w:bottom w:val="single" w:sz="4" w:space="0" w:color="8EA9DB"/>
              <w:right w:val="nil"/>
            </w:tcBorders>
            <w:shd w:val="clear" w:color="D9E1F2" w:fill="D9E1F2"/>
            <w:noWrap/>
            <w:vAlign w:val="bottom"/>
            <w:hideMark/>
          </w:tcPr>
          <w:p w14:paraId="0BB2DBB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9654.9</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0A51232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11452.7</w:t>
            </w:r>
          </w:p>
        </w:tc>
      </w:tr>
      <w:tr w:rsidR="00224AEB" w:rsidRPr="00224AEB" w14:paraId="3F55012B"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4AEDB53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1C4D79A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5563829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auto" w:fill="auto"/>
            <w:noWrap/>
            <w:vAlign w:val="bottom"/>
            <w:hideMark/>
          </w:tcPr>
          <w:p w14:paraId="6596A63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303.6</w:t>
            </w:r>
          </w:p>
        </w:tc>
        <w:tc>
          <w:tcPr>
            <w:tcW w:w="976" w:type="dxa"/>
            <w:tcBorders>
              <w:top w:val="single" w:sz="4" w:space="0" w:color="8EA9DB"/>
              <w:left w:val="nil"/>
              <w:bottom w:val="single" w:sz="4" w:space="0" w:color="8EA9DB"/>
              <w:right w:val="nil"/>
            </w:tcBorders>
            <w:shd w:val="clear" w:color="auto" w:fill="auto"/>
            <w:noWrap/>
            <w:vAlign w:val="bottom"/>
            <w:hideMark/>
          </w:tcPr>
          <w:p w14:paraId="4213FC3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418.0</w:t>
            </w:r>
          </w:p>
        </w:tc>
        <w:tc>
          <w:tcPr>
            <w:tcW w:w="976" w:type="dxa"/>
            <w:tcBorders>
              <w:top w:val="single" w:sz="4" w:space="0" w:color="8EA9DB"/>
              <w:left w:val="nil"/>
              <w:bottom w:val="single" w:sz="4" w:space="0" w:color="8EA9DB"/>
              <w:right w:val="nil"/>
            </w:tcBorders>
            <w:shd w:val="clear" w:color="auto" w:fill="auto"/>
            <w:noWrap/>
            <w:vAlign w:val="bottom"/>
            <w:hideMark/>
          </w:tcPr>
          <w:p w14:paraId="5D77E84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553.8</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04FB7F7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683.1</w:t>
            </w:r>
          </w:p>
        </w:tc>
      </w:tr>
      <w:tr w:rsidR="00224AEB" w:rsidRPr="00224AEB" w14:paraId="4CF64A48"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3B1AB6C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0AE28FD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28808CA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D9E1F2" w:fill="D9E1F2"/>
            <w:noWrap/>
            <w:vAlign w:val="bottom"/>
            <w:hideMark/>
          </w:tcPr>
          <w:p w14:paraId="66A0008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1738.7</w:t>
            </w:r>
          </w:p>
        </w:tc>
        <w:tc>
          <w:tcPr>
            <w:tcW w:w="976" w:type="dxa"/>
            <w:tcBorders>
              <w:top w:val="single" w:sz="4" w:space="0" w:color="8EA9DB"/>
              <w:left w:val="nil"/>
              <w:bottom w:val="single" w:sz="4" w:space="0" w:color="8EA9DB"/>
              <w:right w:val="nil"/>
            </w:tcBorders>
            <w:shd w:val="clear" w:color="D9E1F2" w:fill="D9E1F2"/>
            <w:noWrap/>
            <w:vAlign w:val="bottom"/>
            <w:hideMark/>
          </w:tcPr>
          <w:p w14:paraId="7C16B94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2293.2</w:t>
            </w:r>
          </w:p>
        </w:tc>
        <w:tc>
          <w:tcPr>
            <w:tcW w:w="976" w:type="dxa"/>
            <w:tcBorders>
              <w:top w:val="single" w:sz="4" w:space="0" w:color="8EA9DB"/>
              <w:left w:val="nil"/>
              <w:bottom w:val="single" w:sz="4" w:space="0" w:color="8EA9DB"/>
              <w:right w:val="nil"/>
            </w:tcBorders>
            <w:shd w:val="clear" w:color="D9E1F2" w:fill="D9E1F2"/>
            <w:noWrap/>
            <w:vAlign w:val="bottom"/>
            <w:hideMark/>
          </w:tcPr>
          <w:p w14:paraId="2047BA1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2948.4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7620374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3612.4</w:t>
            </w:r>
          </w:p>
        </w:tc>
      </w:tr>
      <w:tr w:rsidR="00224AEB" w:rsidRPr="00224AEB" w14:paraId="32AEC12E"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1F8C86B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6D1A180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42C333AF"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auto" w:fill="auto"/>
            <w:noWrap/>
            <w:vAlign w:val="bottom"/>
            <w:hideMark/>
          </w:tcPr>
          <w:p w14:paraId="55A2967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4579.4</w:t>
            </w:r>
          </w:p>
        </w:tc>
        <w:tc>
          <w:tcPr>
            <w:tcW w:w="976" w:type="dxa"/>
            <w:tcBorders>
              <w:top w:val="single" w:sz="4" w:space="0" w:color="8EA9DB"/>
              <w:left w:val="nil"/>
              <w:bottom w:val="single" w:sz="4" w:space="0" w:color="8EA9DB"/>
              <w:right w:val="nil"/>
            </w:tcBorders>
            <w:shd w:val="clear" w:color="auto" w:fill="auto"/>
            <w:noWrap/>
            <w:vAlign w:val="bottom"/>
            <w:hideMark/>
          </w:tcPr>
          <w:p w14:paraId="11021FE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6078.3</w:t>
            </w:r>
          </w:p>
        </w:tc>
        <w:tc>
          <w:tcPr>
            <w:tcW w:w="976" w:type="dxa"/>
            <w:tcBorders>
              <w:top w:val="single" w:sz="4" w:space="0" w:color="8EA9DB"/>
              <w:left w:val="nil"/>
              <w:bottom w:val="single" w:sz="4" w:space="0" w:color="8EA9DB"/>
              <w:right w:val="nil"/>
            </w:tcBorders>
            <w:shd w:val="clear" w:color="auto" w:fill="auto"/>
            <w:noWrap/>
            <w:vAlign w:val="bottom"/>
            <w:hideMark/>
          </w:tcPr>
          <w:p w14:paraId="09286EA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7918.4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5BF0746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9625.2</w:t>
            </w:r>
          </w:p>
        </w:tc>
      </w:tr>
      <w:tr w:rsidR="00224AEB" w:rsidRPr="00224AEB" w14:paraId="0821A741"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7535BDC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29BF553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27A22CB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D9E1F2" w:fill="D9E1F2"/>
            <w:noWrap/>
            <w:vAlign w:val="bottom"/>
            <w:hideMark/>
          </w:tcPr>
          <w:p w14:paraId="139AB43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140.0</w:t>
            </w:r>
          </w:p>
        </w:tc>
        <w:tc>
          <w:tcPr>
            <w:tcW w:w="976" w:type="dxa"/>
            <w:tcBorders>
              <w:top w:val="single" w:sz="4" w:space="0" w:color="8EA9DB"/>
              <w:left w:val="nil"/>
              <w:bottom w:val="single" w:sz="4" w:space="0" w:color="8EA9DB"/>
              <w:right w:val="nil"/>
            </w:tcBorders>
            <w:shd w:val="clear" w:color="D9E1F2" w:fill="D9E1F2"/>
            <w:noWrap/>
            <w:vAlign w:val="bottom"/>
            <w:hideMark/>
          </w:tcPr>
          <w:p w14:paraId="742BE31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212.6</w:t>
            </w:r>
          </w:p>
        </w:tc>
        <w:tc>
          <w:tcPr>
            <w:tcW w:w="976" w:type="dxa"/>
            <w:tcBorders>
              <w:top w:val="single" w:sz="4" w:space="0" w:color="8EA9DB"/>
              <w:left w:val="nil"/>
              <w:bottom w:val="single" w:sz="4" w:space="0" w:color="8EA9DB"/>
              <w:right w:val="nil"/>
            </w:tcBorders>
            <w:shd w:val="clear" w:color="D9E1F2" w:fill="D9E1F2"/>
            <w:noWrap/>
            <w:vAlign w:val="bottom"/>
            <w:hideMark/>
          </w:tcPr>
          <w:p w14:paraId="3032328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309.4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03950D0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414.0</w:t>
            </w:r>
          </w:p>
        </w:tc>
      </w:tr>
      <w:tr w:rsidR="00224AEB" w:rsidRPr="00224AEB" w14:paraId="7C0ECEA4"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0E1A16B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19E5795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5020317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auto" w:fill="auto"/>
            <w:noWrap/>
            <w:vAlign w:val="bottom"/>
            <w:hideMark/>
          </w:tcPr>
          <w:p w14:paraId="7E15EBE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881.3</w:t>
            </w:r>
          </w:p>
        </w:tc>
        <w:tc>
          <w:tcPr>
            <w:tcW w:w="976" w:type="dxa"/>
            <w:tcBorders>
              <w:top w:val="single" w:sz="4" w:space="0" w:color="8EA9DB"/>
              <w:left w:val="nil"/>
              <w:bottom w:val="single" w:sz="4" w:space="0" w:color="8EA9DB"/>
              <w:right w:val="nil"/>
            </w:tcBorders>
            <w:shd w:val="clear" w:color="auto" w:fill="auto"/>
            <w:noWrap/>
            <w:vAlign w:val="bottom"/>
            <w:hideMark/>
          </w:tcPr>
          <w:p w14:paraId="114F6B8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1246.8</w:t>
            </w:r>
          </w:p>
        </w:tc>
        <w:tc>
          <w:tcPr>
            <w:tcW w:w="976" w:type="dxa"/>
            <w:tcBorders>
              <w:top w:val="single" w:sz="4" w:space="0" w:color="8EA9DB"/>
              <w:left w:val="nil"/>
              <w:bottom w:val="single" w:sz="4" w:space="0" w:color="8EA9DB"/>
              <w:right w:val="nil"/>
            </w:tcBorders>
            <w:shd w:val="clear" w:color="auto" w:fill="auto"/>
            <w:noWrap/>
            <w:vAlign w:val="bottom"/>
            <w:hideMark/>
          </w:tcPr>
          <w:p w14:paraId="6395093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1710.5</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137B4B9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2219.1</w:t>
            </w:r>
          </w:p>
        </w:tc>
      </w:tr>
      <w:tr w:rsidR="00224AEB" w:rsidRPr="00224AEB" w14:paraId="51252117"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5F1A690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133C30B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3178D45F"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OC</w:t>
            </w:r>
          </w:p>
        </w:tc>
        <w:tc>
          <w:tcPr>
            <w:tcW w:w="976" w:type="dxa"/>
            <w:tcBorders>
              <w:top w:val="single" w:sz="4" w:space="0" w:color="8EA9DB"/>
              <w:left w:val="nil"/>
              <w:bottom w:val="single" w:sz="4" w:space="0" w:color="8EA9DB"/>
              <w:right w:val="nil"/>
            </w:tcBorders>
            <w:shd w:val="clear" w:color="D9E1F2" w:fill="D9E1F2"/>
            <w:noWrap/>
            <w:vAlign w:val="bottom"/>
            <w:hideMark/>
          </w:tcPr>
          <w:p w14:paraId="0378097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2155.1</w:t>
            </w:r>
          </w:p>
        </w:tc>
        <w:tc>
          <w:tcPr>
            <w:tcW w:w="976" w:type="dxa"/>
            <w:tcBorders>
              <w:top w:val="single" w:sz="4" w:space="0" w:color="8EA9DB"/>
              <w:left w:val="nil"/>
              <w:bottom w:val="single" w:sz="4" w:space="0" w:color="8EA9DB"/>
              <w:right w:val="nil"/>
            </w:tcBorders>
            <w:shd w:val="clear" w:color="D9E1F2" w:fill="D9E1F2"/>
            <w:noWrap/>
            <w:vAlign w:val="bottom"/>
            <w:hideMark/>
          </w:tcPr>
          <w:p w14:paraId="39D89E2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3166.9</w:t>
            </w:r>
          </w:p>
        </w:tc>
        <w:tc>
          <w:tcPr>
            <w:tcW w:w="976" w:type="dxa"/>
            <w:tcBorders>
              <w:top w:val="single" w:sz="4" w:space="0" w:color="8EA9DB"/>
              <w:left w:val="nil"/>
              <w:bottom w:val="single" w:sz="4" w:space="0" w:color="8EA9DB"/>
              <w:right w:val="nil"/>
            </w:tcBorders>
            <w:shd w:val="clear" w:color="D9E1F2" w:fill="D9E1F2"/>
            <w:noWrap/>
            <w:vAlign w:val="bottom"/>
            <w:hideMark/>
          </w:tcPr>
          <w:p w14:paraId="5CDEBE2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4532.2</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537BD84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5987.0</w:t>
            </w:r>
          </w:p>
        </w:tc>
      </w:tr>
      <w:tr w:rsidR="00224AEB" w:rsidRPr="00224AEB" w14:paraId="6A60CB69"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18734E8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1A97EBA8"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77FCF7F8"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auto" w:fill="auto"/>
            <w:noWrap/>
            <w:vAlign w:val="bottom"/>
            <w:hideMark/>
          </w:tcPr>
          <w:p w14:paraId="3EC1E9B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398.2</w:t>
            </w:r>
          </w:p>
        </w:tc>
        <w:tc>
          <w:tcPr>
            <w:tcW w:w="976" w:type="dxa"/>
            <w:tcBorders>
              <w:top w:val="single" w:sz="4" w:space="0" w:color="8EA9DB"/>
              <w:left w:val="nil"/>
              <w:bottom w:val="single" w:sz="4" w:space="0" w:color="8EA9DB"/>
              <w:right w:val="nil"/>
            </w:tcBorders>
            <w:shd w:val="clear" w:color="auto" w:fill="auto"/>
            <w:noWrap/>
            <w:vAlign w:val="bottom"/>
            <w:hideMark/>
          </w:tcPr>
          <w:p w14:paraId="3C4ED8D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529.3</w:t>
            </w:r>
          </w:p>
        </w:tc>
        <w:tc>
          <w:tcPr>
            <w:tcW w:w="976" w:type="dxa"/>
            <w:tcBorders>
              <w:top w:val="single" w:sz="4" w:space="0" w:color="8EA9DB"/>
              <w:left w:val="nil"/>
              <w:bottom w:val="single" w:sz="4" w:space="0" w:color="8EA9DB"/>
              <w:right w:val="nil"/>
            </w:tcBorders>
            <w:shd w:val="clear" w:color="auto" w:fill="auto"/>
            <w:noWrap/>
            <w:vAlign w:val="bottom"/>
            <w:hideMark/>
          </w:tcPr>
          <w:p w14:paraId="5D0C58E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683.5</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7620FB9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821.8</w:t>
            </w:r>
          </w:p>
        </w:tc>
      </w:tr>
      <w:tr w:rsidR="00224AEB" w:rsidRPr="00224AEB" w14:paraId="0E755370"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1E68693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2699364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46CC5B45"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D9E1F2" w:fill="D9E1F2"/>
            <w:noWrap/>
            <w:vAlign w:val="bottom"/>
            <w:hideMark/>
          </w:tcPr>
          <w:p w14:paraId="28D63A1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2259.9</w:t>
            </w:r>
          </w:p>
        </w:tc>
        <w:tc>
          <w:tcPr>
            <w:tcW w:w="976" w:type="dxa"/>
            <w:tcBorders>
              <w:top w:val="single" w:sz="4" w:space="0" w:color="8EA9DB"/>
              <w:left w:val="nil"/>
              <w:bottom w:val="single" w:sz="4" w:space="0" w:color="8EA9DB"/>
              <w:right w:val="nil"/>
            </w:tcBorders>
            <w:shd w:val="clear" w:color="D9E1F2" w:fill="D9E1F2"/>
            <w:noWrap/>
            <w:vAlign w:val="bottom"/>
            <w:hideMark/>
          </w:tcPr>
          <w:p w14:paraId="2FDEBE8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2906.1</w:t>
            </w:r>
          </w:p>
        </w:tc>
        <w:tc>
          <w:tcPr>
            <w:tcW w:w="976" w:type="dxa"/>
            <w:tcBorders>
              <w:top w:val="single" w:sz="4" w:space="0" w:color="8EA9DB"/>
              <w:left w:val="nil"/>
              <w:bottom w:val="single" w:sz="4" w:space="0" w:color="8EA9DB"/>
              <w:right w:val="nil"/>
            </w:tcBorders>
            <w:shd w:val="clear" w:color="D9E1F2" w:fill="D9E1F2"/>
            <w:noWrap/>
            <w:vAlign w:val="bottom"/>
            <w:hideMark/>
          </w:tcPr>
          <w:p w14:paraId="56F3345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3651.5</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4FE139D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4388.5</w:t>
            </w:r>
          </w:p>
        </w:tc>
      </w:tr>
      <w:tr w:rsidR="00224AEB" w:rsidRPr="00224AEB" w14:paraId="372C7E7F"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460EB11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3CACFBE0"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7CFF812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auto" w:fill="auto"/>
            <w:noWrap/>
            <w:vAlign w:val="bottom"/>
            <w:hideMark/>
          </w:tcPr>
          <w:p w14:paraId="7109E49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6060.0</w:t>
            </w:r>
          </w:p>
        </w:tc>
        <w:tc>
          <w:tcPr>
            <w:tcW w:w="976" w:type="dxa"/>
            <w:tcBorders>
              <w:top w:val="single" w:sz="4" w:space="0" w:color="8EA9DB"/>
              <w:left w:val="nil"/>
              <w:bottom w:val="single" w:sz="4" w:space="0" w:color="8EA9DB"/>
              <w:right w:val="nil"/>
            </w:tcBorders>
            <w:shd w:val="clear" w:color="auto" w:fill="auto"/>
            <w:noWrap/>
            <w:vAlign w:val="bottom"/>
            <w:hideMark/>
          </w:tcPr>
          <w:p w14:paraId="11BB940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7832.5</w:t>
            </w:r>
          </w:p>
        </w:tc>
        <w:tc>
          <w:tcPr>
            <w:tcW w:w="976" w:type="dxa"/>
            <w:tcBorders>
              <w:top w:val="single" w:sz="4" w:space="0" w:color="8EA9DB"/>
              <w:left w:val="nil"/>
              <w:bottom w:val="single" w:sz="4" w:space="0" w:color="8EA9DB"/>
              <w:right w:val="nil"/>
            </w:tcBorders>
            <w:shd w:val="clear" w:color="auto" w:fill="auto"/>
            <w:noWrap/>
            <w:vAlign w:val="bottom"/>
            <w:hideMark/>
          </w:tcPr>
          <w:p w14:paraId="4B96825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9876.4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2ECADA7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11715.4</w:t>
            </w:r>
          </w:p>
        </w:tc>
      </w:tr>
      <w:tr w:rsidR="00224AEB" w:rsidRPr="00224AEB" w14:paraId="714F7D0B"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40FD917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5AC39A4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13FCD6A8"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D9E1F2" w:fill="D9E1F2"/>
            <w:noWrap/>
            <w:vAlign w:val="bottom"/>
            <w:hideMark/>
          </w:tcPr>
          <w:p w14:paraId="65C3A51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311.7</w:t>
            </w:r>
          </w:p>
        </w:tc>
        <w:tc>
          <w:tcPr>
            <w:tcW w:w="976" w:type="dxa"/>
            <w:tcBorders>
              <w:top w:val="single" w:sz="4" w:space="0" w:color="8EA9DB"/>
              <w:left w:val="nil"/>
              <w:bottom w:val="single" w:sz="4" w:space="0" w:color="8EA9DB"/>
              <w:right w:val="nil"/>
            </w:tcBorders>
            <w:shd w:val="clear" w:color="D9E1F2" w:fill="D9E1F2"/>
            <w:noWrap/>
            <w:vAlign w:val="bottom"/>
            <w:hideMark/>
          </w:tcPr>
          <w:p w14:paraId="5DA4615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429.1</w:t>
            </w:r>
          </w:p>
        </w:tc>
        <w:tc>
          <w:tcPr>
            <w:tcW w:w="976" w:type="dxa"/>
            <w:tcBorders>
              <w:top w:val="single" w:sz="4" w:space="0" w:color="8EA9DB"/>
              <w:left w:val="nil"/>
              <w:bottom w:val="single" w:sz="4" w:space="0" w:color="8EA9DB"/>
              <w:right w:val="nil"/>
            </w:tcBorders>
            <w:shd w:val="clear" w:color="D9E1F2" w:fill="D9E1F2"/>
            <w:noWrap/>
            <w:vAlign w:val="bottom"/>
            <w:hideMark/>
          </w:tcPr>
          <w:p w14:paraId="72590D4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568.5</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4D6330A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701.2</w:t>
            </w:r>
          </w:p>
        </w:tc>
      </w:tr>
      <w:tr w:rsidR="00224AEB" w:rsidRPr="00224AEB" w14:paraId="617ECF82"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117CF62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01FCD47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6D3D25C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auto" w:fill="auto"/>
            <w:noWrap/>
            <w:vAlign w:val="bottom"/>
            <w:hideMark/>
          </w:tcPr>
          <w:p w14:paraId="5DDEA64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1784.8</w:t>
            </w:r>
          </w:p>
        </w:tc>
        <w:tc>
          <w:tcPr>
            <w:tcW w:w="976" w:type="dxa"/>
            <w:tcBorders>
              <w:top w:val="single" w:sz="4" w:space="0" w:color="8EA9DB"/>
              <w:left w:val="nil"/>
              <w:bottom w:val="single" w:sz="4" w:space="0" w:color="8EA9DB"/>
              <w:right w:val="nil"/>
            </w:tcBorders>
            <w:shd w:val="clear" w:color="auto" w:fill="auto"/>
            <w:noWrap/>
            <w:vAlign w:val="bottom"/>
            <w:hideMark/>
          </w:tcPr>
          <w:p w14:paraId="78A95FD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2354.0</w:t>
            </w:r>
          </w:p>
        </w:tc>
        <w:tc>
          <w:tcPr>
            <w:tcW w:w="976" w:type="dxa"/>
            <w:tcBorders>
              <w:top w:val="single" w:sz="4" w:space="0" w:color="8EA9DB"/>
              <w:left w:val="nil"/>
              <w:bottom w:val="single" w:sz="4" w:space="0" w:color="8EA9DB"/>
              <w:right w:val="nil"/>
            </w:tcBorders>
            <w:shd w:val="clear" w:color="auto" w:fill="auto"/>
            <w:noWrap/>
            <w:vAlign w:val="bottom"/>
            <w:hideMark/>
          </w:tcPr>
          <w:p w14:paraId="6049CE8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3026.6</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0910B86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3708.2</w:t>
            </w:r>
          </w:p>
        </w:tc>
      </w:tr>
      <w:tr w:rsidR="00224AEB" w:rsidRPr="00224AEB" w14:paraId="15E13423"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58EB9FB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625C1CFB"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194A2C0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D9E1F2" w:fill="D9E1F2"/>
            <w:noWrap/>
            <w:vAlign w:val="bottom"/>
            <w:hideMark/>
          </w:tcPr>
          <w:p w14:paraId="4D87142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4700.9</w:t>
            </w:r>
          </w:p>
        </w:tc>
        <w:tc>
          <w:tcPr>
            <w:tcW w:w="976" w:type="dxa"/>
            <w:tcBorders>
              <w:top w:val="single" w:sz="4" w:space="0" w:color="8EA9DB"/>
              <w:left w:val="nil"/>
              <w:bottom w:val="single" w:sz="4" w:space="0" w:color="8EA9DB"/>
              <w:right w:val="nil"/>
            </w:tcBorders>
            <w:shd w:val="clear" w:color="D9E1F2" w:fill="D9E1F2"/>
            <w:noWrap/>
            <w:vAlign w:val="bottom"/>
            <w:hideMark/>
          </w:tcPr>
          <w:p w14:paraId="6745CB0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6239.5</w:t>
            </w:r>
          </w:p>
        </w:tc>
        <w:tc>
          <w:tcPr>
            <w:tcW w:w="976" w:type="dxa"/>
            <w:tcBorders>
              <w:top w:val="single" w:sz="4" w:space="0" w:color="8EA9DB"/>
              <w:left w:val="nil"/>
              <w:bottom w:val="single" w:sz="4" w:space="0" w:color="8EA9DB"/>
              <w:right w:val="nil"/>
            </w:tcBorders>
            <w:shd w:val="clear" w:color="D9E1F2" w:fill="D9E1F2"/>
            <w:noWrap/>
            <w:vAlign w:val="bottom"/>
            <w:hideMark/>
          </w:tcPr>
          <w:p w14:paraId="7912857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8128.4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0E8816D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9880.4</w:t>
            </w:r>
          </w:p>
        </w:tc>
      </w:tr>
      <w:tr w:rsidR="00224AEB" w:rsidRPr="00224AEB" w14:paraId="231CFA3C"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7B99EA1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5AB7851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3333087F"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auto" w:fill="auto"/>
            <w:noWrap/>
            <w:vAlign w:val="bottom"/>
            <w:hideMark/>
          </w:tcPr>
          <w:p w14:paraId="47D9ABD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145.3</w:t>
            </w:r>
          </w:p>
        </w:tc>
        <w:tc>
          <w:tcPr>
            <w:tcW w:w="976" w:type="dxa"/>
            <w:tcBorders>
              <w:top w:val="single" w:sz="4" w:space="0" w:color="8EA9DB"/>
              <w:left w:val="nil"/>
              <w:bottom w:val="single" w:sz="4" w:space="0" w:color="8EA9DB"/>
              <w:right w:val="nil"/>
            </w:tcBorders>
            <w:shd w:val="clear" w:color="auto" w:fill="auto"/>
            <w:noWrap/>
            <w:vAlign w:val="bottom"/>
            <w:hideMark/>
          </w:tcPr>
          <w:p w14:paraId="72E56C1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220.7</w:t>
            </w:r>
          </w:p>
        </w:tc>
        <w:tc>
          <w:tcPr>
            <w:tcW w:w="976" w:type="dxa"/>
            <w:tcBorders>
              <w:top w:val="single" w:sz="4" w:space="0" w:color="8EA9DB"/>
              <w:left w:val="nil"/>
              <w:bottom w:val="single" w:sz="4" w:space="0" w:color="8EA9DB"/>
              <w:right w:val="nil"/>
            </w:tcBorders>
            <w:shd w:val="clear" w:color="auto" w:fill="auto"/>
            <w:noWrap/>
            <w:vAlign w:val="bottom"/>
            <w:hideMark/>
          </w:tcPr>
          <w:p w14:paraId="2D13979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321.3</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610BF75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430.0</w:t>
            </w:r>
          </w:p>
        </w:tc>
      </w:tr>
      <w:tr w:rsidR="00224AEB" w:rsidRPr="00224AEB" w14:paraId="165743E1"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29B88EA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2845D27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3D581AC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D9E1F2" w:fill="D9E1F2"/>
            <w:noWrap/>
            <w:vAlign w:val="bottom"/>
            <w:hideMark/>
          </w:tcPr>
          <w:p w14:paraId="780884E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915.2</w:t>
            </w:r>
          </w:p>
        </w:tc>
        <w:tc>
          <w:tcPr>
            <w:tcW w:w="976" w:type="dxa"/>
            <w:tcBorders>
              <w:top w:val="single" w:sz="4" w:space="0" w:color="8EA9DB"/>
              <w:left w:val="nil"/>
              <w:bottom w:val="single" w:sz="4" w:space="0" w:color="8EA9DB"/>
              <w:right w:val="nil"/>
            </w:tcBorders>
            <w:shd w:val="clear" w:color="D9E1F2" w:fill="D9E1F2"/>
            <w:noWrap/>
            <w:vAlign w:val="bottom"/>
            <w:hideMark/>
          </w:tcPr>
          <w:p w14:paraId="3930D1B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1294.8</w:t>
            </w:r>
          </w:p>
        </w:tc>
        <w:tc>
          <w:tcPr>
            <w:tcW w:w="976" w:type="dxa"/>
            <w:tcBorders>
              <w:top w:val="single" w:sz="4" w:space="0" w:color="8EA9DB"/>
              <w:left w:val="nil"/>
              <w:bottom w:val="single" w:sz="4" w:space="0" w:color="8EA9DB"/>
              <w:right w:val="nil"/>
            </w:tcBorders>
            <w:shd w:val="clear" w:color="D9E1F2" w:fill="D9E1F2"/>
            <w:noWrap/>
            <w:vAlign w:val="bottom"/>
            <w:hideMark/>
          </w:tcPr>
          <w:p w14:paraId="4AE6885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1776.4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70876C6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2304.6</w:t>
            </w:r>
          </w:p>
        </w:tc>
      </w:tr>
      <w:tr w:rsidR="00224AEB" w:rsidRPr="00224AEB" w14:paraId="070F67E7"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2CD3BDB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5222116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077D328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NMVOC</w:t>
            </w:r>
          </w:p>
        </w:tc>
        <w:tc>
          <w:tcPr>
            <w:tcW w:w="976" w:type="dxa"/>
            <w:tcBorders>
              <w:top w:val="single" w:sz="4" w:space="0" w:color="8EA9DB"/>
              <w:left w:val="nil"/>
              <w:bottom w:val="single" w:sz="4" w:space="0" w:color="8EA9DB"/>
              <w:right w:val="nil"/>
            </w:tcBorders>
            <w:shd w:val="clear" w:color="auto" w:fill="auto"/>
            <w:noWrap/>
            <w:vAlign w:val="bottom"/>
            <w:hideMark/>
          </w:tcPr>
          <w:p w14:paraId="6907847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2238.2</w:t>
            </w:r>
          </w:p>
        </w:tc>
        <w:tc>
          <w:tcPr>
            <w:tcW w:w="976" w:type="dxa"/>
            <w:tcBorders>
              <w:top w:val="single" w:sz="4" w:space="0" w:color="8EA9DB"/>
              <w:left w:val="nil"/>
              <w:bottom w:val="single" w:sz="4" w:space="0" w:color="8EA9DB"/>
              <w:right w:val="nil"/>
            </w:tcBorders>
            <w:shd w:val="clear" w:color="auto" w:fill="auto"/>
            <w:noWrap/>
            <w:vAlign w:val="bottom"/>
            <w:hideMark/>
          </w:tcPr>
          <w:p w14:paraId="7E165A7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3288.9</w:t>
            </w:r>
          </w:p>
        </w:tc>
        <w:tc>
          <w:tcPr>
            <w:tcW w:w="976" w:type="dxa"/>
            <w:tcBorders>
              <w:top w:val="single" w:sz="4" w:space="0" w:color="8EA9DB"/>
              <w:left w:val="nil"/>
              <w:bottom w:val="single" w:sz="4" w:space="0" w:color="8EA9DB"/>
              <w:right w:val="nil"/>
            </w:tcBorders>
            <w:shd w:val="clear" w:color="auto" w:fill="auto"/>
            <w:noWrap/>
            <w:vAlign w:val="bottom"/>
            <w:hideMark/>
          </w:tcPr>
          <w:p w14:paraId="268FFF7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4706.8</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04F0057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6217.6</w:t>
            </w:r>
          </w:p>
        </w:tc>
      </w:tr>
      <w:tr w:rsidR="00224AEB" w:rsidRPr="00224AEB" w14:paraId="3C440748"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7511B41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43362EB8"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0FDFEAF1"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D9E1F2" w:fill="D9E1F2"/>
            <w:noWrap/>
            <w:vAlign w:val="bottom"/>
            <w:hideMark/>
          </w:tcPr>
          <w:p w14:paraId="1C44C81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398.2</w:t>
            </w:r>
          </w:p>
        </w:tc>
        <w:tc>
          <w:tcPr>
            <w:tcW w:w="976" w:type="dxa"/>
            <w:tcBorders>
              <w:top w:val="single" w:sz="4" w:space="0" w:color="8EA9DB"/>
              <w:left w:val="nil"/>
              <w:bottom w:val="single" w:sz="4" w:space="0" w:color="8EA9DB"/>
              <w:right w:val="nil"/>
            </w:tcBorders>
            <w:shd w:val="clear" w:color="D9E1F2" w:fill="D9E1F2"/>
            <w:noWrap/>
            <w:vAlign w:val="bottom"/>
            <w:hideMark/>
          </w:tcPr>
          <w:p w14:paraId="08BB045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529.3</w:t>
            </w:r>
          </w:p>
        </w:tc>
        <w:tc>
          <w:tcPr>
            <w:tcW w:w="976" w:type="dxa"/>
            <w:tcBorders>
              <w:top w:val="single" w:sz="4" w:space="0" w:color="8EA9DB"/>
              <w:left w:val="nil"/>
              <w:bottom w:val="single" w:sz="4" w:space="0" w:color="8EA9DB"/>
              <w:right w:val="nil"/>
            </w:tcBorders>
            <w:shd w:val="clear" w:color="D9E1F2" w:fill="D9E1F2"/>
            <w:noWrap/>
            <w:vAlign w:val="bottom"/>
            <w:hideMark/>
          </w:tcPr>
          <w:p w14:paraId="2A11948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683.5</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5ECEBD6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821.8</w:t>
            </w:r>
          </w:p>
        </w:tc>
      </w:tr>
      <w:tr w:rsidR="00224AEB" w:rsidRPr="00224AEB" w14:paraId="789438D8"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18D8353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397E539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79085F68"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auto" w:fill="auto"/>
            <w:noWrap/>
            <w:vAlign w:val="bottom"/>
            <w:hideMark/>
          </w:tcPr>
          <w:p w14:paraId="5141198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2259.9</w:t>
            </w:r>
          </w:p>
        </w:tc>
        <w:tc>
          <w:tcPr>
            <w:tcW w:w="976" w:type="dxa"/>
            <w:tcBorders>
              <w:top w:val="single" w:sz="4" w:space="0" w:color="8EA9DB"/>
              <w:left w:val="nil"/>
              <w:bottom w:val="single" w:sz="4" w:space="0" w:color="8EA9DB"/>
              <w:right w:val="nil"/>
            </w:tcBorders>
            <w:shd w:val="clear" w:color="auto" w:fill="auto"/>
            <w:noWrap/>
            <w:vAlign w:val="bottom"/>
            <w:hideMark/>
          </w:tcPr>
          <w:p w14:paraId="4559DBB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2906.1</w:t>
            </w:r>
          </w:p>
        </w:tc>
        <w:tc>
          <w:tcPr>
            <w:tcW w:w="976" w:type="dxa"/>
            <w:tcBorders>
              <w:top w:val="single" w:sz="4" w:space="0" w:color="8EA9DB"/>
              <w:left w:val="nil"/>
              <w:bottom w:val="single" w:sz="4" w:space="0" w:color="8EA9DB"/>
              <w:right w:val="nil"/>
            </w:tcBorders>
            <w:shd w:val="clear" w:color="auto" w:fill="auto"/>
            <w:noWrap/>
            <w:vAlign w:val="bottom"/>
            <w:hideMark/>
          </w:tcPr>
          <w:p w14:paraId="1A059C6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3651.5</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38C4FFC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4388.5</w:t>
            </w:r>
          </w:p>
        </w:tc>
      </w:tr>
      <w:tr w:rsidR="00224AEB" w:rsidRPr="00224AEB" w14:paraId="0EA1C373"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6955BD5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194D8AA6"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20DC0F0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D9E1F2" w:fill="D9E1F2"/>
            <w:noWrap/>
            <w:vAlign w:val="bottom"/>
            <w:hideMark/>
          </w:tcPr>
          <w:p w14:paraId="353884F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6060.0</w:t>
            </w:r>
          </w:p>
        </w:tc>
        <w:tc>
          <w:tcPr>
            <w:tcW w:w="976" w:type="dxa"/>
            <w:tcBorders>
              <w:top w:val="single" w:sz="4" w:space="0" w:color="8EA9DB"/>
              <w:left w:val="nil"/>
              <w:bottom w:val="single" w:sz="4" w:space="0" w:color="8EA9DB"/>
              <w:right w:val="nil"/>
            </w:tcBorders>
            <w:shd w:val="clear" w:color="D9E1F2" w:fill="D9E1F2"/>
            <w:noWrap/>
            <w:vAlign w:val="bottom"/>
            <w:hideMark/>
          </w:tcPr>
          <w:p w14:paraId="5B306CC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7832.5</w:t>
            </w:r>
          </w:p>
        </w:tc>
        <w:tc>
          <w:tcPr>
            <w:tcW w:w="976" w:type="dxa"/>
            <w:tcBorders>
              <w:top w:val="single" w:sz="4" w:space="0" w:color="8EA9DB"/>
              <w:left w:val="nil"/>
              <w:bottom w:val="single" w:sz="4" w:space="0" w:color="8EA9DB"/>
              <w:right w:val="nil"/>
            </w:tcBorders>
            <w:shd w:val="clear" w:color="D9E1F2" w:fill="D9E1F2"/>
            <w:noWrap/>
            <w:vAlign w:val="bottom"/>
            <w:hideMark/>
          </w:tcPr>
          <w:p w14:paraId="4D2BAA9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9876.4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782A6CE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11715.4</w:t>
            </w:r>
          </w:p>
        </w:tc>
      </w:tr>
      <w:tr w:rsidR="00224AEB" w:rsidRPr="00224AEB" w14:paraId="5FD2B7A4"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6ED3D64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4FD0A19C"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2890EE4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auto" w:fill="auto"/>
            <w:noWrap/>
            <w:vAlign w:val="bottom"/>
            <w:hideMark/>
          </w:tcPr>
          <w:p w14:paraId="5B1159B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311.7</w:t>
            </w:r>
          </w:p>
        </w:tc>
        <w:tc>
          <w:tcPr>
            <w:tcW w:w="976" w:type="dxa"/>
            <w:tcBorders>
              <w:top w:val="single" w:sz="4" w:space="0" w:color="8EA9DB"/>
              <w:left w:val="nil"/>
              <w:bottom w:val="single" w:sz="4" w:space="0" w:color="8EA9DB"/>
              <w:right w:val="nil"/>
            </w:tcBorders>
            <w:shd w:val="clear" w:color="auto" w:fill="auto"/>
            <w:noWrap/>
            <w:vAlign w:val="bottom"/>
            <w:hideMark/>
          </w:tcPr>
          <w:p w14:paraId="3EB3D5A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429.1</w:t>
            </w:r>
          </w:p>
        </w:tc>
        <w:tc>
          <w:tcPr>
            <w:tcW w:w="976" w:type="dxa"/>
            <w:tcBorders>
              <w:top w:val="single" w:sz="4" w:space="0" w:color="8EA9DB"/>
              <w:left w:val="nil"/>
              <w:bottom w:val="single" w:sz="4" w:space="0" w:color="8EA9DB"/>
              <w:right w:val="nil"/>
            </w:tcBorders>
            <w:shd w:val="clear" w:color="auto" w:fill="auto"/>
            <w:noWrap/>
            <w:vAlign w:val="bottom"/>
            <w:hideMark/>
          </w:tcPr>
          <w:p w14:paraId="79C2640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568.5</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4933B5D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701.2</w:t>
            </w:r>
          </w:p>
        </w:tc>
      </w:tr>
      <w:tr w:rsidR="00224AEB" w:rsidRPr="00224AEB" w14:paraId="3E1DCE74"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31DBE89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5C75E248"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37D5FE1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D9E1F2" w:fill="D9E1F2"/>
            <w:noWrap/>
            <w:vAlign w:val="bottom"/>
            <w:hideMark/>
          </w:tcPr>
          <w:p w14:paraId="2781C9C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1784.8</w:t>
            </w:r>
          </w:p>
        </w:tc>
        <w:tc>
          <w:tcPr>
            <w:tcW w:w="976" w:type="dxa"/>
            <w:tcBorders>
              <w:top w:val="single" w:sz="4" w:space="0" w:color="8EA9DB"/>
              <w:left w:val="nil"/>
              <w:bottom w:val="single" w:sz="4" w:space="0" w:color="8EA9DB"/>
              <w:right w:val="nil"/>
            </w:tcBorders>
            <w:shd w:val="clear" w:color="D9E1F2" w:fill="D9E1F2"/>
            <w:noWrap/>
            <w:vAlign w:val="bottom"/>
            <w:hideMark/>
          </w:tcPr>
          <w:p w14:paraId="30E42B0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2354.0</w:t>
            </w:r>
          </w:p>
        </w:tc>
        <w:tc>
          <w:tcPr>
            <w:tcW w:w="976" w:type="dxa"/>
            <w:tcBorders>
              <w:top w:val="single" w:sz="4" w:space="0" w:color="8EA9DB"/>
              <w:left w:val="nil"/>
              <w:bottom w:val="single" w:sz="4" w:space="0" w:color="8EA9DB"/>
              <w:right w:val="nil"/>
            </w:tcBorders>
            <w:shd w:val="clear" w:color="D9E1F2" w:fill="D9E1F2"/>
            <w:noWrap/>
            <w:vAlign w:val="bottom"/>
            <w:hideMark/>
          </w:tcPr>
          <w:p w14:paraId="485F035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3026.6</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5861E1B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3708.2</w:t>
            </w:r>
          </w:p>
        </w:tc>
      </w:tr>
      <w:tr w:rsidR="00224AEB" w:rsidRPr="00224AEB" w14:paraId="3F74E5B8"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1886018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67F4384E"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4F23C0E5"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auto" w:fill="auto"/>
            <w:noWrap/>
            <w:vAlign w:val="bottom"/>
            <w:hideMark/>
          </w:tcPr>
          <w:p w14:paraId="29ABE47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4700.9</w:t>
            </w:r>
          </w:p>
        </w:tc>
        <w:tc>
          <w:tcPr>
            <w:tcW w:w="976" w:type="dxa"/>
            <w:tcBorders>
              <w:top w:val="single" w:sz="4" w:space="0" w:color="8EA9DB"/>
              <w:left w:val="nil"/>
              <w:bottom w:val="single" w:sz="4" w:space="0" w:color="8EA9DB"/>
              <w:right w:val="nil"/>
            </w:tcBorders>
            <w:shd w:val="clear" w:color="auto" w:fill="auto"/>
            <w:noWrap/>
            <w:vAlign w:val="bottom"/>
            <w:hideMark/>
          </w:tcPr>
          <w:p w14:paraId="151897C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6239.5</w:t>
            </w:r>
          </w:p>
        </w:tc>
        <w:tc>
          <w:tcPr>
            <w:tcW w:w="976" w:type="dxa"/>
            <w:tcBorders>
              <w:top w:val="single" w:sz="4" w:space="0" w:color="8EA9DB"/>
              <w:left w:val="nil"/>
              <w:bottom w:val="single" w:sz="4" w:space="0" w:color="8EA9DB"/>
              <w:right w:val="nil"/>
            </w:tcBorders>
            <w:shd w:val="clear" w:color="auto" w:fill="auto"/>
            <w:noWrap/>
            <w:vAlign w:val="bottom"/>
            <w:hideMark/>
          </w:tcPr>
          <w:p w14:paraId="2EF55FC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8128.4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189C4E4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9880.4</w:t>
            </w:r>
          </w:p>
        </w:tc>
      </w:tr>
      <w:tr w:rsidR="00224AEB" w:rsidRPr="00224AEB" w14:paraId="57D18E7F"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029DA67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7507651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338FC6D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D9E1F2" w:fill="D9E1F2"/>
            <w:noWrap/>
            <w:vAlign w:val="bottom"/>
            <w:hideMark/>
          </w:tcPr>
          <w:p w14:paraId="2DCB39E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145.3</w:t>
            </w:r>
          </w:p>
        </w:tc>
        <w:tc>
          <w:tcPr>
            <w:tcW w:w="976" w:type="dxa"/>
            <w:tcBorders>
              <w:top w:val="single" w:sz="4" w:space="0" w:color="8EA9DB"/>
              <w:left w:val="nil"/>
              <w:bottom w:val="single" w:sz="4" w:space="0" w:color="8EA9DB"/>
              <w:right w:val="nil"/>
            </w:tcBorders>
            <w:shd w:val="clear" w:color="D9E1F2" w:fill="D9E1F2"/>
            <w:noWrap/>
            <w:vAlign w:val="bottom"/>
            <w:hideMark/>
          </w:tcPr>
          <w:p w14:paraId="158CEED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220.7</w:t>
            </w:r>
          </w:p>
        </w:tc>
        <w:tc>
          <w:tcPr>
            <w:tcW w:w="976" w:type="dxa"/>
            <w:tcBorders>
              <w:top w:val="single" w:sz="4" w:space="0" w:color="8EA9DB"/>
              <w:left w:val="nil"/>
              <w:bottom w:val="single" w:sz="4" w:space="0" w:color="8EA9DB"/>
              <w:right w:val="nil"/>
            </w:tcBorders>
            <w:shd w:val="clear" w:color="D9E1F2" w:fill="D9E1F2"/>
            <w:noWrap/>
            <w:vAlign w:val="bottom"/>
            <w:hideMark/>
          </w:tcPr>
          <w:p w14:paraId="508B1D0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321.3</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7E31CEA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430.0</w:t>
            </w:r>
          </w:p>
        </w:tc>
      </w:tr>
      <w:tr w:rsidR="00224AEB" w:rsidRPr="00224AEB" w14:paraId="644D46B3"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1D54700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4B5AD13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2403ADFE"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auto" w:fill="auto"/>
            <w:noWrap/>
            <w:vAlign w:val="bottom"/>
            <w:hideMark/>
          </w:tcPr>
          <w:p w14:paraId="3C36AAD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915.2</w:t>
            </w:r>
          </w:p>
        </w:tc>
        <w:tc>
          <w:tcPr>
            <w:tcW w:w="976" w:type="dxa"/>
            <w:tcBorders>
              <w:top w:val="single" w:sz="4" w:space="0" w:color="8EA9DB"/>
              <w:left w:val="nil"/>
              <w:bottom w:val="single" w:sz="4" w:space="0" w:color="8EA9DB"/>
              <w:right w:val="nil"/>
            </w:tcBorders>
            <w:shd w:val="clear" w:color="auto" w:fill="auto"/>
            <w:noWrap/>
            <w:vAlign w:val="bottom"/>
            <w:hideMark/>
          </w:tcPr>
          <w:p w14:paraId="1D65231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1294.8</w:t>
            </w:r>
          </w:p>
        </w:tc>
        <w:tc>
          <w:tcPr>
            <w:tcW w:w="976" w:type="dxa"/>
            <w:tcBorders>
              <w:top w:val="single" w:sz="4" w:space="0" w:color="8EA9DB"/>
              <w:left w:val="nil"/>
              <w:bottom w:val="single" w:sz="4" w:space="0" w:color="8EA9DB"/>
              <w:right w:val="nil"/>
            </w:tcBorders>
            <w:shd w:val="clear" w:color="auto" w:fill="auto"/>
            <w:noWrap/>
            <w:vAlign w:val="bottom"/>
            <w:hideMark/>
          </w:tcPr>
          <w:p w14:paraId="1819B0D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1776.4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3F81740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2304.6</w:t>
            </w:r>
          </w:p>
        </w:tc>
      </w:tr>
      <w:tr w:rsidR="00224AEB" w:rsidRPr="00224AEB" w14:paraId="1E35AAF7"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039E1B2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lastRenderedPageBreak/>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638507C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076C72C0"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NOx</w:t>
            </w:r>
          </w:p>
        </w:tc>
        <w:tc>
          <w:tcPr>
            <w:tcW w:w="976" w:type="dxa"/>
            <w:tcBorders>
              <w:top w:val="single" w:sz="4" w:space="0" w:color="8EA9DB"/>
              <w:left w:val="nil"/>
              <w:bottom w:val="single" w:sz="4" w:space="0" w:color="8EA9DB"/>
              <w:right w:val="nil"/>
            </w:tcBorders>
            <w:shd w:val="clear" w:color="D9E1F2" w:fill="D9E1F2"/>
            <w:noWrap/>
            <w:vAlign w:val="bottom"/>
            <w:hideMark/>
          </w:tcPr>
          <w:p w14:paraId="667AED6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2238.2</w:t>
            </w:r>
          </w:p>
        </w:tc>
        <w:tc>
          <w:tcPr>
            <w:tcW w:w="976" w:type="dxa"/>
            <w:tcBorders>
              <w:top w:val="single" w:sz="4" w:space="0" w:color="8EA9DB"/>
              <w:left w:val="nil"/>
              <w:bottom w:val="single" w:sz="4" w:space="0" w:color="8EA9DB"/>
              <w:right w:val="nil"/>
            </w:tcBorders>
            <w:shd w:val="clear" w:color="D9E1F2" w:fill="D9E1F2"/>
            <w:noWrap/>
            <w:vAlign w:val="bottom"/>
            <w:hideMark/>
          </w:tcPr>
          <w:p w14:paraId="477A44A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3288.9</w:t>
            </w:r>
          </w:p>
        </w:tc>
        <w:tc>
          <w:tcPr>
            <w:tcW w:w="976" w:type="dxa"/>
            <w:tcBorders>
              <w:top w:val="single" w:sz="4" w:space="0" w:color="8EA9DB"/>
              <w:left w:val="nil"/>
              <w:bottom w:val="single" w:sz="4" w:space="0" w:color="8EA9DB"/>
              <w:right w:val="nil"/>
            </w:tcBorders>
            <w:shd w:val="clear" w:color="D9E1F2" w:fill="D9E1F2"/>
            <w:noWrap/>
            <w:vAlign w:val="bottom"/>
            <w:hideMark/>
          </w:tcPr>
          <w:p w14:paraId="38E5736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4706.8</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149B205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6217.6</w:t>
            </w:r>
          </w:p>
        </w:tc>
      </w:tr>
      <w:tr w:rsidR="00224AEB" w:rsidRPr="00224AEB" w14:paraId="30C04BCE"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0BEC800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0AF84C2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5F4C8416"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auto" w:fill="auto"/>
            <w:noWrap/>
            <w:vAlign w:val="bottom"/>
            <w:hideMark/>
          </w:tcPr>
          <w:p w14:paraId="157424A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389.3</w:t>
            </w:r>
          </w:p>
        </w:tc>
        <w:tc>
          <w:tcPr>
            <w:tcW w:w="976" w:type="dxa"/>
            <w:tcBorders>
              <w:top w:val="single" w:sz="4" w:space="0" w:color="8EA9DB"/>
              <w:left w:val="nil"/>
              <w:bottom w:val="single" w:sz="4" w:space="0" w:color="8EA9DB"/>
              <w:right w:val="nil"/>
            </w:tcBorders>
            <w:shd w:val="clear" w:color="auto" w:fill="auto"/>
            <w:noWrap/>
            <w:vAlign w:val="bottom"/>
            <w:hideMark/>
          </w:tcPr>
          <w:p w14:paraId="5B95A65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517.5</w:t>
            </w:r>
          </w:p>
        </w:tc>
        <w:tc>
          <w:tcPr>
            <w:tcW w:w="976" w:type="dxa"/>
            <w:tcBorders>
              <w:top w:val="single" w:sz="4" w:space="0" w:color="8EA9DB"/>
              <w:left w:val="nil"/>
              <w:bottom w:val="single" w:sz="4" w:space="0" w:color="8EA9DB"/>
              <w:right w:val="nil"/>
            </w:tcBorders>
            <w:shd w:val="clear" w:color="auto" w:fill="auto"/>
            <w:noWrap/>
            <w:vAlign w:val="bottom"/>
            <w:hideMark/>
          </w:tcPr>
          <w:p w14:paraId="321B3DB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668.2</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7C7BB44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803.4</w:t>
            </w:r>
          </w:p>
        </w:tc>
      </w:tr>
      <w:tr w:rsidR="00224AEB" w:rsidRPr="00224AEB" w14:paraId="636271A4"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5C28FE4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2BAF6E24"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064BCBD4"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D9E1F2" w:fill="D9E1F2"/>
            <w:noWrap/>
            <w:vAlign w:val="bottom"/>
            <w:hideMark/>
          </w:tcPr>
          <w:p w14:paraId="24D7266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2209.3</w:t>
            </w:r>
          </w:p>
        </w:tc>
        <w:tc>
          <w:tcPr>
            <w:tcW w:w="976" w:type="dxa"/>
            <w:tcBorders>
              <w:top w:val="single" w:sz="4" w:space="0" w:color="8EA9DB"/>
              <w:left w:val="nil"/>
              <w:bottom w:val="single" w:sz="4" w:space="0" w:color="8EA9DB"/>
              <w:right w:val="nil"/>
            </w:tcBorders>
            <w:shd w:val="clear" w:color="D9E1F2" w:fill="D9E1F2"/>
            <w:noWrap/>
            <w:vAlign w:val="bottom"/>
            <w:hideMark/>
          </w:tcPr>
          <w:p w14:paraId="4D12D5B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2840.9</w:t>
            </w:r>
          </w:p>
        </w:tc>
        <w:tc>
          <w:tcPr>
            <w:tcW w:w="976" w:type="dxa"/>
            <w:tcBorders>
              <w:top w:val="single" w:sz="4" w:space="0" w:color="8EA9DB"/>
              <w:left w:val="nil"/>
              <w:bottom w:val="single" w:sz="4" w:space="0" w:color="8EA9DB"/>
              <w:right w:val="nil"/>
            </w:tcBorders>
            <w:shd w:val="clear" w:color="D9E1F2" w:fill="D9E1F2"/>
            <w:noWrap/>
            <w:vAlign w:val="bottom"/>
            <w:hideMark/>
          </w:tcPr>
          <w:p w14:paraId="62DF5E4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3569.6</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4335008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4290.1</w:t>
            </w:r>
          </w:p>
        </w:tc>
      </w:tr>
      <w:tr w:rsidR="00224AEB" w:rsidRPr="00224AEB" w14:paraId="7E3411BB"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52AE93A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0E63E0F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04DFCC0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auto" w:fill="auto"/>
            <w:noWrap/>
            <w:vAlign w:val="bottom"/>
            <w:hideMark/>
          </w:tcPr>
          <w:p w14:paraId="18A2D06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5924.1</w:t>
            </w:r>
          </w:p>
        </w:tc>
        <w:tc>
          <w:tcPr>
            <w:tcW w:w="976" w:type="dxa"/>
            <w:tcBorders>
              <w:top w:val="single" w:sz="4" w:space="0" w:color="8EA9DB"/>
              <w:left w:val="nil"/>
              <w:bottom w:val="single" w:sz="4" w:space="0" w:color="8EA9DB"/>
              <w:right w:val="nil"/>
            </w:tcBorders>
            <w:shd w:val="clear" w:color="auto" w:fill="auto"/>
            <w:noWrap/>
            <w:vAlign w:val="bottom"/>
            <w:hideMark/>
          </w:tcPr>
          <w:p w14:paraId="663BE0B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7656.8</w:t>
            </w:r>
          </w:p>
        </w:tc>
        <w:tc>
          <w:tcPr>
            <w:tcW w:w="976" w:type="dxa"/>
            <w:tcBorders>
              <w:top w:val="single" w:sz="4" w:space="0" w:color="8EA9DB"/>
              <w:left w:val="nil"/>
              <w:bottom w:val="single" w:sz="4" w:space="0" w:color="8EA9DB"/>
              <w:right w:val="nil"/>
            </w:tcBorders>
            <w:shd w:val="clear" w:color="auto" w:fill="auto"/>
            <w:noWrap/>
            <w:vAlign w:val="bottom"/>
            <w:hideMark/>
          </w:tcPr>
          <w:p w14:paraId="3B8D8B9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9654.9</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2B873CC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11452.7</w:t>
            </w:r>
          </w:p>
        </w:tc>
      </w:tr>
      <w:tr w:rsidR="00224AEB" w:rsidRPr="00224AEB" w14:paraId="03750495"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2E9938E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4728ED6E"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36EBB2E6"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D9E1F2" w:fill="D9E1F2"/>
            <w:noWrap/>
            <w:vAlign w:val="bottom"/>
            <w:hideMark/>
          </w:tcPr>
          <w:p w14:paraId="0B3AEAB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303.6</w:t>
            </w:r>
          </w:p>
        </w:tc>
        <w:tc>
          <w:tcPr>
            <w:tcW w:w="976" w:type="dxa"/>
            <w:tcBorders>
              <w:top w:val="single" w:sz="4" w:space="0" w:color="8EA9DB"/>
              <w:left w:val="nil"/>
              <w:bottom w:val="single" w:sz="4" w:space="0" w:color="8EA9DB"/>
              <w:right w:val="nil"/>
            </w:tcBorders>
            <w:shd w:val="clear" w:color="D9E1F2" w:fill="D9E1F2"/>
            <w:noWrap/>
            <w:vAlign w:val="bottom"/>
            <w:hideMark/>
          </w:tcPr>
          <w:p w14:paraId="2CC2428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418.0</w:t>
            </w:r>
          </w:p>
        </w:tc>
        <w:tc>
          <w:tcPr>
            <w:tcW w:w="976" w:type="dxa"/>
            <w:tcBorders>
              <w:top w:val="single" w:sz="4" w:space="0" w:color="8EA9DB"/>
              <w:left w:val="nil"/>
              <w:bottom w:val="single" w:sz="4" w:space="0" w:color="8EA9DB"/>
              <w:right w:val="nil"/>
            </w:tcBorders>
            <w:shd w:val="clear" w:color="D9E1F2" w:fill="D9E1F2"/>
            <w:noWrap/>
            <w:vAlign w:val="bottom"/>
            <w:hideMark/>
          </w:tcPr>
          <w:p w14:paraId="57AB539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553.8</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17D5E31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683.1</w:t>
            </w:r>
          </w:p>
        </w:tc>
      </w:tr>
      <w:tr w:rsidR="00224AEB" w:rsidRPr="00224AEB" w14:paraId="501AA5D9"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3B3D6FD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3EF86F4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25E58DCC"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auto" w:fill="auto"/>
            <w:noWrap/>
            <w:vAlign w:val="bottom"/>
            <w:hideMark/>
          </w:tcPr>
          <w:p w14:paraId="727D804E"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1738.7</w:t>
            </w:r>
          </w:p>
        </w:tc>
        <w:tc>
          <w:tcPr>
            <w:tcW w:w="976" w:type="dxa"/>
            <w:tcBorders>
              <w:top w:val="single" w:sz="4" w:space="0" w:color="8EA9DB"/>
              <w:left w:val="nil"/>
              <w:bottom w:val="single" w:sz="4" w:space="0" w:color="8EA9DB"/>
              <w:right w:val="nil"/>
            </w:tcBorders>
            <w:shd w:val="clear" w:color="auto" w:fill="auto"/>
            <w:noWrap/>
            <w:vAlign w:val="bottom"/>
            <w:hideMark/>
          </w:tcPr>
          <w:p w14:paraId="290F323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2293.2</w:t>
            </w:r>
          </w:p>
        </w:tc>
        <w:tc>
          <w:tcPr>
            <w:tcW w:w="976" w:type="dxa"/>
            <w:tcBorders>
              <w:top w:val="single" w:sz="4" w:space="0" w:color="8EA9DB"/>
              <w:left w:val="nil"/>
              <w:bottom w:val="single" w:sz="4" w:space="0" w:color="8EA9DB"/>
              <w:right w:val="nil"/>
            </w:tcBorders>
            <w:shd w:val="clear" w:color="auto" w:fill="auto"/>
            <w:noWrap/>
            <w:vAlign w:val="bottom"/>
            <w:hideMark/>
          </w:tcPr>
          <w:p w14:paraId="4B30C48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2948.4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325A5FD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3612.4</w:t>
            </w:r>
          </w:p>
        </w:tc>
      </w:tr>
      <w:tr w:rsidR="00224AEB" w:rsidRPr="00224AEB" w14:paraId="65B5267F"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2959564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634F3FC6"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4829BBCE"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D9E1F2" w:fill="D9E1F2"/>
            <w:noWrap/>
            <w:vAlign w:val="bottom"/>
            <w:hideMark/>
          </w:tcPr>
          <w:p w14:paraId="0416969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4579.4</w:t>
            </w:r>
          </w:p>
        </w:tc>
        <w:tc>
          <w:tcPr>
            <w:tcW w:w="976" w:type="dxa"/>
            <w:tcBorders>
              <w:top w:val="single" w:sz="4" w:space="0" w:color="8EA9DB"/>
              <w:left w:val="nil"/>
              <w:bottom w:val="single" w:sz="4" w:space="0" w:color="8EA9DB"/>
              <w:right w:val="nil"/>
            </w:tcBorders>
            <w:shd w:val="clear" w:color="D9E1F2" w:fill="D9E1F2"/>
            <w:noWrap/>
            <w:vAlign w:val="bottom"/>
            <w:hideMark/>
          </w:tcPr>
          <w:p w14:paraId="09C59DA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6078.3</w:t>
            </w:r>
          </w:p>
        </w:tc>
        <w:tc>
          <w:tcPr>
            <w:tcW w:w="976" w:type="dxa"/>
            <w:tcBorders>
              <w:top w:val="single" w:sz="4" w:space="0" w:color="8EA9DB"/>
              <w:left w:val="nil"/>
              <w:bottom w:val="single" w:sz="4" w:space="0" w:color="8EA9DB"/>
              <w:right w:val="nil"/>
            </w:tcBorders>
            <w:shd w:val="clear" w:color="D9E1F2" w:fill="D9E1F2"/>
            <w:noWrap/>
            <w:vAlign w:val="bottom"/>
            <w:hideMark/>
          </w:tcPr>
          <w:p w14:paraId="312CDDA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7918.4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57F8252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9625.2</w:t>
            </w:r>
          </w:p>
        </w:tc>
      </w:tr>
      <w:tr w:rsidR="00224AEB" w:rsidRPr="00224AEB" w14:paraId="7D1A48F3"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7192C93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273E8FE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420C6FB0"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auto" w:fill="auto"/>
            <w:noWrap/>
            <w:vAlign w:val="bottom"/>
            <w:hideMark/>
          </w:tcPr>
          <w:p w14:paraId="72257D0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140.0</w:t>
            </w:r>
          </w:p>
        </w:tc>
        <w:tc>
          <w:tcPr>
            <w:tcW w:w="976" w:type="dxa"/>
            <w:tcBorders>
              <w:top w:val="single" w:sz="4" w:space="0" w:color="8EA9DB"/>
              <w:left w:val="nil"/>
              <w:bottom w:val="single" w:sz="4" w:space="0" w:color="8EA9DB"/>
              <w:right w:val="nil"/>
            </w:tcBorders>
            <w:shd w:val="clear" w:color="auto" w:fill="auto"/>
            <w:noWrap/>
            <w:vAlign w:val="bottom"/>
            <w:hideMark/>
          </w:tcPr>
          <w:p w14:paraId="23F5231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212.6</w:t>
            </w:r>
          </w:p>
        </w:tc>
        <w:tc>
          <w:tcPr>
            <w:tcW w:w="976" w:type="dxa"/>
            <w:tcBorders>
              <w:top w:val="single" w:sz="4" w:space="0" w:color="8EA9DB"/>
              <w:left w:val="nil"/>
              <w:bottom w:val="single" w:sz="4" w:space="0" w:color="8EA9DB"/>
              <w:right w:val="nil"/>
            </w:tcBorders>
            <w:shd w:val="clear" w:color="auto" w:fill="auto"/>
            <w:noWrap/>
            <w:vAlign w:val="bottom"/>
            <w:hideMark/>
          </w:tcPr>
          <w:p w14:paraId="210FA2A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309.4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143CD73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414.0</w:t>
            </w:r>
          </w:p>
        </w:tc>
      </w:tr>
      <w:tr w:rsidR="00224AEB" w:rsidRPr="00224AEB" w14:paraId="3C892189"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746D93E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2ACFE80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515BD78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D9E1F2" w:fill="D9E1F2"/>
            <w:noWrap/>
            <w:vAlign w:val="bottom"/>
            <w:hideMark/>
          </w:tcPr>
          <w:p w14:paraId="4B67686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881.3</w:t>
            </w:r>
          </w:p>
        </w:tc>
        <w:tc>
          <w:tcPr>
            <w:tcW w:w="976" w:type="dxa"/>
            <w:tcBorders>
              <w:top w:val="single" w:sz="4" w:space="0" w:color="8EA9DB"/>
              <w:left w:val="nil"/>
              <w:bottom w:val="single" w:sz="4" w:space="0" w:color="8EA9DB"/>
              <w:right w:val="nil"/>
            </w:tcBorders>
            <w:shd w:val="clear" w:color="D9E1F2" w:fill="D9E1F2"/>
            <w:noWrap/>
            <w:vAlign w:val="bottom"/>
            <w:hideMark/>
          </w:tcPr>
          <w:p w14:paraId="6968E65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1246.8</w:t>
            </w:r>
          </w:p>
        </w:tc>
        <w:tc>
          <w:tcPr>
            <w:tcW w:w="976" w:type="dxa"/>
            <w:tcBorders>
              <w:top w:val="single" w:sz="4" w:space="0" w:color="8EA9DB"/>
              <w:left w:val="nil"/>
              <w:bottom w:val="single" w:sz="4" w:space="0" w:color="8EA9DB"/>
              <w:right w:val="nil"/>
            </w:tcBorders>
            <w:shd w:val="clear" w:color="D9E1F2" w:fill="D9E1F2"/>
            <w:noWrap/>
            <w:vAlign w:val="bottom"/>
            <w:hideMark/>
          </w:tcPr>
          <w:p w14:paraId="4C67D3F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1710.5</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4E8E1A0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2219.1</w:t>
            </w:r>
          </w:p>
        </w:tc>
      </w:tr>
      <w:tr w:rsidR="00224AEB" w:rsidRPr="00224AEB" w14:paraId="12289B24"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73D857F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4DB283D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485FF279"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SO2</w:t>
            </w:r>
          </w:p>
        </w:tc>
        <w:tc>
          <w:tcPr>
            <w:tcW w:w="976" w:type="dxa"/>
            <w:tcBorders>
              <w:top w:val="single" w:sz="4" w:space="0" w:color="8EA9DB"/>
              <w:left w:val="nil"/>
              <w:bottom w:val="single" w:sz="4" w:space="0" w:color="8EA9DB"/>
              <w:right w:val="nil"/>
            </w:tcBorders>
            <w:shd w:val="clear" w:color="auto" w:fill="auto"/>
            <w:noWrap/>
            <w:vAlign w:val="bottom"/>
            <w:hideMark/>
          </w:tcPr>
          <w:p w14:paraId="23E5DA1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2155.1</w:t>
            </w:r>
          </w:p>
        </w:tc>
        <w:tc>
          <w:tcPr>
            <w:tcW w:w="976" w:type="dxa"/>
            <w:tcBorders>
              <w:top w:val="single" w:sz="4" w:space="0" w:color="8EA9DB"/>
              <w:left w:val="nil"/>
              <w:bottom w:val="single" w:sz="4" w:space="0" w:color="8EA9DB"/>
              <w:right w:val="nil"/>
            </w:tcBorders>
            <w:shd w:val="clear" w:color="auto" w:fill="auto"/>
            <w:noWrap/>
            <w:vAlign w:val="bottom"/>
            <w:hideMark/>
          </w:tcPr>
          <w:p w14:paraId="7C490F1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3166.9</w:t>
            </w:r>
          </w:p>
        </w:tc>
        <w:tc>
          <w:tcPr>
            <w:tcW w:w="976" w:type="dxa"/>
            <w:tcBorders>
              <w:top w:val="single" w:sz="4" w:space="0" w:color="8EA9DB"/>
              <w:left w:val="nil"/>
              <w:bottom w:val="single" w:sz="4" w:space="0" w:color="8EA9DB"/>
              <w:right w:val="nil"/>
            </w:tcBorders>
            <w:shd w:val="clear" w:color="auto" w:fill="auto"/>
            <w:noWrap/>
            <w:vAlign w:val="bottom"/>
            <w:hideMark/>
          </w:tcPr>
          <w:p w14:paraId="23F6C0A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4532.2</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6A53211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5987.0</w:t>
            </w:r>
          </w:p>
        </w:tc>
      </w:tr>
      <w:tr w:rsidR="00224AEB" w:rsidRPr="00224AEB" w14:paraId="63ED62F1"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3AD4614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00A40F20"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5A39E05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D9E1F2" w:fill="D9E1F2"/>
            <w:noWrap/>
            <w:vAlign w:val="bottom"/>
            <w:hideMark/>
          </w:tcPr>
          <w:p w14:paraId="79605C2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398.2</w:t>
            </w:r>
          </w:p>
        </w:tc>
        <w:tc>
          <w:tcPr>
            <w:tcW w:w="976" w:type="dxa"/>
            <w:tcBorders>
              <w:top w:val="single" w:sz="4" w:space="0" w:color="8EA9DB"/>
              <w:left w:val="nil"/>
              <w:bottom w:val="single" w:sz="4" w:space="0" w:color="8EA9DB"/>
              <w:right w:val="nil"/>
            </w:tcBorders>
            <w:shd w:val="clear" w:color="D9E1F2" w:fill="D9E1F2"/>
            <w:noWrap/>
            <w:vAlign w:val="bottom"/>
            <w:hideMark/>
          </w:tcPr>
          <w:p w14:paraId="2FE5667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529.3</w:t>
            </w:r>
          </w:p>
        </w:tc>
        <w:tc>
          <w:tcPr>
            <w:tcW w:w="976" w:type="dxa"/>
            <w:tcBorders>
              <w:top w:val="single" w:sz="4" w:space="0" w:color="8EA9DB"/>
              <w:left w:val="nil"/>
              <w:bottom w:val="single" w:sz="4" w:space="0" w:color="8EA9DB"/>
              <w:right w:val="nil"/>
            </w:tcBorders>
            <w:shd w:val="clear" w:color="D9E1F2" w:fill="D9E1F2"/>
            <w:noWrap/>
            <w:vAlign w:val="bottom"/>
            <w:hideMark/>
          </w:tcPr>
          <w:p w14:paraId="7086783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683.5</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5B22DFB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821.8</w:t>
            </w:r>
          </w:p>
        </w:tc>
      </w:tr>
      <w:tr w:rsidR="00224AEB" w:rsidRPr="00224AEB" w14:paraId="4366A782"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24F9B43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auto" w:fill="auto"/>
            <w:noWrap/>
            <w:vAlign w:val="bottom"/>
            <w:hideMark/>
          </w:tcPr>
          <w:p w14:paraId="1A841EDE"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0BACE0D8"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auto" w:fill="auto"/>
            <w:noWrap/>
            <w:vAlign w:val="bottom"/>
            <w:hideMark/>
          </w:tcPr>
          <w:p w14:paraId="023A6FE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2259.9</w:t>
            </w:r>
          </w:p>
        </w:tc>
        <w:tc>
          <w:tcPr>
            <w:tcW w:w="976" w:type="dxa"/>
            <w:tcBorders>
              <w:top w:val="single" w:sz="4" w:space="0" w:color="8EA9DB"/>
              <w:left w:val="nil"/>
              <w:bottom w:val="single" w:sz="4" w:space="0" w:color="8EA9DB"/>
              <w:right w:val="nil"/>
            </w:tcBorders>
            <w:shd w:val="clear" w:color="auto" w:fill="auto"/>
            <w:noWrap/>
            <w:vAlign w:val="bottom"/>
            <w:hideMark/>
          </w:tcPr>
          <w:p w14:paraId="57F882D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2906.1</w:t>
            </w:r>
          </w:p>
        </w:tc>
        <w:tc>
          <w:tcPr>
            <w:tcW w:w="976" w:type="dxa"/>
            <w:tcBorders>
              <w:top w:val="single" w:sz="4" w:space="0" w:color="8EA9DB"/>
              <w:left w:val="nil"/>
              <w:bottom w:val="single" w:sz="4" w:space="0" w:color="8EA9DB"/>
              <w:right w:val="nil"/>
            </w:tcBorders>
            <w:shd w:val="clear" w:color="auto" w:fill="auto"/>
            <w:noWrap/>
            <w:vAlign w:val="bottom"/>
            <w:hideMark/>
          </w:tcPr>
          <w:p w14:paraId="2D9F749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3651.5</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642D92D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4388.5</w:t>
            </w:r>
          </w:p>
        </w:tc>
      </w:tr>
      <w:tr w:rsidR="00224AEB" w:rsidRPr="00224AEB" w14:paraId="38DB803E"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5434ED8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2.5%</w:t>
            </w:r>
          </w:p>
        </w:tc>
        <w:tc>
          <w:tcPr>
            <w:tcW w:w="1859" w:type="dxa"/>
            <w:tcBorders>
              <w:top w:val="single" w:sz="4" w:space="0" w:color="8EA9DB"/>
              <w:left w:val="nil"/>
              <w:bottom w:val="single" w:sz="4" w:space="0" w:color="8EA9DB"/>
              <w:right w:val="nil"/>
            </w:tcBorders>
            <w:shd w:val="clear" w:color="D9E1F2" w:fill="D9E1F2"/>
            <w:noWrap/>
            <w:vAlign w:val="bottom"/>
            <w:hideMark/>
          </w:tcPr>
          <w:p w14:paraId="0D8A5DCB"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0EA521D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D9E1F2" w:fill="D9E1F2"/>
            <w:noWrap/>
            <w:vAlign w:val="bottom"/>
            <w:hideMark/>
          </w:tcPr>
          <w:p w14:paraId="7010676F"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6060.0</w:t>
            </w:r>
          </w:p>
        </w:tc>
        <w:tc>
          <w:tcPr>
            <w:tcW w:w="976" w:type="dxa"/>
            <w:tcBorders>
              <w:top w:val="single" w:sz="4" w:space="0" w:color="8EA9DB"/>
              <w:left w:val="nil"/>
              <w:bottom w:val="single" w:sz="4" w:space="0" w:color="8EA9DB"/>
              <w:right w:val="nil"/>
            </w:tcBorders>
            <w:shd w:val="clear" w:color="D9E1F2" w:fill="D9E1F2"/>
            <w:noWrap/>
            <w:vAlign w:val="bottom"/>
            <w:hideMark/>
          </w:tcPr>
          <w:p w14:paraId="48DD73D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7832.5</w:t>
            </w:r>
          </w:p>
        </w:tc>
        <w:tc>
          <w:tcPr>
            <w:tcW w:w="976" w:type="dxa"/>
            <w:tcBorders>
              <w:top w:val="single" w:sz="4" w:space="0" w:color="8EA9DB"/>
              <w:left w:val="nil"/>
              <w:bottom w:val="single" w:sz="4" w:space="0" w:color="8EA9DB"/>
              <w:right w:val="nil"/>
            </w:tcBorders>
            <w:shd w:val="clear" w:color="D9E1F2" w:fill="D9E1F2"/>
            <w:noWrap/>
            <w:vAlign w:val="bottom"/>
            <w:hideMark/>
          </w:tcPr>
          <w:p w14:paraId="1CFBD8F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9876.4</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1AA14B8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11715.4</w:t>
            </w:r>
          </w:p>
        </w:tc>
      </w:tr>
      <w:tr w:rsidR="00224AEB" w:rsidRPr="00224AEB" w14:paraId="689C6FEF"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57D38A3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696A229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3B55C2A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auto" w:fill="auto"/>
            <w:noWrap/>
            <w:vAlign w:val="bottom"/>
            <w:hideMark/>
          </w:tcPr>
          <w:p w14:paraId="64194DD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311.7</w:t>
            </w:r>
          </w:p>
        </w:tc>
        <w:tc>
          <w:tcPr>
            <w:tcW w:w="976" w:type="dxa"/>
            <w:tcBorders>
              <w:top w:val="single" w:sz="4" w:space="0" w:color="8EA9DB"/>
              <w:left w:val="nil"/>
              <w:bottom w:val="single" w:sz="4" w:space="0" w:color="8EA9DB"/>
              <w:right w:val="nil"/>
            </w:tcBorders>
            <w:shd w:val="clear" w:color="auto" w:fill="auto"/>
            <w:noWrap/>
            <w:vAlign w:val="bottom"/>
            <w:hideMark/>
          </w:tcPr>
          <w:p w14:paraId="6A10AF6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429.1</w:t>
            </w:r>
          </w:p>
        </w:tc>
        <w:tc>
          <w:tcPr>
            <w:tcW w:w="976" w:type="dxa"/>
            <w:tcBorders>
              <w:top w:val="single" w:sz="4" w:space="0" w:color="8EA9DB"/>
              <w:left w:val="nil"/>
              <w:bottom w:val="single" w:sz="4" w:space="0" w:color="8EA9DB"/>
              <w:right w:val="nil"/>
            </w:tcBorders>
            <w:shd w:val="clear" w:color="auto" w:fill="auto"/>
            <w:noWrap/>
            <w:vAlign w:val="bottom"/>
            <w:hideMark/>
          </w:tcPr>
          <w:p w14:paraId="6D83537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568.5</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68ADA4E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701.2</w:t>
            </w:r>
          </w:p>
        </w:tc>
      </w:tr>
      <w:tr w:rsidR="00224AEB" w:rsidRPr="00224AEB" w14:paraId="45F96B24"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547F163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D9E1F2" w:fill="D9E1F2"/>
            <w:noWrap/>
            <w:vAlign w:val="bottom"/>
            <w:hideMark/>
          </w:tcPr>
          <w:p w14:paraId="2A850A0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D9E1F2" w:fill="D9E1F2"/>
            <w:noWrap/>
            <w:vAlign w:val="bottom"/>
            <w:hideMark/>
          </w:tcPr>
          <w:p w14:paraId="77B9C26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D9E1F2" w:fill="D9E1F2"/>
            <w:noWrap/>
            <w:vAlign w:val="bottom"/>
            <w:hideMark/>
          </w:tcPr>
          <w:p w14:paraId="2C64BD85"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1784.8</w:t>
            </w:r>
          </w:p>
        </w:tc>
        <w:tc>
          <w:tcPr>
            <w:tcW w:w="976" w:type="dxa"/>
            <w:tcBorders>
              <w:top w:val="single" w:sz="4" w:space="0" w:color="8EA9DB"/>
              <w:left w:val="nil"/>
              <w:bottom w:val="single" w:sz="4" w:space="0" w:color="8EA9DB"/>
              <w:right w:val="nil"/>
            </w:tcBorders>
            <w:shd w:val="clear" w:color="D9E1F2" w:fill="D9E1F2"/>
            <w:noWrap/>
            <w:vAlign w:val="bottom"/>
            <w:hideMark/>
          </w:tcPr>
          <w:p w14:paraId="0E3F0062"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2354.0</w:t>
            </w:r>
          </w:p>
        </w:tc>
        <w:tc>
          <w:tcPr>
            <w:tcW w:w="976" w:type="dxa"/>
            <w:tcBorders>
              <w:top w:val="single" w:sz="4" w:space="0" w:color="8EA9DB"/>
              <w:left w:val="nil"/>
              <w:bottom w:val="single" w:sz="4" w:space="0" w:color="8EA9DB"/>
              <w:right w:val="nil"/>
            </w:tcBorders>
            <w:shd w:val="clear" w:color="D9E1F2" w:fill="D9E1F2"/>
            <w:noWrap/>
            <w:vAlign w:val="bottom"/>
            <w:hideMark/>
          </w:tcPr>
          <w:p w14:paraId="385C7A3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3026.6</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34A2007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3708.2</w:t>
            </w:r>
          </w:p>
        </w:tc>
      </w:tr>
      <w:tr w:rsidR="00224AEB" w:rsidRPr="00224AEB" w14:paraId="746DDD54"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0C90129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3.0%</w:t>
            </w:r>
          </w:p>
        </w:tc>
        <w:tc>
          <w:tcPr>
            <w:tcW w:w="1859" w:type="dxa"/>
            <w:tcBorders>
              <w:top w:val="single" w:sz="4" w:space="0" w:color="8EA9DB"/>
              <w:left w:val="nil"/>
              <w:bottom w:val="single" w:sz="4" w:space="0" w:color="8EA9DB"/>
              <w:right w:val="nil"/>
            </w:tcBorders>
            <w:shd w:val="clear" w:color="auto" w:fill="auto"/>
            <w:noWrap/>
            <w:vAlign w:val="bottom"/>
            <w:hideMark/>
          </w:tcPr>
          <w:p w14:paraId="0E268593"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auto" w:fill="auto"/>
            <w:noWrap/>
            <w:vAlign w:val="bottom"/>
            <w:hideMark/>
          </w:tcPr>
          <w:p w14:paraId="670B1A92"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auto" w:fill="auto"/>
            <w:noWrap/>
            <w:vAlign w:val="bottom"/>
            <w:hideMark/>
          </w:tcPr>
          <w:p w14:paraId="30073FE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4700.9</w:t>
            </w:r>
          </w:p>
        </w:tc>
        <w:tc>
          <w:tcPr>
            <w:tcW w:w="976" w:type="dxa"/>
            <w:tcBorders>
              <w:top w:val="single" w:sz="4" w:space="0" w:color="8EA9DB"/>
              <w:left w:val="nil"/>
              <w:bottom w:val="single" w:sz="4" w:space="0" w:color="8EA9DB"/>
              <w:right w:val="nil"/>
            </w:tcBorders>
            <w:shd w:val="clear" w:color="auto" w:fill="auto"/>
            <w:noWrap/>
            <w:vAlign w:val="bottom"/>
            <w:hideMark/>
          </w:tcPr>
          <w:p w14:paraId="2254F6C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6239.5</w:t>
            </w:r>
          </w:p>
        </w:tc>
        <w:tc>
          <w:tcPr>
            <w:tcW w:w="976" w:type="dxa"/>
            <w:tcBorders>
              <w:top w:val="single" w:sz="4" w:space="0" w:color="8EA9DB"/>
              <w:left w:val="nil"/>
              <w:bottom w:val="single" w:sz="4" w:space="0" w:color="8EA9DB"/>
              <w:right w:val="nil"/>
            </w:tcBorders>
            <w:shd w:val="clear" w:color="auto" w:fill="auto"/>
            <w:noWrap/>
            <w:vAlign w:val="bottom"/>
            <w:hideMark/>
          </w:tcPr>
          <w:p w14:paraId="7174291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8128.4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6C78E173"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9880.4</w:t>
            </w:r>
          </w:p>
        </w:tc>
      </w:tr>
      <w:tr w:rsidR="00224AEB" w:rsidRPr="00224AEB" w14:paraId="43D61A90"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35D0D6B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27CA771D"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Low (5th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79322BC0"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D9E1F2" w:fill="D9E1F2"/>
            <w:noWrap/>
            <w:vAlign w:val="bottom"/>
            <w:hideMark/>
          </w:tcPr>
          <w:p w14:paraId="14C557D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145.3</w:t>
            </w:r>
          </w:p>
        </w:tc>
        <w:tc>
          <w:tcPr>
            <w:tcW w:w="976" w:type="dxa"/>
            <w:tcBorders>
              <w:top w:val="single" w:sz="4" w:space="0" w:color="8EA9DB"/>
              <w:left w:val="nil"/>
              <w:bottom w:val="single" w:sz="4" w:space="0" w:color="8EA9DB"/>
              <w:right w:val="nil"/>
            </w:tcBorders>
            <w:shd w:val="clear" w:color="D9E1F2" w:fill="D9E1F2"/>
            <w:noWrap/>
            <w:vAlign w:val="bottom"/>
            <w:hideMark/>
          </w:tcPr>
          <w:p w14:paraId="1442919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220.7</w:t>
            </w:r>
          </w:p>
        </w:tc>
        <w:tc>
          <w:tcPr>
            <w:tcW w:w="976" w:type="dxa"/>
            <w:tcBorders>
              <w:top w:val="single" w:sz="4" w:space="0" w:color="8EA9DB"/>
              <w:left w:val="nil"/>
              <w:bottom w:val="single" w:sz="4" w:space="0" w:color="8EA9DB"/>
              <w:right w:val="nil"/>
            </w:tcBorders>
            <w:shd w:val="clear" w:color="D9E1F2" w:fill="D9E1F2"/>
            <w:noWrap/>
            <w:vAlign w:val="bottom"/>
            <w:hideMark/>
          </w:tcPr>
          <w:p w14:paraId="71AC6C11"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321.3</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5B4D698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430.0</w:t>
            </w:r>
          </w:p>
        </w:tc>
      </w:tr>
      <w:tr w:rsidR="00224AEB" w:rsidRPr="00224AEB" w14:paraId="5F6F0D62" w14:textId="77777777" w:rsidTr="006C0453">
        <w:trPr>
          <w:trHeight w:val="300"/>
        </w:trPr>
        <w:tc>
          <w:tcPr>
            <w:tcW w:w="1020" w:type="dxa"/>
            <w:tcBorders>
              <w:top w:val="single" w:sz="4" w:space="0" w:color="8EA9DB"/>
              <w:left w:val="nil"/>
              <w:bottom w:val="single" w:sz="4" w:space="0" w:color="8EA9DB"/>
              <w:right w:val="nil"/>
            </w:tcBorders>
            <w:shd w:val="clear" w:color="auto" w:fill="auto"/>
            <w:noWrap/>
            <w:vAlign w:val="bottom"/>
            <w:hideMark/>
          </w:tcPr>
          <w:p w14:paraId="07C5DAD6"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auto" w:fill="auto"/>
            <w:noWrap/>
            <w:vAlign w:val="bottom"/>
            <w:hideMark/>
          </w:tcPr>
          <w:p w14:paraId="4C68F306"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Mid</w:t>
            </w:r>
          </w:p>
        </w:tc>
        <w:tc>
          <w:tcPr>
            <w:tcW w:w="1057" w:type="dxa"/>
            <w:tcBorders>
              <w:top w:val="single" w:sz="4" w:space="0" w:color="8EA9DB"/>
              <w:left w:val="nil"/>
              <w:bottom w:val="single" w:sz="4" w:space="0" w:color="8EA9DB"/>
              <w:right w:val="nil"/>
            </w:tcBorders>
            <w:shd w:val="clear" w:color="auto" w:fill="auto"/>
            <w:noWrap/>
            <w:vAlign w:val="bottom"/>
            <w:hideMark/>
          </w:tcPr>
          <w:p w14:paraId="3E23D5F7"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auto" w:fill="auto"/>
            <w:noWrap/>
            <w:vAlign w:val="bottom"/>
            <w:hideMark/>
          </w:tcPr>
          <w:p w14:paraId="7FD44469"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915.2</w:t>
            </w:r>
          </w:p>
        </w:tc>
        <w:tc>
          <w:tcPr>
            <w:tcW w:w="976" w:type="dxa"/>
            <w:tcBorders>
              <w:top w:val="single" w:sz="4" w:space="0" w:color="8EA9DB"/>
              <w:left w:val="nil"/>
              <w:bottom w:val="single" w:sz="4" w:space="0" w:color="8EA9DB"/>
              <w:right w:val="nil"/>
            </w:tcBorders>
            <w:shd w:val="clear" w:color="auto" w:fill="auto"/>
            <w:noWrap/>
            <w:vAlign w:val="bottom"/>
            <w:hideMark/>
          </w:tcPr>
          <w:p w14:paraId="080DBAFB"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1294.8</w:t>
            </w:r>
          </w:p>
        </w:tc>
        <w:tc>
          <w:tcPr>
            <w:tcW w:w="976" w:type="dxa"/>
            <w:tcBorders>
              <w:top w:val="single" w:sz="4" w:space="0" w:color="8EA9DB"/>
              <w:left w:val="nil"/>
              <w:bottom w:val="single" w:sz="4" w:space="0" w:color="8EA9DB"/>
              <w:right w:val="nil"/>
            </w:tcBorders>
            <w:shd w:val="clear" w:color="auto" w:fill="auto"/>
            <w:noWrap/>
            <w:vAlign w:val="bottom"/>
            <w:hideMark/>
          </w:tcPr>
          <w:p w14:paraId="3209C0AD"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1776.4</w:t>
            </w:r>
          </w:p>
        </w:tc>
        <w:tc>
          <w:tcPr>
            <w:tcW w:w="968" w:type="dxa"/>
            <w:tcBorders>
              <w:top w:val="single" w:sz="4" w:space="0" w:color="8EA9DB"/>
              <w:left w:val="nil"/>
              <w:bottom w:val="single" w:sz="4" w:space="0" w:color="8EA9DB"/>
              <w:right w:val="single" w:sz="4" w:space="0" w:color="8EA9DB"/>
            </w:tcBorders>
            <w:shd w:val="clear" w:color="auto" w:fill="auto"/>
            <w:noWrap/>
            <w:vAlign w:val="bottom"/>
            <w:hideMark/>
          </w:tcPr>
          <w:p w14:paraId="7490508C"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2304.6</w:t>
            </w:r>
          </w:p>
        </w:tc>
      </w:tr>
      <w:tr w:rsidR="00224AEB" w:rsidRPr="00224AEB" w14:paraId="49EA1D84" w14:textId="77777777" w:rsidTr="006C0453">
        <w:trPr>
          <w:trHeight w:val="300"/>
        </w:trPr>
        <w:tc>
          <w:tcPr>
            <w:tcW w:w="1020" w:type="dxa"/>
            <w:tcBorders>
              <w:top w:val="single" w:sz="4" w:space="0" w:color="8EA9DB"/>
              <w:left w:val="nil"/>
              <w:bottom w:val="single" w:sz="4" w:space="0" w:color="8EA9DB"/>
              <w:right w:val="nil"/>
            </w:tcBorders>
            <w:shd w:val="clear" w:color="D9E1F2" w:fill="D9E1F2"/>
            <w:noWrap/>
            <w:vAlign w:val="bottom"/>
            <w:hideMark/>
          </w:tcPr>
          <w:p w14:paraId="426152A0"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5.0%</w:t>
            </w:r>
          </w:p>
        </w:tc>
        <w:tc>
          <w:tcPr>
            <w:tcW w:w="1859" w:type="dxa"/>
            <w:tcBorders>
              <w:top w:val="single" w:sz="4" w:space="0" w:color="8EA9DB"/>
              <w:left w:val="nil"/>
              <w:bottom w:val="single" w:sz="4" w:space="0" w:color="8EA9DB"/>
              <w:right w:val="nil"/>
            </w:tcBorders>
            <w:shd w:val="clear" w:color="D9E1F2" w:fill="D9E1F2"/>
            <w:noWrap/>
            <w:vAlign w:val="bottom"/>
            <w:hideMark/>
          </w:tcPr>
          <w:p w14:paraId="2AAB9EC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High (95th perc.)</w:t>
            </w:r>
          </w:p>
        </w:tc>
        <w:tc>
          <w:tcPr>
            <w:tcW w:w="1057" w:type="dxa"/>
            <w:tcBorders>
              <w:top w:val="single" w:sz="4" w:space="0" w:color="8EA9DB"/>
              <w:left w:val="nil"/>
              <w:bottom w:val="single" w:sz="4" w:space="0" w:color="8EA9DB"/>
              <w:right w:val="nil"/>
            </w:tcBorders>
            <w:shd w:val="clear" w:color="D9E1F2" w:fill="D9E1F2"/>
            <w:noWrap/>
            <w:vAlign w:val="bottom"/>
            <w:hideMark/>
          </w:tcPr>
          <w:p w14:paraId="75827B9A" w14:textId="77777777" w:rsidR="00224AEB" w:rsidRPr="00224AEB" w:rsidRDefault="00224AEB" w:rsidP="00224AEB">
            <w:pPr>
              <w:jc w:val="left"/>
              <w:rPr>
                <w:rFonts w:ascii="Calibri" w:eastAsia="Times New Roman" w:hAnsi="Calibri" w:cs="Calibri"/>
                <w:color w:val="000000"/>
                <w:lang w:eastAsia="en-SE"/>
              </w:rPr>
            </w:pPr>
            <w:r w:rsidRPr="00224AEB">
              <w:rPr>
                <w:rFonts w:ascii="Calibri" w:eastAsia="Times New Roman" w:hAnsi="Calibri" w:cs="Calibri"/>
                <w:color w:val="000000"/>
                <w:lang w:eastAsia="en-SE"/>
              </w:rPr>
              <w:t>NH3</w:t>
            </w:r>
          </w:p>
        </w:tc>
        <w:tc>
          <w:tcPr>
            <w:tcW w:w="976" w:type="dxa"/>
            <w:tcBorders>
              <w:top w:val="single" w:sz="4" w:space="0" w:color="8EA9DB"/>
              <w:left w:val="nil"/>
              <w:bottom w:val="single" w:sz="4" w:space="0" w:color="8EA9DB"/>
              <w:right w:val="nil"/>
            </w:tcBorders>
            <w:shd w:val="clear" w:color="D9E1F2" w:fill="D9E1F2"/>
            <w:noWrap/>
            <w:vAlign w:val="bottom"/>
            <w:hideMark/>
          </w:tcPr>
          <w:p w14:paraId="29CCBBA8"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2238.2</w:t>
            </w:r>
          </w:p>
        </w:tc>
        <w:tc>
          <w:tcPr>
            <w:tcW w:w="976" w:type="dxa"/>
            <w:tcBorders>
              <w:top w:val="single" w:sz="4" w:space="0" w:color="8EA9DB"/>
              <w:left w:val="nil"/>
              <w:bottom w:val="single" w:sz="4" w:space="0" w:color="8EA9DB"/>
              <w:right w:val="nil"/>
            </w:tcBorders>
            <w:shd w:val="clear" w:color="D9E1F2" w:fill="D9E1F2"/>
            <w:noWrap/>
            <w:vAlign w:val="bottom"/>
            <w:hideMark/>
          </w:tcPr>
          <w:p w14:paraId="17885684"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3288.9</w:t>
            </w:r>
          </w:p>
        </w:tc>
        <w:tc>
          <w:tcPr>
            <w:tcW w:w="976" w:type="dxa"/>
            <w:tcBorders>
              <w:top w:val="single" w:sz="4" w:space="0" w:color="8EA9DB"/>
              <w:left w:val="nil"/>
              <w:bottom w:val="single" w:sz="4" w:space="0" w:color="8EA9DB"/>
              <w:right w:val="nil"/>
            </w:tcBorders>
            <w:shd w:val="clear" w:color="D9E1F2" w:fill="D9E1F2"/>
            <w:noWrap/>
            <w:vAlign w:val="bottom"/>
            <w:hideMark/>
          </w:tcPr>
          <w:p w14:paraId="173C1A07"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4706.8</w:t>
            </w:r>
          </w:p>
        </w:tc>
        <w:tc>
          <w:tcPr>
            <w:tcW w:w="968" w:type="dxa"/>
            <w:tcBorders>
              <w:top w:val="single" w:sz="4" w:space="0" w:color="8EA9DB"/>
              <w:left w:val="nil"/>
              <w:bottom w:val="single" w:sz="4" w:space="0" w:color="8EA9DB"/>
              <w:right w:val="single" w:sz="4" w:space="0" w:color="8EA9DB"/>
            </w:tcBorders>
            <w:shd w:val="clear" w:color="D9E1F2" w:fill="D9E1F2"/>
            <w:noWrap/>
            <w:vAlign w:val="bottom"/>
            <w:hideMark/>
          </w:tcPr>
          <w:p w14:paraId="7E6A2A6A" w14:textId="77777777" w:rsidR="00224AEB" w:rsidRPr="00224AEB" w:rsidRDefault="00224AEB" w:rsidP="00224AEB">
            <w:pPr>
              <w:jc w:val="right"/>
              <w:rPr>
                <w:rFonts w:ascii="Calibri" w:eastAsia="Times New Roman" w:hAnsi="Calibri" w:cs="Calibri"/>
                <w:color w:val="000000"/>
                <w:lang w:eastAsia="en-SE"/>
              </w:rPr>
            </w:pPr>
            <w:r w:rsidRPr="00224AEB">
              <w:rPr>
                <w:rFonts w:ascii="Calibri" w:eastAsia="Times New Roman" w:hAnsi="Calibri" w:cs="Calibri"/>
                <w:color w:val="000000"/>
                <w:lang w:eastAsia="en-SE"/>
              </w:rPr>
              <w:t>6217.6</w:t>
            </w:r>
          </w:p>
        </w:tc>
      </w:tr>
    </w:tbl>
    <w:p w14:paraId="22DE18BB" w14:textId="50684883" w:rsidR="00224AEB" w:rsidRDefault="00224AEB" w:rsidP="00224AEB">
      <w:pPr>
        <w:jc w:val="both"/>
        <w:rPr>
          <w:lang w:val="en-GB"/>
        </w:rPr>
      </w:pPr>
    </w:p>
    <w:p w14:paraId="4BB2B02B" w14:textId="211D2EA6" w:rsidR="00895737" w:rsidRDefault="00895737" w:rsidP="00224AEB">
      <w:pPr>
        <w:jc w:val="both"/>
        <w:rPr>
          <w:lang w:val="en-GB"/>
        </w:rPr>
      </w:pPr>
    </w:p>
    <w:p w14:paraId="779365A7" w14:textId="0ED8503C" w:rsidR="00895737" w:rsidRDefault="00895737" w:rsidP="00BA5E69">
      <w:pPr>
        <w:pStyle w:val="Heading3"/>
        <w:spacing w:line="480" w:lineRule="auto"/>
        <w:ind w:right="521"/>
        <w:jc w:val="left"/>
        <w:rPr>
          <w:lang w:val="en-GB"/>
        </w:rPr>
      </w:pPr>
      <w:r>
        <w:rPr>
          <w:lang w:val="en-GB"/>
        </w:rPr>
        <w:t>SM1 – References</w:t>
      </w:r>
    </w:p>
    <w:p w14:paraId="1B8AC373" w14:textId="77777777" w:rsidR="00895737" w:rsidRDefault="00895737" w:rsidP="00895737">
      <w:pPr>
        <w:ind w:right="521"/>
        <w:jc w:val="left"/>
        <w:rPr>
          <w:rFonts w:ascii="Times New Roman" w:hAnsi="Times New Roman" w:cs="Times New Roman"/>
          <w:sz w:val="24"/>
          <w:szCs w:val="24"/>
          <w:lang w:val="en-US"/>
        </w:rPr>
      </w:pPr>
      <w:r>
        <w:rPr>
          <w:rFonts w:ascii="Times New Roman" w:hAnsi="Times New Roman" w:cs="Times New Roman"/>
          <w:sz w:val="24"/>
          <w:szCs w:val="24"/>
          <w:lang w:val="en-GB"/>
        </w:rPr>
        <w:t xml:space="preserve">AEA Technology (2022). </w:t>
      </w:r>
      <w:r w:rsidRPr="00C2738E">
        <w:rPr>
          <w:rFonts w:ascii="Times New Roman" w:hAnsi="Times New Roman" w:cs="Times New Roman"/>
          <w:sz w:val="24"/>
          <w:szCs w:val="24"/>
          <w:lang w:val="en-GB"/>
        </w:rPr>
        <w:t>The Chemistry of Atmospheric Pollutants</w:t>
      </w:r>
      <w:r>
        <w:rPr>
          <w:rFonts w:ascii="Times New Roman" w:hAnsi="Times New Roman" w:cs="Times New Roman"/>
          <w:sz w:val="24"/>
          <w:szCs w:val="24"/>
          <w:lang w:val="en-GB"/>
        </w:rPr>
        <w:t xml:space="preserve">, </w:t>
      </w:r>
      <w:hyperlink r:id="rId5" w:history="1">
        <w:r w:rsidRPr="00B41020">
          <w:rPr>
            <w:rStyle w:val="Hyperlink"/>
            <w:rFonts w:ascii="Times New Roman" w:hAnsi="Times New Roman" w:cs="Times New Roman"/>
            <w:sz w:val="24"/>
            <w:szCs w:val="24"/>
            <w:lang w:val="en-GB"/>
          </w:rPr>
          <w:t>https://www.slb.nu/e/chem.htm</w:t>
        </w:r>
      </w:hyperlink>
      <w:r>
        <w:rPr>
          <w:rFonts w:ascii="Times New Roman" w:hAnsi="Times New Roman" w:cs="Times New Roman"/>
          <w:sz w:val="24"/>
          <w:szCs w:val="24"/>
          <w:lang w:val="en-GB"/>
        </w:rPr>
        <w:t>, accessed 5</w:t>
      </w:r>
      <w:r w:rsidRPr="00C2738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December 2022.</w:t>
      </w:r>
    </w:p>
    <w:p w14:paraId="06AAE6FF" w14:textId="0DE850DB" w:rsidR="00895737" w:rsidRDefault="00895737" w:rsidP="00224AEB">
      <w:pPr>
        <w:jc w:val="both"/>
        <w:rPr>
          <w:lang w:val="en-US"/>
        </w:rPr>
      </w:pPr>
    </w:p>
    <w:p w14:paraId="01921A2E" w14:textId="77777777" w:rsidR="007A69A1" w:rsidRPr="00D56260" w:rsidRDefault="007A69A1" w:rsidP="007A69A1">
      <w:pPr>
        <w:ind w:right="521"/>
        <w:jc w:val="left"/>
        <w:rPr>
          <w:rFonts w:ascii="Times New Roman" w:hAnsi="Times New Roman" w:cs="Times New Roman"/>
          <w:sz w:val="24"/>
          <w:szCs w:val="24"/>
          <w:lang w:val="en-US"/>
        </w:rPr>
      </w:pPr>
      <w:r w:rsidRPr="00D56260">
        <w:rPr>
          <w:rFonts w:ascii="Times New Roman" w:hAnsi="Times New Roman" w:cs="Times New Roman"/>
          <w:sz w:val="24"/>
          <w:szCs w:val="24"/>
          <w:lang w:val="en-US"/>
        </w:rPr>
        <w:t>Interagency Working Group on Social Cost of Greenhouse Gases (2021). Technical Support Document: Social Cost of Carbon, Methane, and Nitrous Oxide Interim Estimates under Executive Order 13990.</w:t>
      </w:r>
    </w:p>
    <w:p w14:paraId="2472AC44" w14:textId="4E86F2FF" w:rsidR="00895737" w:rsidRDefault="00895737" w:rsidP="00224AEB">
      <w:pPr>
        <w:jc w:val="both"/>
        <w:rPr>
          <w:lang w:val="en-US"/>
        </w:rPr>
      </w:pPr>
    </w:p>
    <w:p w14:paraId="67DAC9CB" w14:textId="77777777" w:rsidR="0004257D" w:rsidRPr="00D56260" w:rsidRDefault="0004257D" w:rsidP="0004257D">
      <w:pPr>
        <w:ind w:right="521"/>
        <w:jc w:val="left"/>
        <w:rPr>
          <w:rFonts w:ascii="Times New Roman" w:hAnsi="Times New Roman" w:cs="Times New Roman"/>
          <w:sz w:val="24"/>
          <w:szCs w:val="24"/>
          <w:lang w:val="en-US"/>
        </w:rPr>
      </w:pPr>
      <w:proofErr w:type="spellStart"/>
      <w:r w:rsidRPr="00D56260">
        <w:rPr>
          <w:rFonts w:ascii="Times New Roman" w:hAnsi="Times New Roman" w:cs="Times New Roman"/>
          <w:sz w:val="24"/>
          <w:szCs w:val="24"/>
          <w:lang w:val="en-US"/>
        </w:rPr>
        <w:t>Szopa</w:t>
      </w:r>
      <w:proofErr w:type="spellEnd"/>
      <w:r w:rsidRPr="00D56260">
        <w:rPr>
          <w:rFonts w:ascii="Times New Roman" w:hAnsi="Times New Roman" w:cs="Times New Roman"/>
          <w:sz w:val="24"/>
          <w:szCs w:val="24"/>
          <w:lang w:val="en-US"/>
        </w:rPr>
        <w:t xml:space="preserve">, S., V. Naik, B. </w:t>
      </w:r>
      <w:proofErr w:type="spellStart"/>
      <w:r w:rsidRPr="00D56260">
        <w:rPr>
          <w:rFonts w:ascii="Times New Roman" w:hAnsi="Times New Roman" w:cs="Times New Roman"/>
          <w:sz w:val="24"/>
          <w:szCs w:val="24"/>
          <w:lang w:val="en-US"/>
        </w:rPr>
        <w:t>Adhikary</w:t>
      </w:r>
      <w:proofErr w:type="spellEnd"/>
      <w:r w:rsidRPr="00D56260">
        <w:rPr>
          <w:rFonts w:ascii="Times New Roman" w:hAnsi="Times New Roman" w:cs="Times New Roman"/>
          <w:sz w:val="24"/>
          <w:szCs w:val="24"/>
          <w:lang w:val="en-US"/>
        </w:rPr>
        <w:t xml:space="preserve">, P. </w:t>
      </w:r>
      <w:proofErr w:type="spellStart"/>
      <w:r w:rsidRPr="00D56260">
        <w:rPr>
          <w:rFonts w:ascii="Times New Roman" w:hAnsi="Times New Roman" w:cs="Times New Roman"/>
          <w:sz w:val="24"/>
          <w:szCs w:val="24"/>
          <w:lang w:val="en-US"/>
        </w:rPr>
        <w:t>Artaxo</w:t>
      </w:r>
      <w:proofErr w:type="spellEnd"/>
      <w:r w:rsidRPr="00D56260">
        <w:rPr>
          <w:rFonts w:ascii="Times New Roman" w:hAnsi="Times New Roman" w:cs="Times New Roman"/>
          <w:sz w:val="24"/>
          <w:szCs w:val="24"/>
          <w:lang w:val="en-US"/>
        </w:rPr>
        <w:t xml:space="preserve">, T. Berntsen, W. D. Collins, S. </w:t>
      </w:r>
      <w:proofErr w:type="spellStart"/>
      <w:r w:rsidRPr="00D56260">
        <w:rPr>
          <w:rFonts w:ascii="Times New Roman" w:hAnsi="Times New Roman" w:cs="Times New Roman"/>
          <w:sz w:val="24"/>
          <w:szCs w:val="24"/>
          <w:lang w:val="en-US"/>
        </w:rPr>
        <w:t>Fuzzi</w:t>
      </w:r>
      <w:proofErr w:type="spellEnd"/>
      <w:r w:rsidRPr="00D56260">
        <w:rPr>
          <w:rFonts w:ascii="Times New Roman" w:hAnsi="Times New Roman" w:cs="Times New Roman"/>
          <w:sz w:val="24"/>
          <w:szCs w:val="24"/>
          <w:lang w:val="en-US"/>
        </w:rPr>
        <w:t xml:space="preserve">, L. Gallardo, A. </w:t>
      </w:r>
      <w:proofErr w:type="spellStart"/>
      <w:r w:rsidRPr="00D56260">
        <w:rPr>
          <w:rFonts w:ascii="Times New Roman" w:hAnsi="Times New Roman" w:cs="Times New Roman"/>
          <w:sz w:val="24"/>
          <w:szCs w:val="24"/>
          <w:lang w:val="en-US"/>
        </w:rPr>
        <w:t>Kiendler</w:t>
      </w:r>
      <w:proofErr w:type="spellEnd"/>
      <w:r w:rsidRPr="00D56260">
        <w:rPr>
          <w:rFonts w:ascii="Times New Roman" w:hAnsi="Times New Roman" w:cs="Times New Roman"/>
          <w:sz w:val="24"/>
          <w:szCs w:val="24"/>
          <w:lang w:val="en-US"/>
        </w:rPr>
        <w:t xml:space="preserve"> </w:t>
      </w:r>
      <w:proofErr w:type="spellStart"/>
      <w:r w:rsidRPr="00D56260">
        <w:rPr>
          <w:rFonts w:ascii="Times New Roman" w:hAnsi="Times New Roman" w:cs="Times New Roman"/>
          <w:sz w:val="24"/>
          <w:szCs w:val="24"/>
          <w:lang w:val="en-US"/>
        </w:rPr>
        <w:t>Scharr</w:t>
      </w:r>
      <w:proofErr w:type="spellEnd"/>
      <w:r w:rsidRPr="00D56260">
        <w:rPr>
          <w:rFonts w:ascii="Times New Roman" w:hAnsi="Times New Roman" w:cs="Times New Roman"/>
          <w:sz w:val="24"/>
          <w:szCs w:val="24"/>
          <w:lang w:val="en-US"/>
        </w:rPr>
        <w:t xml:space="preserve">, Z. Klimont, H. Liao, N. </w:t>
      </w:r>
      <w:proofErr w:type="gramStart"/>
      <w:r w:rsidRPr="00D56260">
        <w:rPr>
          <w:rFonts w:ascii="Times New Roman" w:hAnsi="Times New Roman" w:cs="Times New Roman"/>
          <w:sz w:val="24"/>
          <w:szCs w:val="24"/>
          <w:lang w:val="en-US"/>
        </w:rPr>
        <w:t>Unger</w:t>
      </w:r>
      <w:proofErr w:type="gramEnd"/>
      <w:r w:rsidRPr="00D56260">
        <w:rPr>
          <w:rFonts w:ascii="Times New Roman" w:hAnsi="Times New Roman" w:cs="Times New Roman"/>
          <w:sz w:val="24"/>
          <w:szCs w:val="24"/>
          <w:lang w:val="en-US"/>
        </w:rPr>
        <w:t xml:space="preserve"> and P. </w:t>
      </w:r>
      <w:proofErr w:type="spellStart"/>
      <w:r w:rsidRPr="00D56260">
        <w:rPr>
          <w:rFonts w:ascii="Times New Roman" w:hAnsi="Times New Roman" w:cs="Times New Roman"/>
          <w:sz w:val="24"/>
          <w:szCs w:val="24"/>
          <w:lang w:val="en-US"/>
        </w:rPr>
        <w:t>Zanis</w:t>
      </w:r>
      <w:proofErr w:type="spellEnd"/>
      <w:r w:rsidRPr="00D56260">
        <w:rPr>
          <w:rFonts w:ascii="Times New Roman" w:hAnsi="Times New Roman" w:cs="Times New Roman"/>
          <w:sz w:val="24"/>
          <w:szCs w:val="24"/>
          <w:lang w:val="en-US"/>
        </w:rPr>
        <w:t xml:space="preserve"> (2021). Short-Lived Climate Forcers. Climate Change 2021: The Physical Science Basis. Contribution of Working Group I to the Sixth Assessment Report of the Intergovernmental Panel on Climate Change. V. Masson-</w:t>
      </w:r>
      <w:proofErr w:type="spellStart"/>
      <w:r w:rsidRPr="00D56260">
        <w:rPr>
          <w:rFonts w:ascii="Times New Roman" w:hAnsi="Times New Roman" w:cs="Times New Roman"/>
          <w:sz w:val="24"/>
          <w:szCs w:val="24"/>
          <w:lang w:val="en-US"/>
        </w:rPr>
        <w:t>Delmotte</w:t>
      </w:r>
      <w:proofErr w:type="spellEnd"/>
      <w:r w:rsidRPr="00D56260">
        <w:rPr>
          <w:rFonts w:ascii="Times New Roman" w:hAnsi="Times New Roman" w:cs="Times New Roman"/>
          <w:sz w:val="24"/>
          <w:szCs w:val="24"/>
          <w:lang w:val="en-US"/>
        </w:rPr>
        <w:t xml:space="preserve">, P. </w:t>
      </w:r>
      <w:proofErr w:type="spellStart"/>
      <w:r w:rsidRPr="00D56260">
        <w:rPr>
          <w:rFonts w:ascii="Times New Roman" w:hAnsi="Times New Roman" w:cs="Times New Roman"/>
          <w:sz w:val="24"/>
          <w:szCs w:val="24"/>
          <w:lang w:val="en-US"/>
        </w:rPr>
        <w:t>Zhai</w:t>
      </w:r>
      <w:proofErr w:type="spellEnd"/>
      <w:r w:rsidRPr="00D56260">
        <w:rPr>
          <w:rFonts w:ascii="Times New Roman" w:hAnsi="Times New Roman" w:cs="Times New Roman"/>
          <w:sz w:val="24"/>
          <w:szCs w:val="24"/>
          <w:lang w:val="en-US"/>
        </w:rPr>
        <w:t>, A. Pirani et al., Cambridge University Press.</w:t>
      </w:r>
    </w:p>
    <w:p w14:paraId="2A24FBC0" w14:textId="7260D794" w:rsidR="0004257D" w:rsidRDefault="0004257D" w:rsidP="00224AEB">
      <w:pPr>
        <w:jc w:val="both"/>
        <w:rPr>
          <w:lang w:val="en-US"/>
        </w:rPr>
      </w:pPr>
    </w:p>
    <w:p w14:paraId="4356A48A" w14:textId="77777777" w:rsidR="00BA5E69" w:rsidRDefault="00BA5E69" w:rsidP="00BA5E69">
      <w:pPr>
        <w:ind w:right="521"/>
        <w:jc w:val="left"/>
        <w:rPr>
          <w:rFonts w:ascii="Times New Roman" w:hAnsi="Times New Roman" w:cs="Times New Roman"/>
          <w:sz w:val="24"/>
          <w:szCs w:val="24"/>
          <w:lang w:val="en-US"/>
        </w:rPr>
      </w:pPr>
      <w:r w:rsidRPr="00D62118">
        <w:rPr>
          <w:rFonts w:ascii="Times New Roman" w:hAnsi="Times New Roman" w:cs="Times New Roman"/>
          <w:sz w:val="24"/>
          <w:szCs w:val="24"/>
          <w:lang w:val="en-US"/>
        </w:rPr>
        <w:t>United States Agency for Toxic Substances and Disease Registry (2022)</w:t>
      </w:r>
      <w:r>
        <w:rPr>
          <w:rFonts w:ascii="Times New Roman" w:hAnsi="Times New Roman" w:cs="Times New Roman"/>
          <w:sz w:val="24"/>
          <w:szCs w:val="24"/>
          <w:lang w:val="en-US"/>
        </w:rPr>
        <w:t xml:space="preserve">. Toxic Substances Portal, </w:t>
      </w:r>
      <w:hyperlink r:id="rId6" w:history="1">
        <w:r w:rsidRPr="00B41020">
          <w:rPr>
            <w:rStyle w:val="Hyperlink"/>
            <w:rFonts w:ascii="Times New Roman" w:hAnsi="Times New Roman" w:cs="Times New Roman"/>
            <w:sz w:val="24"/>
            <w:szCs w:val="24"/>
            <w:lang w:val="en-US"/>
          </w:rPr>
          <w:t>https://wwwn.cdc.gov/TSP/index.aspx</w:t>
        </w:r>
      </w:hyperlink>
      <w:r>
        <w:rPr>
          <w:rFonts w:ascii="Times New Roman" w:hAnsi="Times New Roman" w:cs="Times New Roman"/>
          <w:sz w:val="24"/>
          <w:szCs w:val="24"/>
          <w:lang w:val="en-US"/>
        </w:rPr>
        <w:t>, accessed 5</w:t>
      </w:r>
      <w:r w:rsidRPr="006F2E9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December 2022</w:t>
      </w:r>
    </w:p>
    <w:p w14:paraId="083B4C0B" w14:textId="77777777" w:rsidR="0004257D" w:rsidRPr="00895737" w:rsidRDefault="0004257D" w:rsidP="00224AEB">
      <w:pPr>
        <w:jc w:val="both"/>
        <w:rPr>
          <w:lang w:val="en-US"/>
        </w:rPr>
      </w:pPr>
    </w:p>
    <w:sectPr w:rsidR="0004257D" w:rsidRPr="00895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EDF"/>
    <w:multiLevelType w:val="hybridMultilevel"/>
    <w:tmpl w:val="18FAA9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895A20"/>
    <w:multiLevelType w:val="hybridMultilevel"/>
    <w:tmpl w:val="5F466C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04106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106411"/>
    <w:multiLevelType w:val="hybridMultilevel"/>
    <w:tmpl w:val="0A14EE46"/>
    <w:lvl w:ilvl="0" w:tplc="47B67E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FB11BA0"/>
    <w:multiLevelType w:val="hybridMultilevel"/>
    <w:tmpl w:val="0AFA7268"/>
    <w:lvl w:ilvl="0" w:tplc="808E402A">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54076BB"/>
    <w:multiLevelType w:val="hybridMultilevel"/>
    <w:tmpl w:val="3F6C6FF0"/>
    <w:lvl w:ilvl="0" w:tplc="0BF40536">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B6E45F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525E09"/>
    <w:multiLevelType w:val="hybridMultilevel"/>
    <w:tmpl w:val="8040B2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2910E7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0143451">
    <w:abstractNumId w:val="1"/>
  </w:num>
  <w:num w:numId="2" w16cid:durableId="1397239076">
    <w:abstractNumId w:val="7"/>
  </w:num>
  <w:num w:numId="3" w16cid:durableId="1890336529">
    <w:abstractNumId w:val="8"/>
  </w:num>
  <w:num w:numId="4" w16cid:durableId="889459138">
    <w:abstractNumId w:val="6"/>
  </w:num>
  <w:num w:numId="5" w16cid:durableId="1865627236">
    <w:abstractNumId w:val="2"/>
  </w:num>
  <w:num w:numId="6" w16cid:durableId="1239438236">
    <w:abstractNumId w:val="5"/>
  </w:num>
  <w:num w:numId="7" w16cid:durableId="1082870483">
    <w:abstractNumId w:val="0"/>
  </w:num>
  <w:num w:numId="8" w16cid:durableId="1035810456">
    <w:abstractNumId w:val="3"/>
  </w:num>
  <w:num w:numId="9" w16cid:durableId="700253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EB"/>
    <w:rsid w:val="0004257D"/>
    <w:rsid w:val="00224AEB"/>
    <w:rsid w:val="00415FA2"/>
    <w:rsid w:val="00464CC5"/>
    <w:rsid w:val="006C0453"/>
    <w:rsid w:val="007A69A1"/>
    <w:rsid w:val="007D48DF"/>
    <w:rsid w:val="00895737"/>
    <w:rsid w:val="00BA5E69"/>
    <w:rsid w:val="00C249E7"/>
    <w:rsid w:val="00CF5339"/>
    <w:rsid w:val="00E52B09"/>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3958"/>
  <w15:chartTrackingRefBased/>
  <w15:docId w15:val="{F5D0F860-9A3C-4FCF-B606-649487E2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EB"/>
    <w:pPr>
      <w:spacing w:after="0" w:line="240" w:lineRule="auto"/>
      <w:jc w:val="center"/>
    </w:pPr>
  </w:style>
  <w:style w:type="paragraph" w:styleId="Heading1">
    <w:name w:val="heading 1"/>
    <w:basedOn w:val="Normal"/>
    <w:next w:val="Normal"/>
    <w:link w:val="Heading1Char"/>
    <w:uiPriority w:val="9"/>
    <w:qFormat/>
    <w:rsid w:val="00224A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4A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4A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A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4A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4AEB"/>
    <w:rPr>
      <w:rFonts w:asciiTheme="majorHAnsi" w:eastAsiaTheme="majorEastAsia" w:hAnsiTheme="majorHAnsi" w:cstheme="majorBidi"/>
      <w:color w:val="1F3763" w:themeColor="accent1" w:themeShade="7F"/>
      <w:sz w:val="24"/>
      <w:szCs w:val="24"/>
    </w:rPr>
  </w:style>
  <w:style w:type="character" w:styleId="LineNumber">
    <w:name w:val="line number"/>
    <w:basedOn w:val="DefaultParagraphFont"/>
    <w:uiPriority w:val="99"/>
    <w:semiHidden/>
    <w:unhideWhenUsed/>
    <w:rsid w:val="00224AEB"/>
  </w:style>
  <w:style w:type="paragraph" w:styleId="FootnoteText">
    <w:name w:val="footnote text"/>
    <w:basedOn w:val="Normal"/>
    <w:link w:val="FootnoteTextChar"/>
    <w:uiPriority w:val="99"/>
    <w:semiHidden/>
    <w:unhideWhenUsed/>
    <w:rsid w:val="00224AEB"/>
    <w:rPr>
      <w:sz w:val="20"/>
      <w:szCs w:val="20"/>
    </w:rPr>
  </w:style>
  <w:style w:type="character" w:customStyle="1" w:styleId="FootnoteTextChar">
    <w:name w:val="Footnote Text Char"/>
    <w:basedOn w:val="DefaultParagraphFont"/>
    <w:link w:val="FootnoteText"/>
    <w:uiPriority w:val="99"/>
    <w:semiHidden/>
    <w:rsid w:val="00224AEB"/>
    <w:rPr>
      <w:sz w:val="20"/>
      <w:szCs w:val="20"/>
    </w:rPr>
  </w:style>
  <w:style w:type="character" w:styleId="FootnoteReference">
    <w:name w:val="footnote reference"/>
    <w:basedOn w:val="DefaultParagraphFont"/>
    <w:uiPriority w:val="99"/>
    <w:semiHidden/>
    <w:unhideWhenUsed/>
    <w:rsid w:val="00224AEB"/>
    <w:rPr>
      <w:vertAlign w:val="superscript"/>
    </w:rPr>
  </w:style>
  <w:style w:type="paragraph" w:styleId="Caption">
    <w:name w:val="caption"/>
    <w:basedOn w:val="Normal"/>
    <w:next w:val="Normal"/>
    <w:uiPriority w:val="35"/>
    <w:unhideWhenUsed/>
    <w:qFormat/>
    <w:rsid w:val="00224AEB"/>
    <w:pPr>
      <w:spacing w:after="200"/>
    </w:pPr>
    <w:rPr>
      <w:i/>
      <w:iCs/>
      <w:color w:val="44546A" w:themeColor="text2"/>
      <w:sz w:val="18"/>
      <w:szCs w:val="18"/>
    </w:rPr>
  </w:style>
  <w:style w:type="paragraph" w:customStyle="1" w:styleId="TableParagraph">
    <w:name w:val="Table Paragraph"/>
    <w:basedOn w:val="Normal"/>
    <w:uiPriority w:val="1"/>
    <w:qFormat/>
    <w:rsid w:val="00224AEB"/>
    <w:pPr>
      <w:widowControl w:val="0"/>
      <w:autoSpaceDE w:val="0"/>
      <w:autoSpaceDN w:val="0"/>
      <w:spacing w:line="200" w:lineRule="exact"/>
    </w:pPr>
    <w:rPr>
      <w:rFonts w:ascii="Calibri" w:eastAsia="Calibri" w:hAnsi="Calibri" w:cs="Calibri"/>
      <w:lang w:val="en-US"/>
    </w:rPr>
  </w:style>
  <w:style w:type="character" w:styleId="PlaceholderText">
    <w:name w:val="Placeholder Text"/>
    <w:basedOn w:val="DefaultParagraphFont"/>
    <w:uiPriority w:val="99"/>
    <w:semiHidden/>
    <w:rsid w:val="00224AEB"/>
    <w:rPr>
      <w:color w:val="808080"/>
    </w:rPr>
  </w:style>
  <w:style w:type="character" w:styleId="Hyperlink">
    <w:name w:val="Hyperlink"/>
    <w:basedOn w:val="DefaultParagraphFont"/>
    <w:uiPriority w:val="99"/>
    <w:unhideWhenUsed/>
    <w:rsid w:val="00224AEB"/>
    <w:rPr>
      <w:color w:val="0563C1" w:themeColor="hyperlink"/>
      <w:u w:val="single"/>
    </w:rPr>
  </w:style>
  <w:style w:type="character" w:styleId="UnresolvedMention">
    <w:name w:val="Unresolved Mention"/>
    <w:basedOn w:val="DefaultParagraphFont"/>
    <w:uiPriority w:val="99"/>
    <w:semiHidden/>
    <w:unhideWhenUsed/>
    <w:rsid w:val="00224AEB"/>
    <w:rPr>
      <w:color w:val="605E5C"/>
      <w:shd w:val="clear" w:color="auto" w:fill="E1DFDD"/>
    </w:rPr>
  </w:style>
  <w:style w:type="paragraph" w:styleId="ListParagraph">
    <w:name w:val="List Paragraph"/>
    <w:basedOn w:val="Normal"/>
    <w:uiPriority w:val="34"/>
    <w:qFormat/>
    <w:rsid w:val="00224AEB"/>
    <w:pPr>
      <w:ind w:left="720"/>
      <w:contextualSpacing/>
    </w:pPr>
  </w:style>
  <w:style w:type="character" w:styleId="FollowedHyperlink">
    <w:name w:val="FollowedHyperlink"/>
    <w:basedOn w:val="DefaultParagraphFont"/>
    <w:uiPriority w:val="99"/>
    <w:semiHidden/>
    <w:unhideWhenUsed/>
    <w:rsid w:val="00224AEB"/>
    <w:rPr>
      <w:color w:val="954F72"/>
      <w:u w:val="single"/>
    </w:rPr>
  </w:style>
  <w:style w:type="paragraph" w:customStyle="1" w:styleId="msonormal0">
    <w:name w:val="msonormal"/>
    <w:basedOn w:val="Normal"/>
    <w:rsid w:val="00224AEB"/>
    <w:pPr>
      <w:spacing w:before="100" w:beforeAutospacing="1" w:after="100" w:afterAutospacing="1"/>
      <w:jc w:val="left"/>
    </w:pPr>
    <w:rPr>
      <w:rFonts w:ascii="Times New Roman" w:eastAsia="Times New Roman" w:hAnsi="Times New Roman" w:cs="Times New Roman"/>
      <w:sz w:val="24"/>
      <w:szCs w:val="24"/>
      <w:lang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0735">
      <w:bodyDiv w:val="1"/>
      <w:marLeft w:val="0"/>
      <w:marRight w:val="0"/>
      <w:marTop w:val="0"/>
      <w:marBottom w:val="0"/>
      <w:divBdr>
        <w:top w:val="none" w:sz="0" w:space="0" w:color="auto"/>
        <w:left w:val="none" w:sz="0" w:space="0" w:color="auto"/>
        <w:bottom w:val="none" w:sz="0" w:space="0" w:color="auto"/>
        <w:right w:val="none" w:sz="0" w:space="0" w:color="auto"/>
      </w:divBdr>
    </w:div>
    <w:div w:id="18613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gov/TSP/index.aspx" TargetMode="External"/><Relationship Id="rId5" Type="http://schemas.openxmlformats.org/officeDocument/2006/relationships/hyperlink" Target="https://www.slb.nu/e/che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Åström</dc:creator>
  <cp:keywords/>
  <dc:description/>
  <cp:lastModifiedBy>Stefan Åström</cp:lastModifiedBy>
  <cp:revision>6</cp:revision>
  <dcterms:created xsi:type="dcterms:W3CDTF">2022-12-05T20:10:00Z</dcterms:created>
  <dcterms:modified xsi:type="dcterms:W3CDTF">2022-12-05T20:40:00Z</dcterms:modified>
</cp:coreProperties>
</file>