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B1" w:rsidRDefault="008F07B1" w:rsidP="008F07B1">
      <w:pPr>
        <w:pStyle w:val="Heading1"/>
        <w:numPr>
          <w:ilvl w:val="0"/>
          <w:numId w:val="0"/>
        </w:numPr>
        <w:rPr>
          <w:lang w:val="en-US"/>
        </w:rPr>
      </w:pPr>
      <w:r>
        <w:rPr>
          <w:lang w:val="en-US"/>
        </w:rPr>
        <w:t>Appendix</w:t>
      </w:r>
    </w:p>
    <w:p w:rsidR="008F07B1" w:rsidRDefault="008F07B1" w:rsidP="008F07B1">
      <w:pPr>
        <w:pStyle w:val="Heading2"/>
        <w:numPr>
          <w:ilvl w:val="0"/>
          <w:numId w:val="0"/>
        </w:numPr>
        <w:rPr>
          <w:lang w:val="en-US"/>
        </w:rPr>
      </w:pPr>
      <w:r>
        <w:rPr>
          <w:lang w:val="en-US"/>
        </w:rPr>
        <w:t>Appendix A. Deriving the Share of Program Participants that become a Bystander</w:t>
      </w:r>
    </w:p>
    <w:p w:rsidR="008F07B1" w:rsidRDefault="008F07B1" w:rsidP="008F07B1">
      <w:pPr>
        <w:ind w:firstLine="357"/>
        <w:rPr>
          <w:rFonts w:cs="Times New Roman"/>
          <w:lang w:val="en-US"/>
        </w:rPr>
      </w:pPr>
      <w:r>
        <w:rPr>
          <w:rFonts w:cs="Times New Roman"/>
          <w:lang w:val="en-US"/>
        </w:rPr>
        <w:t>As described above, equation (3) gives the share of program participants that become a bystander. Suppose program participants (</w:t>
      </w:r>
      <m:oMath>
        <m:r>
          <w:rPr>
            <w:rFonts w:ascii="Cambria Math" w:hAnsi="Cambria Math" w:cs="Times New Roman"/>
            <w:lang w:val="en-US"/>
          </w:rPr>
          <m:t>PARTICIPANTS</m:t>
        </m:r>
      </m:oMath>
      <w:r>
        <w:rPr>
          <w:rFonts w:eastAsiaTheme="minorEastAsia" w:cs="Times New Roman"/>
          <w:lang w:val="en-US"/>
        </w:rPr>
        <w:t>) are drawn from the total population (</w:t>
      </w:r>
      <m:oMath>
        <m:r>
          <w:rPr>
            <w:rFonts w:ascii="Cambria Math" w:hAnsi="Cambria Math" w:cs="Times New Roman"/>
            <w:lang w:val="en-US"/>
          </w:rPr>
          <m:t>Total population</m:t>
        </m:r>
      </m:oMath>
      <w:r>
        <w:rPr>
          <w:rFonts w:eastAsiaTheme="minorEastAsia" w:cs="Times New Roman"/>
          <w:lang w:val="en-US"/>
        </w:rPr>
        <w:t>)</w:t>
      </w:r>
      <w:r>
        <w:rPr>
          <w:rFonts w:cs="Times New Roman"/>
          <w:lang w:val="en-US"/>
        </w:rPr>
        <w:t>. T</w:t>
      </w:r>
      <w:r w:rsidRPr="0085647A">
        <w:rPr>
          <w:rFonts w:cs="Times New Roman"/>
          <w:lang w:val="en-US"/>
        </w:rPr>
        <w:t xml:space="preserve">argeting occurs according to their risk potential. The </w:t>
      </w:r>
      <w:r>
        <w:rPr>
          <w:rFonts w:cs="Times New Roman"/>
          <w:lang w:val="en-US"/>
        </w:rPr>
        <w:t>share</w:t>
      </w:r>
      <w:r w:rsidRPr="0085647A">
        <w:rPr>
          <w:rFonts w:cs="Times New Roman"/>
          <w:lang w:val="en-US"/>
        </w:rPr>
        <w:t xml:space="preserve"> of </w:t>
      </w:r>
      <w:r>
        <w:rPr>
          <w:rFonts w:cs="Times New Roman"/>
          <w:lang w:val="en-US"/>
        </w:rPr>
        <w:t xml:space="preserve">bystanders within the total population is given by </w:t>
      </w:r>
      <m:oMath>
        <m:r>
          <w:rPr>
            <w:rFonts w:ascii="Cambria Math" w:hAnsi="Cambria Math" w:cs="Times New Roman"/>
            <w:lang w:val="en-US"/>
          </w:rPr>
          <m:t>Risk population</m:t>
        </m:r>
      </m:oMath>
      <w:r w:rsidRPr="0085647A">
        <w:rPr>
          <w:rFonts w:cs="Times New Roman"/>
          <w:lang w:val="en-US"/>
        </w:rPr>
        <w:t xml:space="preserve">. In comparison, </w:t>
      </w:r>
      <m:oMath>
        <m:r>
          <w:rPr>
            <w:rFonts w:ascii="Cambria Math" w:hAnsi="Cambria Math" w:cs="Times New Roman"/>
            <w:lang w:val="en-US"/>
          </w:rPr>
          <m:t>BYSTANDER</m:t>
        </m:r>
      </m:oMath>
      <w:r w:rsidRPr="0085647A">
        <w:rPr>
          <w:rFonts w:cs="Times New Roman"/>
          <w:lang w:val="en-US"/>
        </w:rPr>
        <w:t xml:space="preserve"> is the </w:t>
      </w:r>
      <w:r>
        <w:rPr>
          <w:rFonts w:cs="Times New Roman"/>
          <w:lang w:val="en-US"/>
        </w:rPr>
        <w:t>share</w:t>
      </w:r>
      <w:r w:rsidRPr="0085647A">
        <w:rPr>
          <w:rFonts w:cs="Times New Roman"/>
          <w:lang w:val="en-US"/>
        </w:rPr>
        <w:t xml:space="preserve"> of program participants that </w:t>
      </w:r>
      <w:r>
        <w:rPr>
          <w:rFonts w:cs="Times New Roman"/>
          <w:lang w:val="en-US"/>
        </w:rPr>
        <w:t>become a bystander</w:t>
      </w:r>
      <w:r w:rsidRPr="0085647A">
        <w:rPr>
          <w:rFonts w:cs="Times New Roman"/>
          <w:lang w:val="en-US"/>
        </w:rPr>
        <w:t xml:space="preserve"> after </w:t>
      </w:r>
      <w:r>
        <w:rPr>
          <w:rFonts w:cs="Times New Roman"/>
          <w:lang w:val="en-US"/>
        </w:rPr>
        <w:t>training</w:t>
      </w:r>
      <w:r w:rsidRPr="0085647A">
        <w:rPr>
          <w:rFonts w:cs="Times New Roman"/>
          <w:lang w:val="en-US"/>
        </w:rPr>
        <w:t xml:space="preserve">. Targeting </w:t>
      </w:r>
      <w:r>
        <w:rPr>
          <w:rFonts w:cs="Times New Roman"/>
          <w:lang w:val="en-US"/>
        </w:rPr>
        <w:t xml:space="preserve">thus </w:t>
      </w:r>
      <w:r w:rsidRPr="0085647A">
        <w:rPr>
          <w:rFonts w:cs="Times New Roman"/>
          <w:lang w:val="en-US"/>
        </w:rPr>
        <w:t xml:space="preserve">translates </w:t>
      </w:r>
      <m:oMath>
        <m:r>
          <w:rPr>
            <w:rFonts w:ascii="Cambria Math" w:hAnsi="Cambria Math" w:cs="Times New Roman"/>
            <w:lang w:val="en-US"/>
          </w:rPr>
          <m:t>Total population</m:t>
        </m:r>
      </m:oMath>
      <w:r w:rsidRPr="0085647A">
        <w:rPr>
          <w:rFonts w:cs="Times New Roman"/>
          <w:lang w:val="en-US"/>
        </w:rPr>
        <w:t xml:space="preserve"> into </w:t>
      </w:r>
      <m:oMath>
        <m:r>
          <w:rPr>
            <w:rFonts w:ascii="Cambria Math" w:hAnsi="Cambria Math" w:cs="Times New Roman"/>
            <w:lang w:val="en-US"/>
          </w:rPr>
          <m:t>PARTICIPANTS</m:t>
        </m:r>
      </m:oMath>
      <w:r>
        <w:rPr>
          <w:rFonts w:cs="Times New Roman"/>
          <w:lang w:val="en-US"/>
        </w:rPr>
        <w:t xml:space="preserve">, </w:t>
      </w:r>
      <w:r w:rsidRPr="0085647A">
        <w:rPr>
          <w:rFonts w:cs="Times New Roman"/>
          <w:lang w:val="en-US"/>
        </w:rPr>
        <w:t xml:space="preserve">and </w:t>
      </w:r>
      <m:oMath>
        <m:r>
          <w:rPr>
            <w:rFonts w:ascii="Cambria Math" w:hAnsi="Cambria Math" w:cs="Times New Roman"/>
            <w:lang w:val="en-US"/>
          </w:rPr>
          <m:t>Risk population</m:t>
        </m:r>
      </m:oMath>
      <w:r w:rsidRPr="0085647A">
        <w:rPr>
          <w:rFonts w:cs="Times New Roman"/>
          <w:lang w:val="en-US"/>
        </w:rPr>
        <w:t xml:space="preserve"> into </w:t>
      </w:r>
      <m:oMath>
        <m:r>
          <w:rPr>
            <w:rFonts w:ascii="Cambria Math" w:hAnsi="Cambria Math" w:cs="Times New Roman"/>
            <w:lang w:val="en-US"/>
          </w:rPr>
          <m:t>BYSTANDER</m:t>
        </m:r>
      </m:oMath>
      <w:r w:rsidRPr="0085647A">
        <w:rPr>
          <w:rFonts w:cs="Times New Roman"/>
          <w:lang w:val="en-US"/>
        </w:rPr>
        <w:t xml:space="preserve">. </w:t>
      </w:r>
      <w:r>
        <w:rPr>
          <w:rFonts w:cs="Times New Roman"/>
          <w:lang w:val="en-US"/>
        </w:rPr>
        <w:t>Accordingly, the</w:t>
      </w:r>
      <w:r w:rsidRPr="004A0A03">
        <w:rPr>
          <w:rFonts w:cs="Times New Roman"/>
          <w:lang w:val="en-US"/>
        </w:rPr>
        <w:t xml:space="preserve"> </w:t>
      </w:r>
      <w:r>
        <w:rPr>
          <w:rFonts w:cs="Times New Roman"/>
          <w:lang w:val="en-US"/>
        </w:rPr>
        <w:t xml:space="preserve">total </w:t>
      </w:r>
      <w:r w:rsidRPr="004A0A03">
        <w:rPr>
          <w:rFonts w:cs="Times New Roman"/>
          <w:lang w:val="en-US"/>
        </w:rPr>
        <w:t>number of individuals within the population</w:t>
      </w:r>
      <w:r>
        <w:rPr>
          <w:rFonts w:cs="Times New Roman"/>
          <w:lang w:val="en-US"/>
        </w:rPr>
        <w:t xml:space="preserve"> who become a bystander is given by </w:t>
      </w:r>
      <m:oMath>
        <m:r>
          <w:rPr>
            <w:rFonts w:ascii="Cambria Math" w:hAnsi="Cambria Math" w:cs="Times New Roman"/>
            <w:lang w:val="en-US"/>
          </w:rPr>
          <m:t>Risk population×Total population</m:t>
        </m:r>
      </m:oMath>
      <w:r>
        <w:rPr>
          <w:rFonts w:eastAsiaTheme="minorEastAsia" w:cs="Times New Roman"/>
          <w:lang w:val="en-US"/>
        </w:rPr>
        <w:t xml:space="preserve">. For the sake of simplicity, we assume that targeting assigns all of these individuals to the program. </w:t>
      </w:r>
      <w:r>
        <w:rPr>
          <w:rFonts w:cs="Times New Roman"/>
          <w:lang w:val="en-US"/>
        </w:rPr>
        <w:t xml:space="preserve">Hence, the total number of program participants who will become a bystander also given by </w:t>
      </w:r>
      <m:oMath>
        <m:r>
          <w:rPr>
            <w:rFonts w:ascii="Cambria Math" w:hAnsi="Cambria Math" w:cs="Times New Roman"/>
            <w:lang w:val="en-US"/>
          </w:rPr>
          <m:t>Risk population×Total population</m:t>
        </m:r>
      </m:oMath>
      <w:r w:rsidRPr="0085647A">
        <w:rPr>
          <w:rFonts w:cs="Times New Roman"/>
          <w:lang w:val="en-US"/>
        </w:rPr>
        <w:t xml:space="preserve">. </w:t>
      </w:r>
      <w:r>
        <w:rPr>
          <w:rFonts w:cs="Times New Roman"/>
          <w:lang w:val="en-US"/>
        </w:rPr>
        <w:t xml:space="preserve">Logically, the total </w:t>
      </w:r>
      <w:r w:rsidRPr="004A0A03">
        <w:rPr>
          <w:rFonts w:cs="Times New Roman"/>
          <w:lang w:val="en-US"/>
        </w:rPr>
        <w:t xml:space="preserve">number of individuals within the </w:t>
      </w:r>
      <w:r>
        <w:rPr>
          <w:rFonts w:cs="Times New Roman"/>
          <w:lang w:val="en-US"/>
        </w:rPr>
        <w:t xml:space="preserve">total </w:t>
      </w:r>
      <w:r w:rsidRPr="004A0A03">
        <w:rPr>
          <w:rFonts w:cs="Times New Roman"/>
          <w:lang w:val="en-US"/>
        </w:rPr>
        <w:t>population</w:t>
      </w:r>
      <w:r>
        <w:rPr>
          <w:rFonts w:cs="Times New Roman"/>
          <w:lang w:val="en-US"/>
        </w:rPr>
        <w:t xml:space="preserve"> who will not become a bystander is given by </w:t>
      </w:r>
      <m:oMath>
        <m:r>
          <w:rPr>
            <w:rFonts w:ascii="Cambria Math" w:hAnsi="Cambria Math" w:cs="Times New Roman"/>
            <w:lang w:val="en-US"/>
          </w:rPr>
          <m:t>(1-Risk population)Total population</m:t>
        </m:r>
      </m:oMath>
      <w:r>
        <w:rPr>
          <w:rFonts w:eastAsiaTheme="minorEastAsia" w:cs="Times New Roman"/>
          <w:lang w:val="en-US"/>
        </w:rPr>
        <w:t xml:space="preserve">. How many of these individuals are assigned to the program is determined by targeting precision. We denote targeting precision as </w:t>
      </w:r>
      <m:oMath>
        <m:r>
          <w:rPr>
            <w:rFonts w:ascii="Cambria Math" w:hAnsi="Cambria Math" w:cs="Times New Roman"/>
            <w:lang w:val="en-US"/>
          </w:rPr>
          <m:t>PRECISION</m:t>
        </m:r>
      </m:oMath>
      <w:r>
        <w:rPr>
          <w:rFonts w:cs="Times New Roman"/>
          <w:lang w:val="en-US"/>
        </w:rPr>
        <w:t>.</w:t>
      </w:r>
      <w:r>
        <w:rPr>
          <w:rStyle w:val="FootnoteReference"/>
          <w:rFonts w:cs="Times New Roman"/>
          <w:lang w:val="en-US"/>
        </w:rPr>
        <w:footnoteReference w:id="1"/>
      </w:r>
    </w:p>
    <w:p w:rsidR="008F07B1" w:rsidRDefault="008F07B1" w:rsidP="008F07B1">
      <w:pPr>
        <w:spacing w:after="0"/>
        <w:rPr>
          <w:rFonts w:cs="Times New Roman"/>
          <w:lang w:val="en-US"/>
        </w:rPr>
      </w:pPr>
    </w:p>
    <w:p w:rsidR="008F07B1" w:rsidRDefault="008F07B1" w:rsidP="008F07B1">
      <w:pPr>
        <w:spacing w:after="0"/>
        <w:rPr>
          <w:rFonts w:cs="Times New Roman"/>
          <w:lang w:val="en-US"/>
        </w:rPr>
        <w:sectPr w:rsidR="008F07B1" w:rsidSect="007B60AE">
          <w:footerReference w:type="default" r:id="rId7"/>
          <w:footnotePr>
            <w:numRestart w:val="eachSect"/>
          </w:footnotePr>
          <w:pgSz w:w="11906" w:h="16838"/>
          <w:pgMar w:top="1417" w:right="1417" w:bottom="1134" w:left="1417" w:header="708" w:footer="708" w:gutter="0"/>
          <w:cols w:space="708"/>
          <w:docGrid w:linePitch="360"/>
        </w:sectPr>
      </w:pPr>
    </w:p>
    <w:p w:rsidR="008F07B1" w:rsidRDefault="008F07B1" w:rsidP="008F07B1">
      <w:pPr>
        <w:spacing w:after="0"/>
        <w:ind w:firstLine="357"/>
        <w:rPr>
          <w:rFonts w:cs="Times New Roman"/>
          <w:lang w:val="en-US"/>
        </w:rPr>
      </w:pPr>
      <w:r>
        <w:rPr>
          <w:rFonts w:eastAsiaTheme="minorEastAsia" w:cs="Times New Roman"/>
          <w:lang w:val="en-US"/>
        </w:rPr>
        <w:lastRenderedPageBreak/>
        <w:t xml:space="preserve">Hence, the share of program participants who will not become a bystander is given by </w:t>
      </w:r>
      <m:oMath>
        <m:r>
          <m:rPr>
            <m:sty m:val="p"/>
          </m:rPr>
          <w:rPr>
            <w:rFonts w:ascii="Cambria Math" w:hAnsi="Cambria Math" w:cs="Times New Roman"/>
            <w:lang w:val="en-US"/>
          </w:rPr>
          <m:t>(1-</m:t>
        </m:r>
        <m:r>
          <w:rPr>
            <w:rFonts w:ascii="Cambria Math" w:hAnsi="Cambria Math" w:cs="Times New Roman"/>
            <w:lang w:val="en-US"/>
          </w:rPr>
          <m:t>PRECISION</m:t>
        </m:r>
        <m:r>
          <m:rPr>
            <m:sty m:val="p"/>
          </m:rPr>
          <w:rPr>
            <w:rFonts w:ascii="Cambria Math" w:hAnsi="Cambria Math" w:cs="Times New Roman"/>
            <w:lang w:val="en-US"/>
          </w:rPr>
          <m:t>)(1-</m:t>
        </m:r>
        <m:r>
          <w:rPr>
            <w:rFonts w:ascii="Cambria Math" w:hAnsi="Cambria Math" w:cs="Times New Roman"/>
            <w:lang w:val="en-US"/>
          </w:rPr>
          <m:t>Risk population</m:t>
        </m:r>
        <m:r>
          <m:rPr>
            <m:sty m:val="p"/>
          </m:rPr>
          <w:rPr>
            <w:rFonts w:ascii="Cambria Math" w:hAnsi="Cambria Math" w:cs="Times New Roman"/>
            <w:lang w:val="en-US"/>
          </w:rPr>
          <m:t>)</m:t>
        </m:r>
        <m:r>
          <w:rPr>
            <w:rFonts w:ascii="Cambria Math" w:hAnsi="Cambria Math" w:cs="Times New Roman"/>
            <w:lang w:val="en-US"/>
          </w:rPr>
          <m:t>Total population</m:t>
        </m:r>
      </m:oMath>
      <w:r w:rsidRPr="0085647A">
        <w:rPr>
          <w:rFonts w:cs="Times New Roman"/>
          <w:lang w:val="en-US"/>
        </w:rPr>
        <w:t xml:space="preserve">. </w:t>
      </w:r>
      <w:r>
        <w:rPr>
          <w:rFonts w:cs="Times New Roman"/>
          <w:lang w:val="en-US"/>
        </w:rPr>
        <w:t>Taken together, t</w:t>
      </w:r>
      <w:r w:rsidRPr="0085647A">
        <w:rPr>
          <w:rFonts w:cs="Times New Roman"/>
          <w:lang w:val="en-US"/>
        </w:rPr>
        <w:t xml:space="preserve">he </w:t>
      </w:r>
      <w:r>
        <w:rPr>
          <w:rFonts w:cs="Times New Roman"/>
          <w:lang w:val="en-US"/>
        </w:rPr>
        <w:t xml:space="preserve">total </w:t>
      </w:r>
      <w:r w:rsidRPr="0085647A">
        <w:rPr>
          <w:rFonts w:cs="Times New Roman"/>
          <w:lang w:val="en-US"/>
        </w:rPr>
        <w:t xml:space="preserve">number of program participants </w:t>
      </w:r>
      <w:r>
        <w:rPr>
          <w:rFonts w:cs="Times New Roman"/>
          <w:lang w:val="en-US"/>
        </w:rPr>
        <w:t>is given by the following expression</w:t>
      </w:r>
      <w:r w:rsidRPr="0085647A">
        <w:rPr>
          <w:rFonts w:cs="Times New Roman"/>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1130"/>
        <w:gridCol w:w="1932"/>
      </w:tblGrid>
      <w:tr w:rsidR="008F07B1" w:rsidRPr="0085647A" w:rsidTr="000F3765">
        <w:tc>
          <w:tcPr>
            <w:tcW w:w="429" w:type="pct"/>
            <w:vAlign w:val="center"/>
          </w:tcPr>
          <w:p w:rsidR="008F07B1" w:rsidRPr="0085647A" w:rsidRDefault="008F07B1" w:rsidP="000F3765">
            <w:pPr>
              <w:ind w:firstLine="357"/>
              <w:jc w:val="center"/>
              <w:rPr>
                <w:rFonts w:cs="Times New Roman"/>
                <w:lang w:val="en-US"/>
              </w:rPr>
            </w:pPr>
          </w:p>
        </w:tc>
        <w:tc>
          <w:tcPr>
            <w:tcW w:w="3895" w:type="pct"/>
            <w:vAlign w:val="center"/>
          </w:tcPr>
          <w:p w:rsidR="008F07B1" w:rsidRPr="007B60AE" w:rsidRDefault="008F07B1" w:rsidP="000F3765">
            <w:pPr>
              <w:ind w:firstLine="357"/>
              <w:jc w:val="center"/>
              <w:rPr>
                <w:rFonts w:eastAsiaTheme="minorEastAsia" w:cs="Times New Roman"/>
                <w:lang w:val="en-US"/>
              </w:rPr>
            </w:pPr>
            <m:oMathPara>
              <m:oMath>
                <m:r>
                  <w:rPr>
                    <w:rFonts w:ascii="Cambria Math" w:hAnsi="Cambria Math" w:cs="Times New Roman"/>
                    <w:lang w:val="en-US"/>
                  </w:rPr>
                  <m:t>PARTICIPANTS</m:t>
                </m:r>
                <m:r>
                  <m:rPr>
                    <m:sty m:val="p"/>
                  </m:rPr>
                  <w:rPr>
                    <w:rFonts w:ascii="Cambria Math" w:hAnsi="Cambria Math" w:cs="Times New Roman"/>
                    <w:lang w:val="en-US"/>
                  </w:rPr>
                  <m:t>=</m:t>
                </m:r>
                <m:r>
                  <w:rPr>
                    <w:rFonts w:ascii="Cambria Math" w:hAnsi="Cambria Math" w:cs="Times New Roman"/>
                    <w:lang w:val="en-US"/>
                  </w:rPr>
                  <m:t>Risk population×Total population</m:t>
                </m:r>
              </m:oMath>
            </m:oMathPara>
          </w:p>
          <w:p w:rsidR="008F07B1" w:rsidRPr="0085647A" w:rsidRDefault="008F07B1" w:rsidP="000F3765">
            <w:pPr>
              <w:ind w:firstLine="357"/>
              <w:jc w:val="center"/>
              <w:rPr>
                <w:rFonts w:cs="Times New Roman"/>
                <w:lang w:val="en-US"/>
              </w:rPr>
            </w:pPr>
            <m:oMathPara>
              <m:oMath>
                <m:r>
                  <m:rPr>
                    <m:sty m:val="p"/>
                  </m:rPr>
                  <w:rPr>
                    <w:rFonts w:ascii="Cambria Math" w:hAnsi="Cambria Math" w:cs="Times New Roman"/>
                    <w:lang w:val="en-US"/>
                  </w:rPr>
                  <m:t>+(1-</m:t>
                </m:r>
                <m:r>
                  <w:rPr>
                    <w:rFonts w:ascii="Cambria Math" w:hAnsi="Cambria Math" w:cs="Times New Roman"/>
                    <w:lang w:val="en-US"/>
                  </w:rPr>
                  <m:t>PRECISION</m:t>
                </m:r>
                <m:r>
                  <m:rPr>
                    <m:sty m:val="p"/>
                  </m:rPr>
                  <w:rPr>
                    <w:rFonts w:ascii="Cambria Math" w:hAnsi="Cambria Math" w:cs="Times New Roman"/>
                    <w:lang w:val="en-US"/>
                  </w:rPr>
                  <m:t>)(1-</m:t>
                </m:r>
                <m:r>
                  <w:rPr>
                    <w:rFonts w:ascii="Cambria Math" w:hAnsi="Cambria Math" w:cs="Times New Roman"/>
                    <w:lang w:val="en-US"/>
                  </w:rPr>
                  <m:t>POPULATION</m:t>
                </m:r>
                <m:r>
                  <m:rPr>
                    <m:sty m:val="p"/>
                  </m:rPr>
                  <w:rPr>
                    <w:rFonts w:ascii="Cambria Math" w:hAnsi="Cambria Math" w:cs="Times New Roman"/>
                    <w:lang w:val="en-US"/>
                  </w:rPr>
                  <m:t>)</m:t>
                </m:r>
                <m:r>
                  <w:rPr>
                    <w:rFonts w:ascii="Cambria Math" w:hAnsi="Cambria Math" w:cs="Times New Roman"/>
                    <w:lang w:val="en-US"/>
                  </w:rPr>
                  <m:t>Total population</m:t>
                </m:r>
              </m:oMath>
            </m:oMathPara>
          </w:p>
        </w:tc>
        <w:tc>
          <w:tcPr>
            <w:tcW w:w="676" w:type="pct"/>
            <w:vAlign w:val="center"/>
          </w:tcPr>
          <w:p w:rsidR="008F07B1" w:rsidRPr="0085647A" w:rsidRDefault="008F07B1" w:rsidP="000F3765">
            <w:pPr>
              <w:ind w:firstLine="357"/>
              <w:jc w:val="right"/>
              <w:rPr>
                <w:rFonts w:cs="Times New Roman"/>
                <w:lang w:val="en-US"/>
              </w:rPr>
            </w:pPr>
            <w:r>
              <w:rPr>
                <w:rFonts w:cs="Times New Roman"/>
                <w:lang w:val="en-US"/>
              </w:rPr>
              <w:t>(15)</w:t>
            </w:r>
          </w:p>
        </w:tc>
      </w:tr>
    </w:tbl>
    <w:p w:rsidR="008F07B1" w:rsidRDefault="008F07B1" w:rsidP="008F07B1">
      <w:pPr>
        <w:spacing w:after="0"/>
        <w:rPr>
          <w:rFonts w:cs="Times New Roman"/>
          <w:lang w:val="en-US"/>
        </w:rPr>
      </w:pPr>
      <w:r>
        <w:rPr>
          <w:rFonts w:cs="Times New Roman"/>
          <w:lang w:val="en-US"/>
        </w:rPr>
        <w:t>In consequence</w:t>
      </w:r>
      <w:r w:rsidRPr="0085647A">
        <w:rPr>
          <w:rFonts w:cs="Times New Roman"/>
          <w:lang w:val="en-US"/>
        </w:rPr>
        <w:t>,</w:t>
      </w:r>
      <w:r>
        <w:rPr>
          <w:rFonts w:cs="Times New Roman"/>
          <w:lang w:val="en-US"/>
        </w:rPr>
        <w:t xml:space="preserve"> the share of program participants who will become a bystander after can be expressed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0632"/>
        <w:gridCol w:w="1852"/>
      </w:tblGrid>
      <w:tr w:rsidR="008F07B1" w:rsidRPr="0085647A" w:rsidTr="000F3765">
        <w:tc>
          <w:tcPr>
            <w:tcW w:w="631" w:type="pct"/>
            <w:vAlign w:val="center"/>
          </w:tcPr>
          <w:p w:rsidR="008F07B1" w:rsidRPr="0085647A" w:rsidRDefault="008F07B1" w:rsidP="000F3765">
            <w:pPr>
              <w:ind w:firstLine="357"/>
              <w:jc w:val="center"/>
              <w:rPr>
                <w:rFonts w:cs="Times New Roman"/>
                <w:lang w:val="en-US"/>
              </w:rPr>
            </w:pPr>
          </w:p>
        </w:tc>
        <w:tc>
          <w:tcPr>
            <w:tcW w:w="3721" w:type="pct"/>
            <w:vAlign w:val="center"/>
          </w:tcPr>
          <w:p w:rsidR="008F07B1" w:rsidRPr="0085647A" w:rsidRDefault="008F07B1" w:rsidP="000F3765">
            <w:pPr>
              <w:ind w:firstLine="357"/>
              <w:jc w:val="center"/>
              <w:rPr>
                <w:rFonts w:cs="Times New Roman"/>
                <w:lang w:val="en-US"/>
              </w:rPr>
            </w:pPr>
            <m:oMathPara>
              <m:oMath>
                <m:r>
                  <w:rPr>
                    <w:rFonts w:ascii="Cambria Math" w:hAnsi="Cambria Math" w:cs="Times New Roman"/>
                    <w:lang w:val="en-US"/>
                  </w:rPr>
                  <m:t>BYSTANDER=</m:t>
                </m:r>
                <m:f>
                  <m:fPr>
                    <m:ctrlPr>
                      <w:rPr>
                        <w:rFonts w:ascii="Cambria Math" w:hAnsi="Cambria Math" w:cs="Times New Roman"/>
                        <w:i/>
                        <w:lang w:val="en-US"/>
                      </w:rPr>
                    </m:ctrlPr>
                  </m:fPr>
                  <m:num>
                    <m:r>
                      <w:rPr>
                        <w:rFonts w:ascii="Cambria Math" w:hAnsi="Cambria Math" w:cs="Times New Roman"/>
                        <w:lang w:val="en-US"/>
                      </w:rPr>
                      <m:t>Risk population×Total population</m:t>
                    </m:r>
                  </m:num>
                  <m:den>
                    <m:r>
                      <w:rPr>
                        <w:rFonts w:ascii="Cambria Math" w:hAnsi="Cambria Math" w:cs="Times New Roman"/>
                        <w:lang w:val="en-US"/>
                      </w:rPr>
                      <m:t>PARTICIPANTS</m:t>
                    </m:r>
                  </m:den>
                </m:f>
              </m:oMath>
            </m:oMathPara>
          </w:p>
        </w:tc>
        <w:tc>
          <w:tcPr>
            <w:tcW w:w="648" w:type="pct"/>
            <w:vAlign w:val="center"/>
          </w:tcPr>
          <w:p w:rsidR="008F07B1" w:rsidRPr="0085647A" w:rsidRDefault="008F07B1" w:rsidP="000F3765">
            <w:pPr>
              <w:ind w:firstLine="357"/>
              <w:jc w:val="right"/>
              <w:rPr>
                <w:rFonts w:cs="Times New Roman"/>
                <w:lang w:val="en-US"/>
              </w:rPr>
            </w:pPr>
            <w:r>
              <w:rPr>
                <w:rFonts w:cs="Times New Roman"/>
                <w:lang w:val="en-US"/>
              </w:rPr>
              <w:t>(16)</w:t>
            </w:r>
          </w:p>
        </w:tc>
      </w:tr>
      <w:tr w:rsidR="008F07B1" w:rsidRPr="0085647A" w:rsidTr="000F3765">
        <w:tc>
          <w:tcPr>
            <w:tcW w:w="631" w:type="pct"/>
            <w:vAlign w:val="center"/>
          </w:tcPr>
          <w:p w:rsidR="008F07B1" w:rsidRPr="0085647A" w:rsidRDefault="008F07B1" w:rsidP="000F3765">
            <w:pPr>
              <w:ind w:firstLine="357"/>
              <w:jc w:val="center"/>
              <w:rPr>
                <w:rFonts w:cs="Times New Roman"/>
                <w:lang w:val="en-US"/>
              </w:rPr>
            </w:pPr>
          </w:p>
        </w:tc>
        <w:tc>
          <w:tcPr>
            <w:tcW w:w="3721" w:type="pct"/>
            <w:vAlign w:val="center"/>
          </w:tcPr>
          <w:p w:rsidR="008F07B1" w:rsidRDefault="008F07B1" w:rsidP="000F3765">
            <w:pPr>
              <w:ind w:firstLine="357"/>
              <w:jc w:val="center"/>
              <w:rPr>
                <w:rFonts w:eastAsia="Calibri" w:cs="Times New Roman"/>
                <w:lang w:val="en-US"/>
              </w:rPr>
            </w:pPr>
            <m:oMathPara>
              <m:oMath>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Risk population×Total population</m:t>
                    </m:r>
                  </m:num>
                  <m:den>
                    <m:r>
                      <w:rPr>
                        <w:rFonts w:ascii="Cambria Math" w:hAnsi="Cambria Math" w:cs="Times New Roman"/>
                        <w:lang w:val="en-US"/>
                      </w:rPr>
                      <m:t>Risk population×Total population+</m:t>
                    </m:r>
                    <m:r>
                      <m:rPr>
                        <m:sty m:val="p"/>
                      </m:rPr>
                      <w:rPr>
                        <w:rFonts w:ascii="Cambria Math" w:hAnsi="Cambria Math" w:cs="Times New Roman"/>
                        <w:lang w:val="en-US"/>
                      </w:rPr>
                      <m:t>(1-</m:t>
                    </m:r>
                    <m:r>
                      <w:rPr>
                        <w:rFonts w:ascii="Cambria Math" w:hAnsi="Cambria Math" w:cs="Times New Roman"/>
                        <w:lang w:val="en-US"/>
                      </w:rPr>
                      <m:t>PRECISION</m:t>
                    </m:r>
                    <m:r>
                      <m:rPr>
                        <m:sty m:val="p"/>
                      </m:rPr>
                      <w:rPr>
                        <w:rFonts w:ascii="Cambria Math" w:hAnsi="Cambria Math" w:cs="Times New Roman"/>
                        <w:lang w:val="en-US"/>
                      </w:rPr>
                      <m:t>)(1-</m:t>
                    </m:r>
                    <m:r>
                      <w:rPr>
                        <w:rFonts w:ascii="Cambria Math" w:hAnsi="Cambria Math" w:cs="Times New Roman"/>
                        <w:lang w:val="en-US"/>
                      </w:rPr>
                      <m:t>Risk population</m:t>
                    </m:r>
                    <m:r>
                      <m:rPr>
                        <m:sty m:val="p"/>
                      </m:rPr>
                      <w:rPr>
                        <w:rFonts w:ascii="Cambria Math" w:hAnsi="Cambria Math" w:cs="Times New Roman"/>
                        <w:lang w:val="en-US"/>
                      </w:rPr>
                      <m:t>)</m:t>
                    </m:r>
                    <m:r>
                      <w:rPr>
                        <w:rFonts w:ascii="Cambria Math" w:hAnsi="Cambria Math" w:cs="Times New Roman"/>
                        <w:lang w:val="en-US"/>
                      </w:rPr>
                      <m:t>Total population</m:t>
                    </m:r>
                  </m:den>
                </m:f>
              </m:oMath>
            </m:oMathPara>
          </w:p>
        </w:tc>
        <w:tc>
          <w:tcPr>
            <w:tcW w:w="648" w:type="pct"/>
            <w:vAlign w:val="center"/>
          </w:tcPr>
          <w:p w:rsidR="008F07B1" w:rsidRDefault="008F07B1" w:rsidP="000F3765">
            <w:pPr>
              <w:ind w:firstLine="357"/>
              <w:jc w:val="right"/>
              <w:rPr>
                <w:rFonts w:cs="Times New Roman"/>
                <w:lang w:val="en-US"/>
              </w:rPr>
            </w:pPr>
            <w:r>
              <w:rPr>
                <w:rFonts w:cs="Times New Roman"/>
                <w:lang w:val="en-US"/>
              </w:rPr>
              <w:t>(17)</w:t>
            </w:r>
          </w:p>
        </w:tc>
      </w:tr>
      <w:tr w:rsidR="008F07B1" w:rsidRPr="0085647A" w:rsidTr="000F3765">
        <w:tc>
          <w:tcPr>
            <w:tcW w:w="631" w:type="pct"/>
            <w:vAlign w:val="center"/>
          </w:tcPr>
          <w:p w:rsidR="008F07B1" w:rsidRPr="0085647A" w:rsidRDefault="008F07B1" w:rsidP="000F3765">
            <w:pPr>
              <w:ind w:firstLine="357"/>
              <w:jc w:val="center"/>
              <w:rPr>
                <w:rFonts w:cs="Times New Roman"/>
                <w:lang w:val="en-US"/>
              </w:rPr>
            </w:pPr>
          </w:p>
        </w:tc>
        <w:tc>
          <w:tcPr>
            <w:tcW w:w="3721" w:type="pct"/>
            <w:vAlign w:val="center"/>
          </w:tcPr>
          <w:p w:rsidR="008F07B1" w:rsidRDefault="008F07B1" w:rsidP="000F3765">
            <w:pPr>
              <w:ind w:firstLine="357"/>
              <w:jc w:val="center"/>
              <w:rPr>
                <w:rFonts w:eastAsia="Calibri" w:cs="Times New Roman"/>
                <w:lang w:val="en-US"/>
              </w:rPr>
            </w:pPr>
            <m:oMathPara>
              <m:oMath>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Risk population</m:t>
                    </m:r>
                  </m:num>
                  <m:den>
                    <m:r>
                      <w:rPr>
                        <w:rFonts w:ascii="Cambria Math" w:hAnsi="Cambria Math" w:cs="Times New Roman"/>
                        <w:lang w:val="en-US"/>
                      </w:rPr>
                      <m:t>Risk population+</m:t>
                    </m:r>
                    <m:r>
                      <w:rPr>
                        <w:rFonts w:ascii="Cambria Math" w:eastAsiaTheme="minorEastAsia" w:hAnsi="Cambria Math" w:cs="Times New Roman"/>
                        <w:lang w:val="en-US"/>
                      </w:rPr>
                      <m:t>(1-</m:t>
                    </m:r>
                    <m:r>
                      <w:rPr>
                        <w:rFonts w:ascii="Cambria Math" w:hAnsi="Cambria Math" w:cs="Times New Roman"/>
                        <w:lang w:val="en-US"/>
                      </w:rPr>
                      <m:t>PRECISION</m:t>
                    </m:r>
                    <m:r>
                      <w:rPr>
                        <w:rFonts w:ascii="Cambria Math" w:eastAsiaTheme="minorEastAsia" w:hAnsi="Cambria Math" w:cs="Times New Roman"/>
                        <w:lang w:val="en-US"/>
                      </w:rPr>
                      <m:t>)(1-</m:t>
                    </m:r>
                    <m:r>
                      <w:rPr>
                        <w:rFonts w:ascii="Cambria Math" w:hAnsi="Cambria Math" w:cs="Times New Roman"/>
                        <w:lang w:val="en-US"/>
                      </w:rPr>
                      <m:t>Risk population)</m:t>
                    </m:r>
                  </m:den>
                </m:f>
              </m:oMath>
            </m:oMathPara>
          </w:p>
        </w:tc>
        <w:tc>
          <w:tcPr>
            <w:tcW w:w="648" w:type="pct"/>
            <w:vAlign w:val="center"/>
          </w:tcPr>
          <w:p w:rsidR="008F07B1" w:rsidRDefault="008F07B1" w:rsidP="000F3765">
            <w:pPr>
              <w:ind w:firstLine="357"/>
              <w:jc w:val="right"/>
              <w:rPr>
                <w:rFonts w:cs="Times New Roman"/>
                <w:lang w:val="en-US"/>
              </w:rPr>
            </w:pPr>
            <w:r>
              <w:rPr>
                <w:rFonts w:cs="Times New Roman"/>
                <w:lang w:val="en-US"/>
              </w:rPr>
              <w:t>(18)</w:t>
            </w:r>
          </w:p>
        </w:tc>
      </w:tr>
      <w:tr w:rsidR="008F07B1" w:rsidRPr="0085647A" w:rsidTr="000F3765">
        <w:tc>
          <w:tcPr>
            <w:tcW w:w="631" w:type="pct"/>
            <w:vAlign w:val="center"/>
          </w:tcPr>
          <w:p w:rsidR="008F07B1" w:rsidRPr="0085647A" w:rsidRDefault="008F07B1" w:rsidP="000F3765">
            <w:pPr>
              <w:ind w:firstLine="357"/>
              <w:jc w:val="center"/>
              <w:rPr>
                <w:rFonts w:cs="Times New Roman"/>
                <w:lang w:val="en-US"/>
              </w:rPr>
            </w:pPr>
          </w:p>
        </w:tc>
        <w:tc>
          <w:tcPr>
            <w:tcW w:w="3721" w:type="pct"/>
            <w:vAlign w:val="center"/>
          </w:tcPr>
          <w:p w:rsidR="008F07B1" w:rsidRDefault="008F07B1" w:rsidP="000F3765">
            <w:pPr>
              <w:ind w:firstLine="357"/>
              <w:jc w:val="center"/>
              <w:rPr>
                <w:rFonts w:eastAsia="Calibri" w:cs="Times New Roman"/>
                <w:lang w:val="en-US"/>
              </w:rPr>
            </w:pPr>
            <m:oMathPara>
              <m:oMath>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Risk population</m:t>
                    </m:r>
                  </m:num>
                  <m:den>
                    <m:r>
                      <w:rPr>
                        <w:rFonts w:ascii="Cambria Math" w:eastAsiaTheme="minorEastAsia" w:hAnsi="Cambria Math" w:cs="Times New Roman"/>
                        <w:lang w:val="en-US"/>
                      </w:rPr>
                      <m:t>1-</m:t>
                    </m:r>
                    <m:r>
                      <w:rPr>
                        <w:rFonts w:ascii="Cambria Math" w:hAnsi="Cambria Math" w:cs="Times New Roman"/>
                        <w:lang w:val="en-US"/>
                      </w:rPr>
                      <m:t>PRECISION</m:t>
                    </m:r>
                    <m:r>
                      <w:rPr>
                        <w:rFonts w:ascii="Cambria Math" w:eastAsiaTheme="minorEastAsia" w:hAnsi="Cambria Math" w:cs="Times New Roman"/>
                        <w:lang w:val="en-US"/>
                      </w:rPr>
                      <m:t>(1-</m:t>
                    </m:r>
                    <m:r>
                      <w:rPr>
                        <w:rFonts w:ascii="Cambria Math" w:hAnsi="Cambria Math" w:cs="Times New Roman"/>
                        <w:lang w:val="en-US"/>
                      </w:rPr>
                      <m:t>Risk population)</m:t>
                    </m:r>
                  </m:den>
                </m:f>
                <m:r>
                  <w:rPr>
                    <w:rFonts w:ascii="Cambria Math" w:eastAsia="Calibri" w:hAnsi="Cambria Math" w:cs="Times New Roman"/>
                    <w:lang w:val="en-US"/>
                  </w:rPr>
                  <m:t xml:space="preserve"> </m:t>
                </m:r>
              </m:oMath>
            </m:oMathPara>
          </w:p>
        </w:tc>
        <w:tc>
          <w:tcPr>
            <w:tcW w:w="648" w:type="pct"/>
            <w:vAlign w:val="center"/>
          </w:tcPr>
          <w:p w:rsidR="008F07B1" w:rsidRDefault="008F07B1" w:rsidP="000F3765">
            <w:pPr>
              <w:ind w:firstLine="357"/>
              <w:jc w:val="right"/>
              <w:rPr>
                <w:rFonts w:cs="Times New Roman"/>
                <w:lang w:val="en-US"/>
              </w:rPr>
            </w:pPr>
            <w:r>
              <w:rPr>
                <w:rFonts w:cs="Times New Roman"/>
                <w:lang w:val="en-US"/>
              </w:rPr>
              <w:t>(19)</w:t>
            </w:r>
          </w:p>
        </w:tc>
      </w:tr>
    </w:tbl>
    <w:p w:rsidR="008F07B1" w:rsidRDefault="008F07B1" w:rsidP="008F07B1">
      <w:pPr>
        <w:pStyle w:val="Heading2"/>
        <w:numPr>
          <w:ilvl w:val="0"/>
          <w:numId w:val="0"/>
        </w:numPr>
        <w:rPr>
          <w:lang w:val="en-US"/>
        </w:rPr>
        <w:sectPr w:rsidR="008F07B1" w:rsidSect="007B60AE">
          <w:footnotePr>
            <w:numRestart w:val="eachSect"/>
          </w:footnotePr>
          <w:pgSz w:w="16838" w:h="11906" w:orient="landscape"/>
          <w:pgMar w:top="1417" w:right="1417" w:bottom="1417" w:left="1134" w:header="708" w:footer="708" w:gutter="0"/>
          <w:cols w:space="708"/>
          <w:docGrid w:linePitch="360"/>
        </w:sectPr>
      </w:pPr>
    </w:p>
    <w:p w:rsidR="008F07B1" w:rsidRPr="008C52B7" w:rsidRDefault="008F07B1" w:rsidP="008F07B1">
      <w:pPr>
        <w:pStyle w:val="Heading2"/>
        <w:numPr>
          <w:ilvl w:val="0"/>
          <w:numId w:val="0"/>
        </w:numPr>
        <w:rPr>
          <w:lang w:val="en-US"/>
        </w:rPr>
      </w:pPr>
      <w:r>
        <w:rPr>
          <w:lang w:val="en-US"/>
        </w:rPr>
        <w:lastRenderedPageBreak/>
        <w:t>Appendix B. Overview of Alternative Costing Methodologies</w:t>
      </w:r>
    </w:p>
    <w:p w:rsidR="008F07B1" w:rsidRDefault="008F07B1" w:rsidP="008F07B1">
      <w:pPr>
        <w:spacing w:after="120"/>
        <w:ind w:firstLine="357"/>
        <w:rPr>
          <w:szCs w:val="24"/>
          <w:lang w:val="en-US"/>
        </w:rPr>
      </w:pPr>
      <w:r w:rsidRPr="006C3C73">
        <w:rPr>
          <w:szCs w:val="24"/>
          <w:lang w:val="en-US"/>
        </w:rPr>
        <w:t xml:space="preserve">Section 5 described the </w:t>
      </w:r>
      <w:r w:rsidRPr="006C3C73">
        <w:rPr>
          <w:i/>
          <w:szCs w:val="24"/>
          <w:lang w:val="en-US"/>
        </w:rPr>
        <w:t>discrete choice experiments</w:t>
      </w:r>
      <w:r>
        <w:rPr>
          <w:szCs w:val="24"/>
          <w:lang w:val="en-US"/>
        </w:rPr>
        <w:t xml:space="preserve"> method,</w:t>
      </w:r>
      <w:r w:rsidRPr="006C3C73">
        <w:rPr>
          <w:szCs w:val="24"/>
          <w:lang w:val="en-US"/>
        </w:rPr>
        <w:t xml:space="preserve"> </w:t>
      </w:r>
      <w:r>
        <w:rPr>
          <w:szCs w:val="24"/>
          <w:lang w:val="en-US"/>
        </w:rPr>
        <w:t>which</w:t>
      </w:r>
      <w:r w:rsidRPr="006C3C73">
        <w:rPr>
          <w:szCs w:val="24"/>
          <w:lang w:val="en-US"/>
        </w:rPr>
        <w:t xml:space="preserve"> is a top-down approach to estimating the costs of crime. </w:t>
      </w:r>
      <w:r>
        <w:rPr>
          <w:szCs w:val="24"/>
          <w:lang w:val="en-US"/>
        </w:rPr>
        <w:t>Top-down</w:t>
      </w:r>
      <w:r w:rsidRPr="006C3C73">
        <w:rPr>
          <w:szCs w:val="24"/>
          <w:lang w:val="en-US"/>
        </w:rPr>
        <w:t xml:space="preserve"> approaches aim to provide a single estimate of the crime costs</w:t>
      </w:r>
      <w:r>
        <w:rPr>
          <w:szCs w:val="24"/>
          <w:lang w:val="en-US"/>
        </w:rPr>
        <w:t xml:space="preserve"> </w:t>
      </w:r>
      <w:r w:rsidRPr="006C3C73">
        <w:rPr>
          <w:szCs w:val="24"/>
          <w:lang w:val="en-US"/>
        </w:rPr>
        <w:t xml:space="preserve">based on the </w:t>
      </w:r>
      <w:r>
        <w:rPr>
          <w:szCs w:val="24"/>
          <w:lang w:val="en-US"/>
        </w:rPr>
        <w:t>public willingness to pay</w:t>
      </w:r>
      <w:r w:rsidRPr="006C3C73">
        <w:rPr>
          <w:szCs w:val="24"/>
          <w:lang w:val="en-US"/>
        </w:rPr>
        <w:t xml:space="preserve"> for crime reduction. </w:t>
      </w:r>
      <w:r>
        <w:rPr>
          <w:szCs w:val="24"/>
          <w:lang w:val="en-US"/>
        </w:rPr>
        <w:t>B</w:t>
      </w:r>
      <w:r w:rsidRPr="006C3C73">
        <w:rPr>
          <w:szCs w:val="24"/>
          <w:lang w:val="en-US"/>
        </w:rPr>
        <w:t xml:space="preserve">ottom-up approaches aim to estimate </w:t>
      </w:r>
      <w:r>
        <w:rPr>
          <w:szCs w:val="24"/>
          <w:lang w:val="en-US"/>
        </w:rPr>
        <w:t>each single component</w:t>
      </w:r>
      <w:r w:rsidRPr="006C3C73">
        <w:rPr>
          <w:szCs w:val="24"/>
          <w:lang w:val="en-US"/>
        </w:rPr>
        <w:t xml:space="preserve"> of the crime costs</w:t>
      </w:r>
      <w:r>
        <w:rPr>
          <w:szCs w:val="24"/>
          <w:lang w:val="en-US"/>
        </w:rPr>
        <w:t xml:space="preserve"> seperately</w:t>
      </w:r>
      <w:r w:rsidRPr="006C3C73">
        <w:rPr>
          <w:szCs w:val="24"/>
          <w:lang w:val="en-US"/>
        </w:rPr>
        <w:t xml:space="preserve">. The components can be categorized into tangible costs and intangible costs. The tangible costs of crime can be measured directly in dollar values. In case of violent crime, medical expenditures are likely the biggest cost factor. </w:t>
      </w:r>
      <w:r>
        <w:rPr>
          <w:szCs w:val="24"/>
          <w:lang w:val="en-US"/>
        </w:rPr>
        <w:t>H</w:t>
      </w:r>
      <w:r w:rsidRPr="006C3C73">
        <w:rPr>
          <w:szCs w:val="24"/>
          <w:lang w:val="en-US"/>
        </w:rPr>
        <w:t>ospital databases</w:t>
      </w:r>
      <w:r>
        <w:rPr>
          <w:szCs w:val="24"/>
          <w:lang w:val="en-US"/>
        </w:rPr>
        <w:t xml:space="preserve"> provide information on medical expenditures</w:t>
      </w:r>
      <w:r w:rsidRPr="006C3C73">
        <w:rPr>
          <w:szCs w:val="24"/>
          <w:lang w:val="en-US"/>
        </w:rPr>
        <w:t>.</w:t>
      </w:r>
      <w:r w:rsidRPr="006C3C73">
        <w:rPr>
          <w:rStyle w:val="FootnoteReference"/>
          <w:szCs w:val="24"/>
          <w:lang w:val="en-US"/>
        </w:rPr>
        <w:footnoteReference w:id="2"/>
      </w:r>
      <w:r w:rsidRPr="006C3C73">
        <w:rPr>
          <w:szCs w:val="24"/>
          <w:lang w:val="en-US"/>
        </w:rPr>
        <w:t xml:space="preserve"> </w:t>
      </w:r>
      <w:r>
        <w:rPr>
          <w:szCs w:val="24"/>
          <w:lang w:val="en-US"/>
        </w:rPr>
        <w:t xml:space="preserve">Estimating the tangible costs of crime </w:t>
      </w:r>
      <w:r w:rsidRPr="006C3C73">
        <w:rPr>
          <w:szCs w:val="24"/>
          <w:lang w:val="en-US"/>
        </w:rPr>
        <w:t xml:space="preserve">relies on the </w:t>
      </w:r>
      <w:r w:rsidRPr="006C3C73">
        <w:rPr>
          <w:i/>
          <w:szCs w:val="24"/>
          <w:lang w:val="en-US"/>
        </w:rPr>
        <w:t>cost-of-illness method</w:t>
      </w:r>
      <w:r>
        <w:rPr>
          <w:szCs w:val="24"/>
          <w:lang w:val="en-US"/>
        </w:rPr>
        <w:t xml:space="preserve">, which </w:t>
      </w:r>
      <w:r w:rsidRPr="006C3C73">
        <w:rPr>
          <w:szCs w:val="24"/>
          <w:lang w:val="en-US"/>
        </w:rPr>
        <w:t xml:space="preserve">aims to </w:t>
      </w:r>
      <w:r w:rsidRPr="006C3C73">
        <w:rPr>
          <w:lang w:val="en-US"/>
        </w:rPr>
        <w:t>measure all the costs of a certain disease</w:t>
      </w:r>
      <w:r w:rsidRPr="006C3C73">
        <w:rPr>
          <w:szCs w:val="24"/>
          <w:lang w:val="en-US"/>
        </w:rPr>
        <w:t xml:space="preserve"> </w:t>
      </w:r>
      <w:r w:rsidRPr="006C3C73">
        <w:rPr>
          <w:szCs w:val="24"/>
          <w:lang w:val="en-US"/>
        </w:rPr>
        <w:fldChar w:fldCharType="begin" w:fldLock="1"/>
      </w:r>
      <w:r w:rsidRPr="006C3C73">
        <w:rPr>
          <w:szCs w:val="24"/>
          <w:lang w:val="en-US"/>
        </w:rPr>
        <w:instrText>ADDIN CSL_CITATION {"citationItems":[{"id":"ITEM-1","itemData":{"author":[{"dropping-particle":"","family":"Yates","given":"Brian","non-dropping-particle":"","parse-names":false,"suffix":""}],"id":"ITEM-1","issued":{"date-parts":[["1999"]]},"publisher-place":"Bethesda, Maryland","title":"Measuring and Improving Cost, Cost-Effectiveness, and Cost-Benefit for Substance Abuse Treatment Programs","type":"report"},"uris":["http://www.mendeley.com/documents/?uuid=244d82aa-db17-4c32-8747-4a08ea64d0ac"]}],"mendeley":{"formattedCitation":"(Yates, 1999)","plainTextFormattedCitation":"(Yates, 1999)","previouslyFormattedCitation":"(Yates, 1999)"},"properties":{"noteIndex":0},"schema":"https://github.com/citation-style-language/schema/raw/master/csl-citation.json"}</w:instrText>
      </w:r>
      <w:r w:rsidRPr="006C3C73">
        <w:rPr>
          <w:szCs w:val="24"/>
          <w:lang w:val="en-US"/>
        </w:rPr>
        <w:fldChar w:fldCharType="separate"/>
      </w:r>
      <w:r w:rsidRPr="006C3C73">
        <w:rPr>
          <w:noProof/>
          <w:szCs w:val="24"/>
          <w:lang w:val="en-US"/>
        </w:rPr>
        <w:t>(Yates, 1999)</w:t>
      </w:r>
      <w:r w:rsidRPr="006C3C73">
        <w:rPr>
          <w:szCs w:val="24"/>
          <w:lang w:val="en-US"/>
        </w:rPr>
        <w:fldChar w:fldCharType="end"/>
      </w:r>
      <w:r w:rsidRPr="006C3C73">
        <w:rPr>
          <w:szCs w:val="24"/>
          <w:lang w:val="en-US"/>
        </w:rPr>
        <w:t xml:space="preserve">. Another important pool of costs are government expenditures on the criminal justice system. Government budgets provide the relevant data. </w:t>
      </w:r>
      <w:r>
        <w:rPr>
          <w:szCs w:val="24"/>
          <w:lang w:val="en-US"/>
        </w:rPr>
        <w:t>Cost measures</w:t>
      </w:r>
      <w:r w:rsidRPr="006C3C73">
        <w:rPr>
          <w:szCs w:val="24"/>
          <w:lang w:val="en-US"/>
        </w:rPr>
        <w:t xml:space="preserve"> include, for example, police expenditures and criminal justice system costs </w:t>
      </w:r>
      <w:r w:rsidRPr="006C3C73">
        <w:rPr>
          <w:szCs w:val="24"/>
          <w:lang w:val="en-US"/>
        </w:rPr>
        <w:fldChar w:fldCharType="begin" w:fldLock="1"/>
      </w:r>
      <w:r w:rsidRPr="006C3C73">
        <w:rPr>
          <w:szCs w:val="24"/>
          <w:lang w:val="en-US"/>
        </w:rPr>
        <w:instrText>ADDIN CSL_CITATION {"citationItems":[{"id":"ITEM-1","itemData":{"author":[{"dropping-particle":"","family":"Aos Lieb, R., Mayfield, J., Miller, M &amp; Pennucci, A.","given":"S","non-dropping-particle":"","parse-names":false,"suffix":""}],"id":"ITEM-1","issue":"360","issued":{"date-parts":[["2004"]]},"note":"Aos et al. (2004), as part of a meta-analysis of early intervention programs, conducted a CBA on the NFP intervention and demonstrated a cost saving to governments of $2.88 for every dollar spent in the form of reduced public assistance outcomes, criminality, child abuse and neglect, teen pregnancy, substance abuse and public assistance outcomes.","title":"Benefits and Costs of Prevention and Early Intervention Programs for Youth","type":"article-journal","volume":"0999"},"uris":["http://www.mendeley.com/documents/?uuid=bda09b7a-fc8c-49e9-b66d-3cc68cb278c9"]}],"mendeley":{"formattedCitation":"(Aos Lieb, R., Mayfield, J., Miller, M &amp; Pennucci, A., 2004)","manualFormatting":"(Aos Lieb, R., Mayfield, J., Miller, M &amp; Pennucci, A., 2004)","plainTextFormattedCitation":"(Aos Lieb, R., Mayfield, J., Miller, M &amp; Pennucci, A., 2004)","previouslyFormattedCitation":"(Aos Lieb, R., Mayfield, J., Miller, M &amp; Pennucci, A., 2004)"},"properties":{"noteIndex":0},"schema":"https://github.com/citation-style-language/schema/raw/master/csl-citation.json"}</w:instrText>
      </w:r>
      <w:r w:rsidRPr="006C3C73">
        <w:rPr>
          <w:szCs w:val="24"/>
          <w:lang w:val="en-US"/>
        </w:rPr>
        <w:fldChar w:fldCharType="separate"/>
      </w:r>
      <w:r w:rsidRPr="006C3C73">
        <w:rPr>
          <w:noProof/>
          <w:szCs w:val="24"/>
          <w:lang w:val="en-US"/>
        </w:rPr>
        <w:t>(Aos Lieb, R., Mayfield, J., Miller, M &amp; Pennucci, A., 2004)</w:t>
      </w:r>
      <w:r w:rsidRPr="006C3C73">
        <w:rPr>
          <w:szCs w:val="24"/>
          <w:lang w:val="en-US"/>
        </w:rPr>
        <w:fldChar w:fldCharType="end"/>
      </w:r>
      <w:r w:rsidRPr="006C3C73">
        <w:rPr>
          <w:szCs w:val="24"/>
          <w:lang w:val="en-US"/>
        </w:rPr>
        <w:t>.</w:t>
      </w:r>
      <w:r w:rsidRPr="006C3C73">
        <w:rPr>
          <w:rStyle w:val="FootnoteReference"/>
          <w:szCs w:val="24"/>
          <w:lang w:val="en-US"/>
        </w:rPr>
        <w:footnoteReference w:id="3"/>
      </w:r>
      <w:r>
        <w:rPr>
          <w:szCs w:val="24"/>
          <w:lang w:val="en-US"/>
        </w:rPr>
        <w:t xml:space="preserve"> The following tables show the taxonomy of crime cost by </w:t>
      </w:r>
      <w:r>
        <w:rPr>
          <w:sz w:val="22"/>
          <w:lang w:val="en-US"/>
        </w:rPr>
        <w:fldChar w:fldCharType="begin" w:fldLock="1"/>
      </w:r>
      <w:r>
        <w:rPr>
          <w:sz w:val="22"/>
          <w:lang w:val="en-US"/>
        </w:rPr>
        <w:instrText>ADDIN CSL_CITATION {"citationItems":[{"id":"ITEM-1","itemData":{"author":[{"dropping-particle":"","family":"Cohen","given":"Mark A","non-dropping-particle":"","parse-names":false,"suffix":""},{"dropping-particle":"","family":"Bowles","given":"Roger","non-dropping-particle":"","parse-names":false,"suffix":""}],"container-title":"Handbook of quantitative criminology","id":"ITEM-1","issued":{"date-parts":[["2010"]]},"page":"143-162","publisher":"Springer","publisher-place":"New York, NY","title":"Estimating costs of crime","type":"chapter"},"uris":["http://www.mendeley.com/documents/?uuid=a4ad76e4-d31d-40b7-9f38-3a4f1d43c40f"]}],"mendeley":{"formattedCitation":"(Cohen &amp; Bowles, 2010)","manualFormatting":"Cohen &amp; Bowles (2010)","plainTextFormattedCitation":"(Cohen &amp; Bowles, 2010)","previouslyFormattedCitation":"(Cohen &amp; Bowles, 2010)"},"properties":{"noteIndex":0},"schema":"https://github.com/citation-style-language/schema/raw/master/csl-citation.json"}</w:instrText>
      </w:r>
      <w:r>
        <w:rPr>
          <w:sz w:val="22"/>
          <w:lang w:val="en-US"/>
        </w:rPr>
        <w:fldChar w:fldCharType="separate"/>
      </w:r>
      <w:r w:rsidRPr="009E3133">
        <w:rPr>
          <w:noProof/>
          <w:sz w:val="22"/>
          <w:lang w:val="en-US"/>
        </w:rPr>
        <w:t>Cohen &amp; Bowles (2010)</w:t>
      </w:r>
      <w:r>
        <w:rPr>
          <w:sz w:val="22"/>
          <w:lang w:val="en-US"/>
        </w:rPr>
        <w:fldChar w:fldCharType="end"/>
      </w:r>
      <w:r>
        <w:rPr>
          <w:sz w:val="22"/>
          <w:lang w:val="en-US"/>
        </w:rPr>
        <w:t xml:space="preserve">. </w:t>
      </w:r>
      <w:r>
        <w:rPr>
          <w:szCs w:val="24"/>
          <w:lang w:val="en-US"/>
        </w:rPr>
        <w:t>Table B1 provides an overview of the costs resulting from the anticipation and consequences of crime. Table B2 contains the costs of the different responses to crime.</w:t>
      </w:r>
    </w:p>
    <w:p w:rsidR="008F07B1" w:rsidRPr="00E57D06" w:rsidRDefault="008F07B1" w:rsidP="008F07B1">
      <w:pPr>
        <w:pStyle w:val="Caption"/>
        <w:keepNext/>
        <w:rPr>
          <w:b/>
          <w:i w:val="0"/>
          <w:color w:val="000000" w:themeColor="text1"/>
          <w:sz w:val="24"/>
          <w:lang w:val="en-US"/>
        </w:rPr>
      </w:pPr>
      <w:r w:rsidRPr="00E57D06">
        <w:rPr>
          <w:b/>
          <w:i w:val="0"/>
          <w:color w:val="000000" w:themeColor="text1"/>
          <w:sz w:val="24"/>
          <w:lang w:val="en-US"/>
        </w:rPr>
        <w:t xml:space="preserve">Table </w:t>
      </w:r>
      <w:r>
        <w:rPr>
          <w:b/>
          <w:i w:val="0"/>
          <w:color w:val="000000" w:themeColor="text1"/>
          <w:sz w:val="24"/>
          <w:lang w:val="en-US"/>
        </w:rPr>
        <w:t>B</w:t>
      </w:r>
      <w:r w:rsidRPr="00AE72DA">
        <w:rPr>
          <w:b/>
          <w:i w:val="0"/>
          <w:color w:val="000000" w:themeColor="text1"/>
          <w:sz w:val="24"/>
          <w:lang w:val="en-US"/>
        </w:rPr>
        <w:t>1</w:t>
      </w:r>
      <w:r>
        <w:rPr>
          <w:b/>
          <w:i w:val="0"/>
          <w:color w:val="000000" w:themeColor="text1"/>
          <w:sz w:val="24"/>
          <w:lang w:val="en-US"/>
        </w:rPr>
        <w:t>. Anticipation and C</w:t>
      </w:r>
      <w:r w:rsidRPr="00E57D06">
        <w:rPr>
          <w:b/>
          <w:i w:val="0"/>
          <w:color w:val="000000" w:themeColor="text1"/>
          <w:sz w:val="24"/>
          <w:lang w:val="en-US"/>
        </w:rPr>
        <w:t xml:space="preserve">onsequences of </w:t>
      </w:r>
      <w:r>
        <w:rPr>
          <w:b/>
          <w:i w:val="0"/>
          <w:color w:val="000000" w:themeColor="text1"/>
          <w:sz w:val="24"/>
          <w:lang w:val="en-US"/>
        </w:rPr>
        <w:t>C</w:t>
      </w:r>
      <w:r w:rsidRPr="00E57D06">
        <w:rPr>
          <w:b/>
          <w:i w:val="0"/>
          <w:color w:val="000000" w:themeColor="text1"/>
          <w:sz w:val="24"/>
          <w:lang w:val="en-US"/>
        </w:rPr>
        <w:t>rime</w:t>
      </w:r>
    </w:p>
    <w:tbl>
      <w:tblPr>
        <w:tblStyle w:val="Tabellenraster1"/>
        <w:tblW w:w="979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287"/>
      </w:tblGrid>
      <w:tr w:rsidR="008F07B1" w:rsidRPr="00757C05" w:rsidTr="000F3765">
        <w:tc>
          <w:tcPr>
            <w:tcW w:w="7508" w:type="dxa"/>
            <w:tcBorders>
              <w:top w:val="double" w:sz="4" w:space="0" w:color="auto"/>
              <w:bottom w:val="single" w:sz="4" w:space="0" w:color="auto"/>
            </w:tcBorders>
          </w:tcPr>
          <w:p w:rsidR="008F07B1" w:rsidRPr="009E3133" w:rsidRDefault="008F07B1" w:rsidP="000F3765">
            <w:pPr>
              <w:spacing w:line="240" w:lineRule="auto"/>
              <w:jc w:val="left"/>
              <w:rPr>
                <w:sz w:val="22"/>
                <w:lang w:val="en-US"/>
              </w:rPr>
            </w:pPr>
            <w:r w:rsidRPr="009E3133">
              <w:rPr>
                <w:sz w:val="22"/>
                <w:lang w:val="en-US"/>
              </w:rPr>
              <w:t>Crime cost category</w:t>
            </w:r>
          </w:p>
        </w:tc>
        <w:tc>
          <w:tcPr>
            <w:tcW w:w="2287" w:type="dxa"/>
            <w:tcBorders>
              <w:top w:val="double" w:sz="4" w:space="0" w:color="auto"/>
              <w:bottom w:val="single" w:sz="4" w:space="0" w:color="auto"/>
            </w:tcBorders>
          </w:tcPr>
          <w:p w:rsidR="008F07B1" w:rsidRPr="009E3133" w:rsidRDefault="008F07B1" w:rsidP="000F3765">
            <w:pPr>
              <w:spacing w:line="240" w:lineRule="auto"/>
              <w:jc w:val="left"/>
              <w:rPr>
                <w:sz w:val="22"/>
                <w:lang w:val="en-US"/>
              </w:rPr>
            </w:pPr>
            <w:r w:rsidRPr="009E3133">
              <w:rPr>
                <w:sz w:val="22"/>
                <w:lang w:val="en-US"/>
              </w:rPr>
              <w:t>Who bears the cost</w:t>
            </w:r>
          </w:p>
        </w:tc>
      </w:tr>
      <w:tr w:rsidR="008F07B1" w:rsidRPr="00757C05" w:rsidTr="000F3765">
        <w:tc>
          <w:tcPr>
            <w:tcW w:w="7508" w:type="dxa"/>
            <w:tcBorders>
              <w:top w:val="single" w:sz="4" w:space="0" w:color="auto"/>
            </w:tcBorders>
          </w:tcPr>
          <w:p w:rsidR="008F07B1" w:rsidRPr="009E3133" w:rsidRDefault="008F07B1" w:rsidP="000F3765">
            <w:pPr>
              <w:spacing w:line="240" w:lineRule="auto"/>
              <w:jc w:val="left"/>
              <w:rPr>
                <w:b/>
                <w:sz w:val="22"/>
                <w:lang w:val="en-US"/>
              </w:rPr>
            </w:pPr>
            <w:r w:rsidRPr="009E3133">
              <w:rPr>
                <w:b/>
                <w:sz w:val="22"/>
                <w:lang w:val="en-US"/>
              </w:rPr>
              <w:t>Anticipation of crime</w:t>
            </w:r>
          </w:p>
        </w:tc>
        <w:tc>
          <w:tcPr>
            <w:tcW w:w="2287" w:type="dxa"/>
            <w:tcBorders>
              <w:top w:val="single" w:sz="4" w:space="0" w:color="auto"/>
            </w:tcBorders>
          </w:tcPr>
          <w:p w:rsidR="008F07B1" w:rsidRPr="009E3133" w:rsidRDefault="008F07B1" w:rsidP="000F3765">
            <w:pPr>
              <w:spacing w:line="240" w:lineRule="auto"/>
              <w:jc w:val="left"/>
              <w:rPr>
                <w:sz w:val="22"/>
                <w:lang w:val="en-US"/>
              </w:rPr>
            </w:pP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Precautionary expenditures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Potential victims</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Avoidance behaviors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Potential victims</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Fear of crime</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Potential victims</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Crime prevention programs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Government</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Non-government agencies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r w:rsidR="008F07B1" w:rsidRPr="009E3133" w:rsidTr="000F3765">
        <w:tc>
          <w:tcPr>
            <w:tcW w:w="7508" w:type="dxa"/>
          </w:tcPr>
          <w:p w:rsidR="008F07B1" w:rsidRPr="009E3133" w:rsidRDefault="008F07B1" w:rsidP="000F3765">
            <w:pPr>
              <w:spacing w:line="240" w:lineRule="auto"/>
              <w:jc w:val="left"/>
              <w:rPr>
                <w:b/>
                <w:sz w:val="22"/>
                <w:lang w:val="en-US"/>
              </w:rPr>
            </w:pPr>
            <w:r w:rsidRPr="009E3133">
              <w:rPr>
                <w:b/>
                <w:sz w:val="22"/>
                <w:lang w:val="en-US"/>
              </w:rPr>
              <w:t>Consequences of crime</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lastRenderedPageBreak/>
              <w:t>Property losses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Losses not reimbursed by insurer</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Losses reimbursed by insurance</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Administrative costs of insurance</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Productivity losses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Lost wages for unpaid workdays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Lost productivity for paid workdays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Society/employers</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Household service losses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Victim/family</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Lost school days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Foregone wages due to lack of education</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Foregone nonpecuniary benefits of education</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Foregone social benefits due to lack of education</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r w:rsidR="008F07B1" w:rsidRPr="00626E60" w:rsidTr="000F3765">
        <w:tc>
          <w:tcPr>
            <w:tcW w:w="7508" w:type="dxa"/>
          </w:tcPr>
          <w:p w:rsidR="008F07B1" w:rsidRPr="009E3133" w:rsidRDefault="008F07B1" w:rsidP="000F3765">
            <w:pPr>
              <w:spacing w:line="240" w:lineRule="auto"/>
              <w:jc w:val="left"/>
              <w:rPr>
                <w:sz w:val="22"/>
                <w:lang w:val="en-US"/>
              </w:rPr>
            </w:pPr>
            <w:r w:rsidRPr="009E3133">
              <w:rPr>
                <w:sz w:val="22"/>
                <w:lang w:val="en-US"/>
              </w:rPr>
              <w:t>Medical and mental health costs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Losses not reimbursed by insurer</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Victims/family</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Losses reimbursed by insurance</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Administrative costs of insurance</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r w:rsidR="008F07B1" w:rsidRPr="00626E60" w:rsidTr="000F3765">
        <w:tc>
          <w:tcPr>
            <w:tcW w:w="7508" w:type="dxa"/>
          </w:tcPr>
          <w:p w:rsidR="008F07B1" w:rsidRPr="009E3133" w:rsidRDefault="008F07B1" w:rsidP="000F3765">
            <w:pPr>
              <w:spacing w:line="240" w:lineRule="auto"/>
              <w:jc w:val="left"/>
              <w:rPr>
                <w:sz w:val="22"/>
                <w:lang w:val="en-US"/>
              </w:rPr>
            </w:pPr>
            <w:r w:rsidRPr="009E3133">
              <w:rPr>
                <w:sz w:val="22"/>
                <w:lang w:val="en-US"/>
              </w:rPr>
              <w:t>Pain, suffering and lost quality of life</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Pain, suffering &amp; lost quality of life</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Loss of affection/enjoyment, trauma</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 family</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Victim support services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Expenses charged to victim</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w:t>
            </w:r>
          </w:p>
        </w:tc>
      </w:tr>
      <w:tr w:rsidR="008F07B1" w:rsidRPr="009E3133" w:rsidTr="000F3765">
        <w:tc>
          <w:tcPr>
            <w:tcW w:w="7508" w:type="dxa"/>
          </w:tcPr>
          <w:p w:rsidR="008F07B1" w:rsidRPr="009E3133" w:rsidRDefault="008F07B1" w:rsidP="008F07B1">
            <w:pPr>
              <w:numPr>
                <w:ilvl w:val="0"/>
                <w:numId w:val="2"/>
              </w:numPr>
              <w:spacing w:line="240" w:lineRule="auto"/>
              <w:contextualSpacing/>
              <w:jc w:val="left"/>
              <w:rPr>
                <w:sz w:val="22"/>
                <w:lang w:val="en-US"/>
              </w:rPr>
            </w:pPr>
            <w:r w:rsidRPr="009E3133">
              <w:rPr>
                <w:sz w:val="22"/>
                <w:lang w:val="en-US"/>
              </w:rPr>
              <w:t>Expenses paid by service agency</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Legal costs associated with tort claims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Victim/society</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Long-term consequences of victimization</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 family/Society</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Offender costs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Offender</w:t>
            </w:r>
          </w:p>
        </w:tc>
      </w:tr>
    </w:tbl>
    <w:p w:rsidR="008F07B1" w:rsidRPr="00E57D06" w:rsidRDefault="008F07B1" w:rsidP="008F07B1">
      <w:pPr>
        <w:rPr>
          <w:sz w:val="22"/>
          <w:lang w:val="en-US"/>
        </w:rPr>
      </w:pPr>
      <w:r>
        <w:rPr>
          <w:sz w:val="22"/>
          <w:lang w:val="en-US"/>
        </w:rPr>
        <w:t xml:space="preserve">Source: </w:t>
      </w:r>
      <w:r>
        <w:rPr>
          <w:sz w:val="22"/>
          <w:lang w:val="en-US"/>
        </w:rPr>
        <w:fldChar w:fldCharType="begin" w:fldLock="1"/>
      </w:r>
      <w:r>
        <w:rPr>
          <w:sz w:val="22"/>
          <w:lang w:val="en-US"/>
        </w:rPr>
        <w:instrText>ADDIN CSL_CITATION {"citationItems":[{"id":"ITEM-1","itemData":{"author":[{"dropping-particle":"","family":"Cohen","given":"Mark A","non-dropping-particle":"","parse-names":false,"suffix":""},{"dropping-particle":"","family":"Bowles","given":"Roger","non-dropping-particle":"","parse-names":false,"suffix":""}],"container-title":"Handbook of quantitative criminology","id":"ITEM-1","issued":{"date-parts":[["2010"]]},"page":"143-162","publisher":"Springer","publisher-place":"New York, NY","title":"Estimating costs of crime","type":"chapter"},"uris":["http://www.mendeley.com/documents/?uuid=a4ad76e4-d31d-40b7-9f38-3a4f1d43c40f"]}],"mendeley":{"formattedCitation":"(Cohen &amp; Bowles, 2010)","manualFormatting":"Cohen &amp; Bowles (2010)","plainTextFormattedCitation":"(Cohen &amp; Bowles, 2010)","previouslyFormattedCitation":"(Cohen &amp; Bowles, 2010)"},"properties":{"noteIndex":0},"schema":"https://github.com/citation-style-language/schema/raw/master/csl-citation.json"}</w:instrText>
      </w:r>
      <w:r>
        <w:rPr>
          <w:sz w:val="22"/>
          <w:lang w:val="en-US"/>
        </w:rPr>
        <w:fldChar w:fldCharType="separate"/>
      </w:r>
      <w:r w:rsidRPr="009E3133">
        <w:rPr>
          <w:noProof/>
          <w:sz w:val="22"/>
          <w:lang w:val="en-US"/>
        </w:rPr>
        <w:t>Cohen &amp; Bowles (2010)</w:t>
      </w:r>
      <w:r>
        <w:rPr>
          <w:sz w:val="22"/>
          <w:lang w:val="en-US"/>
        </w:rPr>
        <w:fldChar w:fldCharType="end"/>
      </w:r>
    </w:p>
    <w:p w:rsidR="008F07B1" w:rsidRPr="00E57D06" w:rsidRDefault="008F07B1" w:rsidP="008F07B1">
      <w:pPr>
        <w:pStyle w:val="Caption"/>
        <w:keepNext/>
        <w:rPr>
          <w:b/>
          <w:i w:val="0"/>
          <w:color w:val="000000" w:themeColor="text1"/>
          <w:sz w:val="24"/>
          <w:lang w:val="en-US"/>
        </w:rPr>
      </w:pPr>
      <w:r>
        <w:rPr>
          <w:b/>
          <w:i w:val="0"/>
          <w:color w:val="000000" w:themeColor="text1"/>
          <w:sz w:val="24"/>
          <w:lang w:val="en-US"/>
        </w:rPr>
        <w:t>Table B2. Response to C</w:t>
      </w:r>
      <w:r w:rsidRPr="00E57D06">
        <w:rPr>
          <w:b/>
          <w:i w:val="0"/>
          <w:color w:val="000000" w:themeColor="text1"/>
          <w:sz w:val="24"/>
          <w:lang w:val="en-US"/>
        </w:rPr>
        <w:t>rime</w:t>
      </w:r>
    </w:p>
    <w:tbl>
      <w:tblPr>
        <w:tblStyle w:val="Tabellenraster2"/>
        <w:tblW w:w="979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287"/>
      </w:tblGrid>
      <w:tr w:rsidR="008F07B1" w:rsidRPr="009E3133" w:rsidTr="000F3765">
        <w:tc>
          <w:tcPr>
            <w:tcW w:w="7508" w:type="dxa"/>
            <w:tcBorders>
              <w:top w:val="double" w:sz="4" w:space="0" w:color="auto"/>
              <w:bottom w:val="single" w:sz="4" w:space="0" w:color="auto"/>
            </w:tcBorders>
          </w:tcPr>
          <w:p w:rsidR="008F07B1" w:rsidRPr="009E3133" w:rsidRDefault="008F07B1" w:rsidP="000F3765">
            <w:pPr>
              <w:spacing w:line="240" w:lineRule="auto"/>
              <w:jc w:val="left"/>
              <w:rPr>
                <w:sz w:val="22"/>
                <w:lang w:val="en-US"/>
              </w:rPr>
            </w:pPr>
            <w:r w:rsidRPr="009E3133">
              <w:rPr>
                <w:sz w:val="22"/>
                <w:lang w:val="en-US"/>
              </w:rPr>
              <w:t>Crime cost category</w:t>
            </w:r>
          </w:p>
        </w:tc>
        <w:tc>
          <w:tcPr>
            <w:tcW w:w="2287" w:type="dxa"/>
            <w:tcBorders>
              <w:top w:val="double" w:sz="4" w:space="0" w:color="auto"/>
              <w:bottom w:val="single" w:sz="4" w:space="0" w:color="auto"/>
            </w:tcBorders>
          </w:tcPr>
          <w:p w:rsidR="008F07B1" w:rsidRPr="009E3133" w:rsidRDefault="008F07B1" w:rsidP="000F3765">
            <w:pPr>
              <w:spacing w:line="240" w:lineRule="auto"/>
              <w:jc w:val="left"/>
              <w:rPr>
                <w:sz w:val="22"/>
                <w:lang w:val="en-US"/>
              </w:rPr>
            </w:pPr>
            <w:r w:rsidRPr="009E3133">
              <w:rPr>
                <w:sz w:val="22"/>
                <w:lang w:val="en-US"/>
              </w:rPr>
              <w:t>Who bears the cost</w:t>
            </w:r>
          </w:p>
        </w:tc>
      </w:tr>
      <w:tr w:rsidR="008F07B1" w:rsidRPr="009E3133" w:rsidTr="000F3765">
        <w:tc>
          <w:tcPr>
            <w:tcW w:w="7508" w:type="dxa"/>
            <w:tcBorders>
              <w:top w:val="single" w:sz="4" w:space="0" w:color="auto"/>
            </w:tcBorders>
          </w:tcPr>
          <w:p w:rsidR="008F07B1" w:rsidRPr="009E3133" w:rsidRDefault="008F07B1" w:rsidP="000F3765">
            <w:pPr>
              <w:spacing w:line="240" w:lineRule="auto"/>
              <w:jc w:val="left"/>
              <w:rPr>
                <w:b/>
                <w:sz w:val="22"/>
                <w:lang w:val="en-US"/>
              </w:rPr>
            </w:pPr>
            <w:r w:rsidRPr="009E3133">
              <w:rPr>
                <w:b/>
                <w:sz w:val="22"/>
                <w:lang w:val="en-US"/>
              </w:rPr>
              <w:t>Response to crime</w:t>
            </w:r>
          </w:p>
        </w:tc>
        <w:tc>
          <w:tcPr>
            <w:tcW w:w="2287" w:type="dxa"/>
            <w:tcBorders>
              <w:top w:val="single" w:sz="4" w:space="0" w:color="auto"/>
            </w:tcBorders>
          </w:tcPr>
          <w:p w:rsidR="008F07B1" w:rsidRPr="009E3133" w:rsidRDefault="008F07B1" w:rsidP="000F3765">
            <w:pPr>
              <w:spacing w:line="240" w:lineRule="auto"/>
              <w:jc w:val="left"/>
              <w:rPr>
                <w:sz w:val="22"/>
                <w:lang w:val="en-US"/>
              </w:rPr>
            </w:pP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Police</w:t>
            </w:r>
          </w:p>
        </w:tc>
        <w:tc>
          <w:tcPr>
            <w:tcW w:w="2287" w:type="dxa"/>
          </w:tcPr>
          <w:p w:rsidR="008F07B1" w:rsidRPr="009E3133" w:rsidRDefault="008F07B1" w:rsidP="000F3765">
            <w:pPr>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Prosecution</w:t>
            </w:r>
          </w:p>
        </w:tc>
        <w:tc>
          <w:tcPr>
            <w:tcW w:w="2287" w:type="dxa"/>
          </w:tcPr>
          <w:p w:rsidR="008F07B1" w:rsidRPr="009E3133" w:rsidRDefault="008F07B1" w:rsidP="000F3765">
            <w:pPr>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Courts</w:t>
            </w:r>
          </w:p>
        </w:tc>
        <w:tc>
          <w:tcPr>
            <w:tcW w:w="2287" w:type="dxa"/>
          </w:tcPr>
          <w:p w:rsidR="008F07B1" w:rsidRPr="009E3133" w:rsidRDefault="008F07B1" w:rsidP="000F3765">
            <w:pPr>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Legal fees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Public defenders</w:t>
            </w:r>
          </w:p>
        </w:tc>
        <w:tc>
          <w:tcPr>
            <w:tcW w:w="2287" w:type="dxa"/>
          </w:tcPr>
          <w:p w:rsidR="008F07B1" w:rsidRPr="009E3133" w:rsidRDefault="008F07B1" w:rsidP="000F3765">
            <w:pPr>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Private lawyers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Offender</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Criminal sanctions</w:t>
            </w:r>
          </w:p>
        </w:tc>
        <w:tc>
          <w:tcPr>
            <w:tcW w:w="2287" w:type="dxa"/>
          </w:tcPr>
          <w:p w:rsidR="008F07B1" w:rsidRPr="009E3133" w:rsidRDefault="008F07B1" w:rsidP="000F3765">
            <w:pPr>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Victim and witness costs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Victim/Witnesses</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Jury service</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Jurors</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Victim compensation</w:t>
            </w:r>
          </w:p>
        </w:tc>
        <w:tc>
          <w:tcPr>
            <w:tcW w:w="2287" w:type="dxa"/>
          </w:tcPr>
          <w:p w:rsidR="008F07B1" w:rsidRPr="009E3133" w:rsidRDefault="008F07B1" w:rsidP="000F3765">
            <w:pPr>
              <w:spacing w:line="240" w:lineRule="auto"/>
              <w:jc w:val="left"/>
              <w:rPr>
                <w:sz w:val="22"/>
                <w:lang w:val="en-US"/>
              </w:rPr>
            </w:pPr>
            <w:r w:rsidRPr="009E3133">
              <w:rPr>
                <w:sz w:val="22"/>
                <w:lang w:val="en-US"/>
              </w:rPr>
              <w:t>Society/government</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Offender costs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Productivity</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Offender/society</w:t>
            </w: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Injury/death to offender while incarcerated</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Offender/society</w:t>
            </w: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Loss of freedom to offender</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Offender</w:t>
            </w: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Offender’s family</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Offender’s family/society</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Overdeterrence costs</w:t>
            </w:r>
          </w:p>
        </w:tc>
        <w:tc>
          <w:tcPr>
            <w:tcW w:w="2287" w:type="dxa"/>
          </w:tcPr>
          <w:p w:rsidR="008F07B1" w:rsidRPr="009E3133" w:rsidRDefault="008F07B1" w:rsidP="000F3765">
            <w:pPr>
              <w:tabs>
                <w:tab w:val="left" w:pos="1094"/>
              </w:tabs>
              <w:spacing w:line="240" w:lineRule="auto"/>
              <w:jc w:val="left"/>
              <w:rPr>
                <w:sz w:val="22"/>
                <w:lang w:val="en-US"/>
              </w:rPr>
            </w:pP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Innocent individuals accused of offenses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Innocent “offenders”</w:t>
            </w: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Restrictions on legitimate activities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r w:rsidR="008F07B1" w:rsidRPr="009E3133" w:rsidTr="000F3765">
        <w:tc>
          <w:tcPr>
            <w:tcW w:w="7508" w:type="dxa"/>
          </w:tcPr>
          <w:p w:rsidR="008F07B1" w:rsidRPr="009E3133" w:rsidRDefault="008F07B1" w:rsidP="008F07B1">
            <w:pPr>
              <w:numPr>
                <w:ilvl w:val="0"/>
                <w:numId w:val="3"/>
              </w:numPr>
              <w:spacing w:line="240" w:lineRule="auto"/>
              <w:contextualSpacing/>
              <w:jc w:val="left"/>
              <w:rPr>
                <w:sz w:val="22"/>
                <w:lang w:val="en-US"/>
              </w:rPr>
            </w:pPr>
            <w:r w:rsidRPr="009E3133">
              <w:rPr>
                <w:sz w:val="22"/>
                <w:lang w:val="en-US"/>
              </w:rPr>
              <w:t>Costs of additional detection avoidance by offenders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Offender</w:t>
            </w:r>
          </w:p>
        </w:tc>
      </w:tr>
      <w:tr w:rsidR="008F07B1" w:rsidRPr="009E3133" w:rsidTr="000F3765">
        <w:tc>
          <w:tcPr>
            <w:tcW w:w="7508" w:type="dxa"/>
          </w:tcPr>
          <w:p w:rsidR="008F07B1" w:rsidRPr="009E3133" w:rsidRDefault="008F07B1" w:rsidP="000F3765">
            <w:pPr>
              <w:spacing w:line="240" w:lineRule="auto"/>
              <w:jc w:val="left"/>
              <w:rPr>
                <w:sz w:val="22"/>
                <w:lang w:val="en-US"/>
              </w:rPr>
            </w:pPr>
            <w:r w:rsidRPr="009E3133">
              <w:rPr>
                <w:sz w:val="22"/>
                <w:lang w:val="en-US"/>
              </w:rPr>
              <w:t>Justice costs</w:t>
            </w:r>
          </w:p>
        </w:tc>
        <w:tc>
          <w:tcPr>
            <w:tcW w:w="2287" w:type="dxa"/>
          </w:tcPr>
          <w:p w:rsidR="008F07B1" w:rsidRPr="009E3133" w:rsidRDefault="008F07B1" w:rsidP="000F3765">
            <w:pPr>
              <w:tabs>
                <w:tab w:val="left" w:pos="1094"/>
              </w:tabs>
              <w:spacing w:line="240" w:lineRule="auto"/>
              <w:jc w:val="left"/>
              <w:rPr>
                <w:sz w:val="22"/>
                <w:lang w:val="en-US"/>
              </w:rPr>
            </w:pPr>
            <w:r w:rsidRPr="009E3133">
              <w:rPr>
                <w:sz w:val="22"/>
                <w:lang w:val="en-US"/>
              </w:rPr>
              <w:t>Society</w:t>
            </w:r>
          </w:p>
        </w:tc>
      </w:tr>
    </w:tbl>
    <w:p w:rsidR="008F07B1" w:rsidRDefault="008F07B1" w:rsidP="008F07B1">
      <w:pPr>
        <w:rPr>
          <w:sz w:val="22"/>
          <w:lang w:val="en-US"/>
        </w:rPr>
      </w:pPr>
      <w:r>
        <w:rPr>
          <w:sz w:val="22"/>
          <w:lang w:val="en-US"/>
        </w:rPr>
        <w:t xml:space="preserve">Source: </w:t>
      </w:r>
      <w:r>
        <w:rPr>
          <w:sz w:val="22"/>
          <w:lang w:val="en-US"/>
        </w:rPr>
        <w:fldChar w:fldCharType="begin" w:fldLock="1"/>
      </w:r>
      <w:r>
        <w:rPr>
          <w:sz w:val="22"/>
          <w:lang w:val="en-US"/>
        </w:rPr>
        <w:instrText>ADDIN CSL_CITATION {"citationItems":[{"id":"ITEM-1","itemData":{"author":[{"dropping-particle":"","family":"Cohen","given":"Mark A","non-dropping-particle":"","parse-names":false,"suffix":""},{"dropping-particle":"","family":"Bowles","given":"Roger","non-dropping-particle":"","parse-names":false,"suffix":""}],"container-title":"Handbook of quantitative criminology","id":"ITEM-1","issued":{"date-parts":[["2010"]]},"page":"143-162","publisher":"Springer","publisher-place":"New York, NY","title":"Estimating costs of crime","type":"chapter"},"uris":["http://www.mendeley.com/documents/?uuid=a4ad76e4-d31d-40b7-9f38-3a4f1d43c40f"]}],"mendeley":{"formattedCitation":"(Cohen &amp; Bowles, 2010)","manualFormatting":"Cohen &amp; Bowles (2010)","plainTextFormattedCitation":"(Cohen &amp; Bowles, 2010)","previouslyFormattedCitation":"(Cohen &amp; Bowles, 2010)"},"properties":{"noteIndex":0},"schema":"https://github.com/citation-style-language/schema/raw/master/csl-citation.json"}</w:instrText>
      </w:r>
      <w:r>
        <w:rPr>
          <w:sz w:val="22"/>
          <w:lang w:val="en-US"/>
        </w:rPr>
        <w:fldChar w:fldCharType="separate"/>
      </w:r>
      <w:r w:rsidRPr="009E3133">
        <w:rPr>
          <w:noProof/>
          <w:sz w:val="22"/>
          <w:lang w:val="en-US"/>
        </w:rPr>
        <w:t>Cohen &amp; Bowles (2010)</w:t>
      </w:r>
      <w:r>
        <w:rPr>
          <w:sz w:val="22"/>
          <w:lang w:val="en-US"/>
        </w:rPr>
        <w:fldChar w:fldCharType="end"/>
      </w:r>
    </w:p>
    <w:p w:rsidR="008F07B1" w:rsidRDefault="008F07B1" w:rsidP="008F07B1">
      <w:pPr>
        <w:pStyle w:val="Heading4"/>
        <w:numPr>
          <w:ilvl w:val="0"/>
          <w:numId w:val="0"/>
        </w:numPr>
        <w:rPr>
          <w:lang w:val="en-US"/>
        </w:rPr>
      </w:pPr>
      <w:r>
        <w:rPr>
          <w:lang w:val="en-US"/>
        </w:rPr>
        <w:lastRenderedPageBreak/>
        <w:t>J</w:t>
      </w:r>
      <w:r w:rsidRPr="007357FF">
        <w:rPr>
          <w:lang w:val="en-US"/>
        </w:rPr>
        <w:t xml:space="preserve">ury </w:t>
      </w:r>
      <w:r>
        <w:rPr>
          <w:lang w:val="en-US"/>
        </w:rPr>
        <w:t>A</w:t>
      </w:r>
      <w:r w:rsidRPr="007357FF">
        <w:rPr>
          <w:lang w:val="en-US"/>
        </w:rPr>
        <w:t>ward</w:t>
      </w:r>
      <w:r>
        <w:rPr>
          <w:lang w:val="en-US"/>
        </w:rPr>
        <w:t>s to estimate the Intangible Costs of Crime</w:t>
      </w:r>
    </w:p>
    <w:p w:rsidR="008F07B1" w:rsidRDefault="008F07B1" w:rsidP="008F07B1">
      <w:pPr>
        <w:spacing w:after="120"/>
        <w:ind w:firstLine="357"/>
        <w:rPr>
          <w:lang w:val="en-US"/>
        </w:rPr>
      </w:pPr>
      <w:r>
        <w:rPr>
          <w:lang w:val="en-US"/>
        </w:rPr>
        <w:t xml:space="preserve">The </w:t>
      </w:r>
      <w:r w:rsidRPr="006C3C73">
        <w:rPr>
          <w:lang w:val="en-US"/>
        </w:rPr>
        <w:t>intangible costs</w:t>
      </w:r>
      <w:r w:rsidRPr="001A2F40">
        <w:rPr>
          <w:i/>
          <w:lang w:val="en-US"/>
        </w:rPr>
        <w:t xml:space="preserve"> </w:t>
      </w:r>
      <w:r w:rsidRPr="0083661C">
        <w:rPr>
          <w:lang w:val="en-US"/>
        </w:rPr>
        <w:t>of crime</w:t>
      </w:r>
      <w:r>
        <w:rPr>
          <w:lang w:val="en-US"/>
        </w:rPr>
        <w:t xml:space="preserve"> include the costs of pain, suffering, and lost quality of life </w:t>
      </w:r>
      <w:r>
        <w:rPr>
          <w:lang w:val="en-US"/>
        </w:rPr>
        <w:fldChar w:fldCharType="begin" w:fldLock="1"/>
      </w:r>
      <w:r>
        <w:rPr>
          <w:lang w:val="en-US"/>
        </w:rPr>
        <w:instrText>ADDIN CSL_CITATION {"citationItems":[{"id":"ITEM-1","itemData":{"ISSN":"0023-9216","author":[{"dropping-particle":"","family":"Cohen","given":"Mark A","non-dropping-particle":"","parse-names":false,"suffix":""}],"container-title":"Law and Society Review","id":"ITEM-1","issued":{"date-parts":[["1988"]]},"page":"537-555","publisher":"JSTOR","title":"Pain, suffering, and jury awards: A study of the cost of crime to victims","type":"article-journal"},"uris":["http://www.mendeley.com/documents/?uuid=63b6a9d6-c285-4415-9eb7-b2a0a53dbec1"]}],"mendeley":{"formattedCitation":"(Cohen, 1988)","plainTextFormattedCitation":"(Cohen, 1988)","previouslyFormattedCitation":"(Cohen, 1988)"},"properties":{"noteIndex":0},"schema":"https://github.com/citation-style-language/schema/raw/master/csl-citation.json"}</w:instrText>
      </w:r>
      <w:r>
        <w:rPr>
          <w:lang w:val="en-US"/>
        </w:rPr>
        <w:fldChar w:fldCharType="separate"/>
      </w:r>
      <w:r w:rsidRPr="001A2F40">
        <w:rPr>
          <w:noProof/>
          <w:lang w:val="en-US"/>
        </w:rPr>
        <w:t>(Cohen, 1988)</w:t>
      </w:r>
      <w:r>
        <w:rPr>
          <w:lang w:val="en-US"/>
        </w:rPr>
        <w:fldChar w:fldCharType="end"/>
      </w:r>
      <w:r>
        <w:rPr>
          <w:lang w:val="en-US"/>
        </w:rPr>
        <w:t xml:space="preserve">. </w:t>
      </w:r>
      <w:r w:rsidRPr="006C3C73">
        <w:rPr>
          <w:lang w:val="en-US"/>
        </w:rPr>
        <w:t>Jury awards</w:t>
      </w:r>
      <w:r w:rsidRPr="00C86ED0">
        <w:rPr>
          <w:lang w:val="en-US"/>
        </w:rPr>
        <w:t xml:space="preserve"> for compensatory damages </w:t>
      </w:r>
      <w:r>
        <w:rPr>
          <w:lang w:val="en-US"/>
        </w:rPr>
        <w:t xml:space="preserve">provide good estimates of intangible costs. This is because they </w:t>
      </w:r>
      <w:r w:rsidRPr="002F1649">
        <w:rPr>
          <w:lang w:val="en-US"/>
        </w:rPr>
        <w:t xml:space="preserve">compensate </w:t>
      </w:r>
      <w:r>
        <w:rPr>
          <w:lang w:val="en-US"/>
        </w:rPr>
        <w:t>victims with a sum</w:t>
      </w:r>
      <w:r w:rsidRPr="002F1649">
        <w:rPr>
          <w:lang w:val="en-US"/>
        </w:rPr>
        <w:t xml:space="preserve"> that will </w:t>
      </w:r>
      <w:r>
        <w:rPr>
          <w:lang w:val="en-US"/>
        </w:rPr>
        <w:t xml:space="preserve">put them to the level of well-being they maintained prior to victimization </w:t>
      </w:r>
      <w:r>
        <w:rPr>
          <w:rFonts w:cs="Times New Roman"/>
          <w:lang w:val="en-US"/>
        </w:rPr>
        <w:fldChar w:fldCharType="begin" w:fldLock="1"/>
      </w:r>
      <w:r>
        <w:rPr>
          <w:rFonts w:cs="Times New Roman"/>
          <w:lang w:val="en-US"/>
        </w:rPr>
        <w:instrText>ADDIN CSL_CITATION {"citationItems":[{"id":"ITEM-1","itemData":{"abstract":"Cost-effectiveness and benefit-cost analyses are tools that have been used by public policy analysts for years. Programs as diverse as envi- ronmental and land use regulations, welfare benefits, job training pro- grams, and immunization policies have all been analyzed in this manner. Since the early 1980s, Federal regulatory agencies have been required to conduct benefit-cost analyses on major regulatory initia- tives. Despite their widespread use, cost-effectiveness and benefit- cost analyses have not been staples of the criminal justice policy analyst’s tool kit. This is rapidly changing in response to both increas- ing public demand for accountability of government agencies and the availability of new data and analysis techniques for identifying the costs of crime. This chapter reviews state-of-the-art techniques for estimating the costs and benefits of criminal justice and prevention programs. Although official government estimates of the cost of street crime have been available for many years, recent studies have attempted to go beyond government statistics by incorporating the monetary value of pain, suffering, and lost quality of life. Many of these studies use methodologies that are employed by environmental, health, and safety economists. Because these methodologies are new to the criminal justice research community, considerable attention is given to understanding their underlying assumptions, limitations, and alternatives. Cost-benefit analysis has arrived in the criminal justice policy arena, and it will not go away. Forcing analysts to quantify expected costs and benefits sheds new light on the merits of alternative pro- grams and will undoubtedly change the focus of the debate in many crimi- nal justice program areas. Whereas one could previously claim that “prevention is cheaper than prison” or “three strikes and you’re out pays for itself,” the benefit-cost framework allows decisionmakers to examine these claims more carefully and begin to make more rational, scientifically based judgments.","author":[{"dropping-particle":"","family":"Cohen","given":"Mark A","non-dropping-particle":"","parse-names":false,"suffix":""}],"collection-title":"Criminal Justice","container-title":"Measuring the costs and benefits of crime and justice","editor":[{"dropping-particle":"","family":"Duffee","given":"David","non-dropping-particle":"","parse-names":false,"suffix":""}],"id":"ITEM-1","issued":{"date-parts":[["2000"]]},"note":"Comprehensive review of theory and methodologies for estimating both the costs of crime and the criminal justice system. While this is now somewhat dated and does not include the latest studies, it is a very useful and easy-to-read reference for undergraduate or graduate students.\n\nThe main difference between the two is that CEA considers only the costs as they are expressed in monetary terms, while CBA goes one step further to quantify the monetary benefits of the outcome (Cohen 2000).\n\nUse of CBA has been facilitated by improved data availability and techniques for quantifying the benefits and cost of intervention programs (Cohen 2000).\n\nThe costs and benefits of crime reduction accrue to different parties including crime victims, potential crime victims, taxpayers and government agencies (Cohen 2000).\n\nThere is no standard accounting system that incorporates all the cost of crime to victims (Cohen 2000).","page":"263-316","publisher":"National Institute of Justice","publisher-place":"Washington, DC","title":"Measuring the costs and benefits of crime and justice","type":"chapter","volume":"4"},"uris":["http://www.mendeley.com/documents/?uuid=29481936-9a55-41e2-bb83-2184bcd75271"]},{"id":"ITEM-2","itemData":{"ISBN":"0415700736","abstract":"A must-read for anyone involved in public policy, this book consolidates the diverse research in this area but also makes one of the most valuable contributions to date to the study of the economics of criminal behavior. Introduction and overview -- An economic approach to crime and costing methodologies -- Victim costs -- Third-party and society costs -- Policy analysis and the costs of crime.","author":[{"dropping-particle":"","family":"Cohen","given":"Mark A.","non-dropping-particle":"","parse-names":false,"suffix":""}],"id":"ITEM-2","issued":{"date-parts":[["2004"]]},"publisher":"Routledge","publisher-place":"Abingdon-on-Thames, England, UK","title":"The costs of crime and justice","type":"book"},"uris":["http://www.mendeley.com/documents/?uuid=7e925a10-74ff-3284-8cf4-dec1be40a851"]}],"mendeley":{"formattedCitation":"(Cohen, 2000, 2004)","plainTextFormattedCitation":"(Cohen, 2000, 2004)","previouslyFormattedCitation":"(Cohen, 2000, 2004)"},"properties":{"noteIndex":0},"schema":"https://github.com/citation-style-language/schema/raw/master/csl-citation.json"}</w:instrText>
      </w:r>
      <w:r>
        <w:rPr>
          <w:rFonts w:cs="Times New Roman"/>
          <w:lang w:val="en-US"/>
        </w:rPr>
        <w:fldChar w:fldCharType="separate"/>
      </w:r>
      <w:r w:rsidRPr="00AE0E9C">
        <w:rPr>
          <w:rFonts w:cs="Times New Roman"/>
          <w:noProof/>
          <w:lang w:val="en-US"/>
        </w:rPr>
        <w:t>(Cohen, 2000, 2004)</w:t>
      </w:r>
      <w:r>
        <w:rPr>
          <w:rFonts w:cs="Times New Roman"/>
          <w:lang w:val="en-US"/>
        </w:rPr>
        <w:fldChar w:fldCharType="end"/>
      </w:r>
      <w:r w:rsidRPr="00BC22D5">
        <w:rPr>
          <w:rFonts w:cs="Times New Roman"/>
          <w:lang w:val="en-US"/>
        </w:rPr>
        <w:t>.</w:t>
      </w:r>
      <w:r>
        <w:rPr>
          <w:rStyle w:val="FootnoteReference"/>
          <w:rFonts w:cs="Times New Roman"/>
          <w:lang w:val="en-US"/>
        </w:rPr>
        <w:footnoteReference w:id="4"/>
      </w:r>
      <w:r w:rsidRPr="00BC22D5">
        <w:rPr>
          <w:rFonts w:cs="Times New Roman"/>
          <w:lang w:val="en-US"/>
        </w:rPr>
        <w:t xml:space="preserve"> </w:t>
      </w:r>
      <w:r>
        <w:rPr>
          <w:rFonts w:cs="Times New Roman"/>
          <w:lang w:val="en-US"/>
        </w:rPr>
        <w:t xml:space="preserve">Jury awards include </w:t>
      </w:r>
      <w:r w:rsidRPr="00443FF9">
        <w:rPr>
          <w:rFonts w:cs="Times New Roman"/>
          <w:lang w:val="en-US"/>
        </w:rPr>
        <w:t xml:space="preserve">compensation for </w:t>
      </w:r>
      <w:r w:rsidRPr="00443FF9">
        <w:rPr>
          <w:lang w:val="en-US"/>
        </w:rPr>
        <w:t xml:space="preserve">out-of-pocket expenses (tangible costs) and non-economic losses (intangible costs). </w:t>
      </w:r>
      <w:r>
        <w:rPr>
          <w:lang w:val="en-US"/>
        </w:rPr>
        <w:t xml:space="preserve">Jury awards therefore reflect the decline in the level of well-being that is caused by victimization. Cost estimation based on jury awards functions as follows: data is collected on jury awards in cases of violent assault. </w:t>
      </w:r>
      <w:r w:rsidRPr="00443FF9">
        <w:rPr>
          <w:i/>
          <w:lang w:val="en-US"/>
        </w:rPr>
        <w:t>O</w:t>
      </w:r>
      <w:r w:rsidRPr="00641DAE">
        <w:rPr>
          <w:i/>
          <w:lang w:val="en-US"/>
        </w:rPr>
        <w:t>rdinary least squared</w:t>
      </w:r>
      <w:r>
        <w:rPr>
          <w:lang w:val="en-US"/>
        </w:rPr>
        <w:t xml:space="preserve"> (OLS) regression is used to estimate compensatory damage awards as a function of </w:t>
      </w:r>
      <w:r w:rsidRPr="00D31006">
        <w:rPr>
          <w:lang w:val="en-US"/>
        </w:rPr>
        <w:t xml:space="preserve">medical </w:t>
      </w:r>
      <w:r>
        <w:rPr>
          <w:lang w:val="en-US"/>
        </w:rPr>
        <w:t xml:space="preserve">expenditures </w:t>
      </w:r>
      <w:r w:rsidRPr="00D31006">
        <w:rPr>
          <w:lang w:val="en-US"/>
        </w:rPr>
        <w:t xml:space="preserve">and wage losses as well as </w:t>
      </w:r>
      <w:r>
        <w:rPr>
          <w:lang w:val="en-US"/>
        </w:rPr>
        <w:t xml:space="preserve">a set of offense, injury, victim, and defendant specific variables. This yields estimates of jury awards by type of injury. From this, the medical expenditures and wage losses are subtracted. The result is the non-economic loss by injury type </w:t>
      </w:r>
      <w:r>
        <w:rPr>
          <w:lang w:val="en-US"/>
        </w:rPr>
        <w:fldChar w:fldCharType="begin" w:fldLock="1"/>
      </w:r>
      <w:r>
        <w:rPr>
          <w:lang w:val="en-US"/>
        </w:rPr>
        <w:instrText>ADDIN CSL_CITATION {"citationItems":[{"id":"ITEM-1","itemData":{"author":[{"dropping-particle":"","family":"Miller","given":"Ted R","non-dropping-particle":"","parse-names":false,"suffix":""},{"dropping-particle":"","family":"Cohen","given":"Mark A","non-dropping-particle":"","parse-names":false,"suffix":""},{"dropping-particle":"","family":"Hendrie","given":"Delia","non-dropping-particle":"","parse-names":false,"suffix":""}],"container-title":"Forensic Science and Criminology","id":"ITEM-1","issued":{"date-parts":[["2017"]]},"page":"1-10","title":"Non-economic damages due to physical and sexual assault: estimates from civil jury awards","type":"article-journal","volume":"2"},"uris":["http://www.mendeley.com/documents/?uuid=db245f29-f6b4-4c51-89de-4e8434e3b05d"]}],"mendeley":{"formattedCitation":"(Miller, Cohen, &amp; Hendrie, 2017)","plainTextFormattedCitation":"(Miller, Cohen, &amp; Hendrie, 2017)","previouslyFormattedCitation":"(Miller, Cohen, &amp; Hendrie, 2017)"},"properties":{"noteIndex":0},"schema":"https://github.com/citation-style-language/schema/raw/master/csl-citation.json"}</w:instrText>
      </w:r>
      <w:r>
        <w:rPr>
          <w:lang w:val="en-US"/>
        </w:rPr>
        <w:fldChar w:fldCharType="separate"/>
      </w:r>
      <w:r w:rsidRPr="00443FF9">
        <w:rPr>
          <w:noProof/>
          <w:lang w:val="en-US"/>
        </w:rPr>
        <w:t>(Miller, Cohen, &amp; Hendrie, 2017)</w:t>
      </w:r>
      <w:r>
        <w:rPr>
          <w:lang w:val="en-US"/>
        </w:rPr>
        <w:fldChar w:fldCharType="end"/>
      </w:r>
      <w:r>
        <w:rPr>
          <w:lang w:val="en-US"/>
        </w:rPr>
        <w:t>.</w:t>
      </w:r>
    </w:p>
    <w:p w:rsidR="008F07B1" w:rsidRDefault="008F07B1" w:rsidP="008F07B1">
      <w:pPr>
        <w:spacing w:after="120"/>
        <w:ind w:firstLine="357"/>
        <w:rPr>
          <w:lang w:val="en-US"/>
        </w:rPr>
      </w:pPr>
      <w:r w:rsidRPr="00E904E3">
        <w:rPr>
          <w:lang w:val="en-US"/>
        </w:rPr>
        <w:t>A number of reasons supports the use of the method</w:t>
      </w:r>
      <w:r>
        <w:rPr>
          <w:lang w:val="en-US"/>
        </w:rPr>
        <w:t xml:space="preserve">. Society placed the system of compensation in the hands of juries and thus decided that their awards are just compensation. Estimates based on jury awards are used in regulatory contexts </w:t>
      </w:r>
      <w:r>
        <w:rPr>
          <w:lang w:val="en-US"/>
        </w:rPr>
        <w:fldChar w:fldCharType="begin" w:fldLock="1"/>
      </w:r>
      <w:r>
        <w:rPr>
          <w:lang w:val="en-US"/>
        </w:rPr>
        <w:instrText>ADDIN CSL_CITATION {"citationItems":[{"id":"ITEM-1","itemData":{"author":[{"dropping-particle":"","family":"Cohen","given":"Mark A","non-dropping-particle":"","parse-names":false,"suffix":""},{"dropping-particle":"","family":"Bowles","given":"Roger","non-dropping-particle":"","parse-names":false,"suffix":""}],"container-title":"Handbook of quantitative criminology","id":"ITEM-1","issued":{"date-parts":[["2010"]]},"page":"143-162","publisher":"Springer","publisher-place":"New York, NY","title":"Estimating costs of crime","type":"chapter"},"uris":["http://www.mendeley.com/documents/?uuid=a4ad76e4-d31d-40b7-9f38-3a4f1d43c40f"]}],"mendeley":{"formattedCitation":"(Cohen &amp; Bowles, 2010)","plainTextFormattedCitation":"(Cohen &amp; Bowles, 2010)","previouslyFormattedCitation":"(Cohen &amp; Bowles, 2010)"},"properties":{"noteIndex":0},"schema":"https://github.com/citation-style-language/schema/raw/master/csl-citation.json"}</w:instrText>
      </w:r>
      <w:r>
        <w:rPr>
          <w:lang w:val="en-US"/>
        </w:rPr>
        <w:fldChar w:fldCharType="separate"/>
      </w:r>
      <w:r w:rsidRPr="00CE292D">
        <w:rPr>
          <w:noProof/>
          <w:lang w:val="en-US"/>
        </w:rPr>
        <w:t>(Cohen &amp; Bowles, 2010)</w:t>
      </w:r>
      <w:r>
        <w:rPr>
          <w:lang w:val="en-US"/>
        </w:rPr>
        <w:fldChar w:fldCharType="end"/>
      </w:r>
      <w:r>
        <w:rPr>
          <w:lang w:val="en-US"/>
        </w:rPr>
        <w:t>. J</w:t>
      </w:r>
      <w:r w:rsidRPr="000F116B">
        <w:rPr>
          <w:lang w:val="en-US"/>
        </w:rPr>
        <w:t>ury awards are predictable in large sample</w:t>
      </w:r>
      <w:r>
        <w:rPr>
          <w:lang w:val="en-US"/>
        </w:rPr>
        <w:t>s</w:t>
      </w:r>
      <w:r w:rsidRPr="000F116B">
        <w:rPr>
          <w:lang w:val="en-US"/>
        </w:rPr>
        <w:t xml:space="preserve"> </w:t>
      </w:r>
      <w:r w:rsidRPr="000F116B">
        <w:rPr>
          <w:lang w:val="en-US"/>
        </w:rPr>
        <w:fldChar w:fldCharType="begin" w:fldLock="1"/>
      </w:r>
      <w:r>
        <w:rPr>
          <w:lang w:val="en-US"/>
        </w:rPr>
        <w:instrText>ADDIN CSL_CITATION {"citationItems":[{"id":"ITEM-1","itemData":{"abstract":"Juries in the United States routinely compensate plaintiffs for “pain and suffering” beyond their out-of-pocket losses, under the theory that these payments will make the victim “whole.” This paper examines the jury’s “willingness-to-award” nonmonetary damages in over 1200 cases of consumer product related injuries and intentional assaults. By comparing awards to the injuries and out-of-pocket losses sustained by the plaintiff, we compute the implicit value of a statistical life from jury awards for nonfatal injuries. We find that jury awards are predictable (although with a high degree of variability), and that the implied value of a statistical life is approximately $1.4 to $3.8 million. This figure is well within the range of estimates derived independently from wage-risk studies. One implication of our findings is that “scheduling” pain and suffering awards based on the statistical value of a life would reduce uncertainty and not affect overall award levels.","author":[{"dropping-particle":"","family":"Cohen","given":"Mark A","non-dropping-particle":"","parse-names":false,"suffix":""},{"dropping-particle":"","family":"Miller","given":"Ted R","non-dropping-particle":"","parse-names":false,"suffix":""}],"container-title":"International Review of Law and Economics","id":"ITEM-1","issue":"2","issued":{"date-parts":[["2003"]]},"page":"165-181","title":"“Willingness to award” nonmonetary damages and the implied value of life from jury awards","type":"article-journal","volume":"23"},"uris":["http://www.mendeley.com/documents/?uuid=ab59f818-bd44-3cb1-8509-a45ed6847c7a"]}],"mendeley":{"formattedCitation":"(Cohen &amp; Miller, 2003)","plainTextFormattedCitation":"(Cohen &amp; Miller, 2003)","previouslyFormattedCitation":"(Cohen &amp; Miller, 2003)"},"properties":{"noteIndex":0},"schema":"https://github.com/citation-style-language/schema/raw/master/csl-citation.json"}</w:instrText>
      </w:r>
      <w:r w:rsidRPr="000F116B">
        <w:rPr>
          <w:lang w:val="en-US"/>
        </w:rPr>
        <w:fldChar w:fldCharType="separate"/>
      </w:r>
      <w:r w:rsidRPr="000F116B">
        <w:rPr>
          <w:noProof/>
          <w:lang w:val="en-US"/>
        </w:rPr>
        <w:t>(Cohen &amp; Miller, 2003)</w:t>
      </w:r>
      <w:r w:rsidRPr="000F116B">
        <w:rPr>
          <w:lang w:val="en-US"/>
        </w:rPr>
        <w:fldChar w:fldCharType="end"/>
      </w:r>
      <w:r>
        <w:rPr>
          <w:lang w:val="en-US"/>
        </w:rPr>
        <w:t xml:space="preserve">. Analysts belief they provide a good proxy for the value of lost life and health </w:t>
      </w:r>
      <w:r>
        <w:rPr>
          <w:lang w:val="en-US"/>
        </w:rPr>
        <w:fldChar w:fldCharType="begin" w:fldLock="1"/>
      </w:r>
      <w:r>
        <w:rPr>
          <w:lang w:val="en-US"/>
        </w:rPr>
        <w:instrText>ADDIN CSL_CITATION {"citationItems":[{"id":"ITEM-1","itemData":{"ISSN":"1869-6716","author":[{"dropping-particle":"","family":"Crowley","given":"D Max","non-dropping-particle":"","parse-names":false,"suffix":""},{"dropping-particle":"","family":"Jones","given":"Damon","non-dropping-particle":"","parse-names":false,"suffix":""}],"container-title":"Translational behavioral medicine","id":"ITEM-1","issue":"1","issued":{"date-parts":[["2015"]]},"page":"145-152","publisher":"Oxford University Press","title":"Financing prevention: opportunities for economic analysis across the translational research cycle","type":"article-journal","volume":"6"},"uris":["http://www.mendeley.com/documents/?uuid=78a97a75-8e37-4f5b-a878-92a54b2d217b"]}],"mendeley":{"formattedCitation":"(Crowley &amp; Jones, 2015)","plainTextFormattedCitation":"(Crowley &amp; Jones, 2015)","previouslyFormattedCitation":"(Crowley &amp; Jones, 2015)"},"properties":{"noteIndex":0},"schema":"https://github.com/citation-style-language/schema/raw/master/csl-citation.json"}</w:instrText>
      </w:r>
      <w:r>
        <w:rPr>
          <w:lang w:val="en-US"/>
        </w:rPr>
        <w:fldChar w:fldCharType="separate"/>
      </w:r>
      <w:r w:rsidRPr="00894C24">
        <w:rPr>
          <w:noProof/>
          <w:lang w:val="en-US"/>
        </w:rPr>
        <w:t>(Crowley &amp; Jones, 2015)</w:t>
      </w:r>
      <w:r>
        <w:rPr>
          <w:lang w:val="en-US"/>
        </w:rPr>
        <w:fldChar w:fldCharType="end"/>
      </w:r>
      <w:r>
        <w:rPr>
          <w:lang w:val="en-US"/>
        </w:rPr>
        <w:t xml:space="preserve">. However, juries </w:t>
      </w:r>
      <w:r w:rsidRPr="001B5A44">
        <w:rPr>
          <w:lang w:val="en-US"/>
        </w:rPr>
        <w:t xml:space="preserve">are likely to </w:t>
      </w:r>
      <w:r>
        <w:rPr>
          <w:lang w:val="en-US"/>
        </w:rPr>
        <w:t>fail to predict</w:t>
      </w:r>
      <w:r w:rsidRPr="001B5A44">
        <w:rPr>
          <w:lang w:val="en-US"/>
        </w:rPr>
        <w:t xml:space="preserve"> the hedonic consequences of injuries by overestimating the impacts of physical health conditions. They are also prone to affective forecasting errors, anchoring effects, and random source variability in their decisions </w:t>
      </w:r>
      <w:r w:rsidRPr="001B5A44">
        <w:rPr>
          <w:lang w:val="en-US"/>
        </w:rPr>
        <w:fldChar w:fldCharType="begin" w:fldLock="1"/>
      </w:r>
      <w:r w:rsidRPr="001B5A44">
        <w:rPr>
          <w:lang w:val="en-US"/>
        </w:rPr>
        <w:instrText>ADDIN CSL_CITATION {"citationItems":[{"id":"ITEM-1","itemData":{"ISSN":"0047-2530","author":[{"dropping-particle":"","family":"Ubel","given":"Peter A","non-dropping-particle":"","parse-names":false,"suffix":""},{"dropping-particle":"","family":"Loewenstein","given":"George","non-dropping-particle":"","parse-names":false,"suffix":""}],"container-title":"The Journal of Legal Studies","id":"ITEM-1","issue":"S2","issued":{"date-parts":[["2008"]]},"page":"S195-S216","publisher":"The University of Chicago Press","title":"Pain and suffering awards: they shouldn’t be (just) about pain and suffering","type":"article-journal","volume":"37"},"uris":["http://www.mendeley.com/documents/?uuid=5535c902-e361-48f4-b51f-058b27504427"]}],"mendeley":{"formattedCitation":"(Ubel &amp; Loewenstein, 2008)","plainTextFormattedCitation":"(Ubel &amp; Loewenstein, 2008)","previouslyFormattedCitation":"(Ubel &amp; Loewenstein, 2008)"},"properties":{"noteIndex":0},"schema":"https://github.com/citation-style-language/schema/raw/master/csl-citation.json"}</w:instrText>
      </w:r>
      <w:r w:rsidRPr="001B5A44">
        <w:rPr>
          <w:lang w:val="en-US"/>
        </w:rPr>
        <w:fldChar w:fldCharType="separate"/>
      </w:r>
      <w:r w:rsidRPr="001B5A44">
        <w:rPr>
          <w:noProof/>
          <w:lang w:val="en-US"/>
        </w:rPr>
        <w:t>(Ubel &amp; Loewenstein, 2008)</w:t>
      </w:r>
      <w:r w:rsidRPr="001B5A44">
        <w:rPr>
          <w:lang w:val="en-US"/>
        </w:rPr>
        <w:fldChar w:fldCharType="end"/>
      </w:r>
      <w:r>
        <w:rPr>
          <w:lang w:val="en-US"/>
        </w:rPr>
        <w:t>.</w:t>
      </w:r>
    </w:p>
    <w:p w:rsidR="008F07B1" w:rsidRDefault="008F07B1" w:rsidP="008F07B1">
      <w:pPr>
        <w:pStyle w:val="Heading3"/>
        <w:numPr>
          <w:ilvl w:val="0"/>
          <w:numId w:val="0"/>
        </w:numPr>
        <w:rPr>
          <w:lang w:val="en-US"/>
        </w:rPr>
      </w:pPr>
      <w:r>
        <w:rPr>
          <w:lang w:val="en-US"/>
        </w:rPr>
        <w:lastRenderedPageBreak/>
        <w:t>Top-Down Approaches</w:t>
      </w:r>
    </w:p>
    <w:p w:rsidR="008F07B1" w:rsidRPr="00850A88" w:rsidRDefault="008F07B1" w:rsidP="008F07B1">
      <w:pPr>
        <w:spacing w:after="120"/>
        <w:ind w:firstLine="357"/>
        <w:rPr>
          <w:lang w:val="en-US"/>
        </w:rPr>
      </w:pPr>
      <w:r w:rsidRPr="00850A88">
        <w:rPr>
          <w:lang w:val="en-US"/>
        </w:rPr>
        <w:t xml:space="preserve">Top-down approaches estimate the costs of crime based on the </w:t>
      </w:r>
      <w:r>
        <w:rPr>
          <w:lang w:val="en-US"/>
        </w:rPr>
        <w:t>willingness to pay</w:t>
      </w:r>
      <w:r w:rsidRPr="00850A88">
        <w:rPr>
          <w:lang w:val="en-US"/>
        </w:rPr>
        <w:t xml:space="preserve"> for reduced crime. They can be categorized into approaches based on stated preferences or revealed preferences. The </w:t>
      </w:r>
      <w:r w:rsidRPr="00850A88">
        <w:rPr>
          <w:i/>
          <w:lang w:val="en-US"/>
        </w:rPr>
        <w:t>discrete choice experiments</w:t>
      </w:r>
      <w:r w:rsidRPr="00850A88">
        <w:rPr>
          <w:lang w:val="en-US"/>
        </w:rPr>
        <w:t xml:space="preserve"> method described in chapter 5 is a stated preferences approach. It derives the </w:t>
      </w:r>
      <w:r>
        <w:rPr>
          <w:lang w:val="en-US"/>
        </w:rPr>
        <w:t>willingness to pay</w:t>
      </w:r>
      <w:r w:rsidRPr="00850A88">
        <w:rPr>
          <w:lang w:val="en-US"/>
        </w:rPr>
        <w:t xml:space="preserve"> from survey data. In contrast, revealed preferences approaches use real-life market transactions to elicit the </w:t>
      </w:r>
      <w:r>
        <w:rPr>
          <w:lang w:val="en-US"/>
        </w:rPr>
        <w:t>willingness to pay</w:t>
      </w:r>
      <w:r w:rsidRPr="00850A88">
        <w:rPr>
          <w:lang w:val="en-US"/>
        </w:rPr>
        <w:t xml:space="preserve">. One revealed preferences approach uses differences in housing prices between neighborhoods with different crime rates. The price premium for neighborhoods with low crime rates reflects the WTP for crime reduction </w:t>
      </w:r>
      <w:r w:rsidRPr="00850A88">
        <w:rPr>
          <w:lang w:val="en-US"/>
        </w:rPr>
        <w:fldChar w:fldCharType="begin" w:fldLock="1"/>
      </w:r>
      <w:r w:rsidRPr="00850A88">
        <w:rPr>
          <w:lang w:val="en-US"/>
        </w:rPr>
        <w:instrText>ADDIN CSL_CITATION {"citationItems":[{"id":"ITEM-1","itemData":{"ISSN":"0094-1190","author":[{"dropping-particle":"","family":"Thaler","given":"Richard","non-dropping-particle":"","parse-names":false,"suffix":""}],"container-title":"Journal of Urban Economics","id":"ITEM-1","issue":"1","issued":{"date-parts":[["1978"]]},"page":"137-145","publisher":"Elsevier","title":"A note on the value of crime control: evidence from the property market","type":"article-journal","volume":"5"},"uris":["http://www.mendeley.com/documents/?uuid=d4231c69-3846-40b8-8bb7-85b3c10ddd8b"]}],"mendeley":{"formattedCitation":"(Thaler, 1978)","plainTextFormattedCitation":"(Thaler, 1978)","previouslyFormattedCitation":"(Thaler, 1978)"},"properties":{"noteIndex":0},"schema":"https://github.com/citation-style-language/schema/raw/master/csl-citation.json"}</w:instrText>
      </w:r>
      <w:r w:rsidRPr="00850A88">
        <w:rPr>
          <w:lang w:val="en-US"/>
        </w:rPr>
        <w:fldChar w:fldCharType="separate"/>
      </w:r>
      <w:r w:rsidRPr="00850A88">
        <w:rPr>
          <w:noProof/>
          <w:lang w:val="en-US"/>
        </w:rPr>
        <w:t>(Thaler, 1978)</w:t>
      </w:r>
      <w:r w:rsidRPr="00850A88">
        <w:rPr>
          <w:lang w:val="en-US"/>
        </w:rPr>
        <w:fldChar w:fldCharType="end"/>
      </w:r>
      <w:r w:rsidRPr="00850A88">
        <w:rPr>
          <w:lang w:val="en-US"/>
        </w:rPr>
        <w:t xml:space="preserve">. Another approach uses wage differentials between professions with different risk profiles. Here, the higher wages paid in professions with higher mortality risk reflect the value of statistical life </w:t>
      </w:r>
      <w:r w:rsidRPr="00850A88">
        <w:rPr>
          <w:lang w:val="en-US"/>
        </w:rPr>
        <w:fldChar w:fldCharType="begin" w:fldLock="1"/>
      </w:r>
      <w:r w:rsidRPr="00850A88">
        <w:rPr>
          <w:lang w:val="en-US"/>
        </w:rPr>
        <w:instrText>ADDIN CSL_CITATION {"citationItems":[{"id":"ITEM-1","itemData":{"ISSN":"0895-5646","author":[{"dropping-particle":"","family":"Viscusi","given":"W Kip","non-dropping-particle":"","parse-names":false,"suffix":""},{"dropping-particle":"","family":"Aldy","given":"Joseph E","non-dropping-particle":"","parse-names":false,"suffix":""}],"container-title":"Journal of risk and uncertainty","id":"ITEM-1","issue":"1","issued":{"date-parts":[["2003"]]},"page":"5-76","publisher":"Springer","title":"The value of a statistical life: a critical review of market estimates throughout the world","type":"article-journal","volume":"27"},"uris":["http://www.mendeley.com/documents/?uuid=40918c39-fffd-4841-9326-1a614321507c"]}],"mendeley":{"formattedCitation":"(Viscusi &amp; Aldy, 2003)","manualFormatting":"(VSL, Viscusi &amp; Aldy, 2003)","plainTextFormattedCitation":"(Viscusi &amp; Aldy, 2003)","previouslyFormattedCitation":"(Viscusi &amp; Aldy, 2003)"},"properties":{"noteIndex":0},"schema":"https://github.com/citation-style-language/schema/raw/master/csl-citation.json"}</w:instrText>
      </w:r>
      <w:r w:rsidRPr="00850A88">
        <w:rPr>
          <w:lang w:val="en-US"/>
        </w:rPr>
        <w:fldChar w:fldCharType="separate"/>
      </w:r>
      <w:r w:rsidRPr="00850A88">
        <w:rPr>
          <w:noProof/>
          <w:lang w:val="en-US"/>
        </w:rPr>
        <w:t>(VSL, Viscusi &amp; Aldy, 2003)</w:t>
      </w:r>
      <w:r w:rsidRPr="00850A88">
        <w:rPr>
          <w:lang w:val="en-US"/>
        </w:rPr>
        <w:fldChar w:fldCharType="end"/>
      </w:r>
      <w:r w:rsidRPr="00850A88">
        <w:rPr>
          <w:lang w:val="en-US"/>
        </w:rPr>
        <w:t>.</w:t>
      </w:r>
    </w:p>
    <w:p w:rsidR="008F07B1" w:rsidRDefault="008F07B1" w:rsidP="008F07B1">
      <w:pPr>
        <w:spacing w:after="120"/>
        <w:ind w:firstLine="357"/>
        <w:rPr>
          <w:lang w:val="en-US"/>
        </w:rPr>
      </w:pPr>
      <w:r>
        <w:rPr>
          <w:lang w:val="en-US"/>
        </w:rPr>
        <w:t>Revealed preferences approaches have high external validity as they draw on real decisions and market transactions. However, they rely on the assumption of market efficiency and full information on prices and risks. Therefore, the extensive data requirements often inhibit the application of the method. Researchers need information</w:t>
      </w:r>
      <w:r w:rsidRPr="00857B93">
        <w:rPr>
          <w:lang w:val="en-US"/>
        </w:rPr>
        <w:t xml:space="preserve"> on location-specific housing characteristics, housing prices, crime rates</w:t>
      </w:r>
      <w:r>
        <w:rPr>
          <w:lang w:val="en-US"/>
        </w:rPr>
        <w:t>,</w:t>
      </w:r>
      <w:r w:rsidRPr="00857B93">
        <w:rPr>
          <w:lang w:val="en-US"/>
        </w:rPr>
        <w:t xml:space="preserve"> and other location-specific </w:t>
      </w:r>
      <w:r>
        <w:rPr>
          <w:lang w:val="en-US"/>
        </w:rPr>
        <w:t>amenities</w:t>
      </w:r>
      <w:r w:rsidRPr="00857B93">
        <w:rPr>
          <w:lang w:val="en-US"/>
        </w:rPr>
        <w:t>.</w:t>
      </w:r>
      <w:r>
        <w:rPr>
          <w:lang w:val="en-US"/>
        </w:rPr>
        <w:t xml:space="preserve"> Furthermore, different crimes are highly collinear, </w:t>
      </w:r>
      <w:r w:rsidRPr="00E26964">
        <w:rPr>
          <w:rStyle w:val="FootnoteReference"/>
          <w:lang w:val="en-US"/>
        </w:rPr>
        <w:t xml:space="preserve"> </w:t>
      </w:r>
      <w:r>
        <w:rPr>
          <w:lang w:val="en-US"/>
        </w:rPr>
        <w:t xml:space="preserve">which prevents isolating the value of a specific crime. </w:t>
      </w:r>
      <w:r w:rsidRPr="00857B93">
        <w:rPr>
          <w:lang w:val="en-US"/>
        </w:rPr>
        <w:t>For example, a neighborhood with a high homicide rate is also likely to have high rates of other types of crime.</w:t>
      </w:r>
      <w:r>
        <w:rPr>
          <w:lang w:val="en-US"/>
        </w:rPr>
        <w:t xml:space="preserve"> Finally, the approach is sensitive to income effects and likely to underestimate the cost of crime. It is therefore difficult to implement in practice </w:t>
      </w:r>
      <w:r>
        <w:rPr>
          <w:lang w:val="en-US"/>
        </w:rPr>
        <w:fldChar w:fldCharType="begin" w:fldLock="1"/>
      </w:r>
      <w:r>
        <w:rPr>
          <w:lang w:val="en-US"/>
        </w:rPr>
        <w:instrText>ADDIN CSL_CITATION {"citationItems":[{"id":"ITEM-1","itemData":{"author":[{"dropping-particle":"","family":"Picasso","given":"Emilio","non-dropping-particle":"","parse-names":false,"suffix":""},{"dropping-particle":"","family":"Cohen","given":"Mark A","non-dropping-particle":"","parse-names":false,"suffix":""}],"container-title":"Journal of Experimental Criminology","id":"ITEM-1","issue":"4","issued":{"date-parts":[["2019"]]},"page":"529-550","title":"Valuing the public's demand for crime prevention programs: a discrete choice experiment","type":"article-journal","volume":"15"},"uris":["http://www.mendeley.com/documents/?uuid=88e7e0d9-a342-4426-b198-954366b5d1e3"]},{"id":"ITEM-2","itemData":{"author":[{"dropping-particle":"","family":"Cohen","given":"Mark A","non-dropping-particle":"","parse-names":false,"suffix":""},{"dropping-particle":"","family":"Bowles","given":"Roger","non-dropping-particle":"","parse-names":false,"suffix":""}],"container-title":"Handbook of quantitative criminology","id":"ITEM-2","issued":{"date-parts":[["2010"]]},"page":"143-162","publisher":"Springer","publisher-place":"New York, NY","title":"Estimating costs of crime","type":"chapter"},"uris":["http://www.mendeley.com/documents/?uuid=a4ad76e4-d31d-40b7-9f38-3a4f1d43c40f"]}],"mendeley":{"formattedCitation":"(Cohen &amp; Bowles, 2010; Picasso &amp; Cohen, 2019)","plainTextFormattedCitation":"(Cohen &amp; Bowles, 2010; Picasso &amp; Cohen, 2019)","previouslyFormattedCitation":"(Cohen &amp; Bowles, 2010; Picasso &amp; Cohen, 2019)"},"properties":{"noteIndex":0},"schema":"https://github.com/citation-style-language/schema/raw/master/csl-citation.json"}</w:instrText>
      </w:r>
      <w:r>
        <w:rPr>
          <w:lang w:val="en-US"/>
        </w:rPr>
        <w:fldChar w:fldCharType="separate"/>
      </w:r>
      <w:r w:rsidRPr="008D010E">
        <w:rPr>
          <w:noProof/>
          <w:lang w:val="en-US"/>
        </w:rPr>
        <w:t>(Cohen &amp; Bowles, 2010; Picasso &amp; Cohen, 2019)</w:t>
      </w:r>
      <w:r>
        <w:rPr>
          <w:lang w:val="en-US"/>
        </w:rPr>
        <w:fldChar w:fldCharType="end"/>
      </w:r>
      <w:r>
        <w:rPr>
          <w:lang w:val="en-US"/>
        </w:rPr>
        <w:t>.</w:t>
      </w:r>
    </w:p>
    <w:p w:rsidR="008F07B1" w:rsidRDefault="008F07B1" w:rsidP="008F07B1">
      <w:pPr>
        <w:pStyle w:val="Heading4"/>
        <w:numPr>
          <w:ilvl w:val="0"/>
          <w:numId w:val="0"/>
        </w:numPr>
        <w:rPr>
          <w:lang w:val="en-US"/>
        </w:rPr>
      </w:pPr>
      <w:r>
        <w:rPr>
          <w:lang w:val="en-US"/>
        </w:rPr>
        <w:t>Life Satisfaction Method</w:t>
      </w:r>
    </w:p>
    <w:p w:rsidR="008F07B1" w:rsidRDefault="008F07B1" w:rsidP="008F07B1">
      <w:pPr>
        <w:spacing w:after="120"/>
        <w:ind w:firstLine="357"/>
        <w:rPr>
          <w:lang w:val="en-US"/>
        </w:rPr>
      </w:pPr>
      <w:r>
        <w:rPr>
          <w:lang w:val="en-US"/>
        </w:rPr>
        <w:t xml:space="preserve">The </w:t>
      </w:r>
      <w:r w:rsidRPr="00FB48C3">
        <w:rPr>
          <w:i/>
          <w:lang w:val="en-US"/>
        </w:rPr>
        <w:t>life satisfaction method</w:t>
      </w:r>
      <w:r>
        <w:rPr>
          <w:lang w:val="en-US"/>
        </w:rPr>
        <w:t xml:space="preserve"> combines information from revealed preferences and stated preferences. For this purpose, income changes </w:t>
      </w:r>
      <w:r w:rsidRPr="002129F6">
        <w:rPr>
          <w:lang w:val="en-US"/>
        </w:rPr>
        <w:t>(revealed preferences)</w:t>
      </w:r>
      <w:r w:rsidRPr="00CC54B1">
        <w:rPr>
          <w:i/>
          <w:lang w:val="en-US"/>
        </w:rPr>
        <w:t xml:space="preserve"> </w:t>
      </w:r>
      <w:r>
        <w:rPr>
          <w:lang w:val="en-US"/>
        </w:rPr>
        <w:t xml:space="preserve">are related to changes in life satisfaction because of victimization </w:t>
      </w:r>
      <w:r w:rsidRPr="002129F6">
        <w:rPr>
          <w:lang w:val="en-US"/>
        </w:rPr>
        <w:t>(stated preferences)</w:t>
      </w:r>
      <w:r>
        <w:rPr>
          <w:lang w:val="en-US"/>
        </w:rPr>
        <w:t xml:space="preserve">. Hence, the income changes </w:t>
      </w:r>
      <w:r>
        <w:rPr>
          <w:lang w:val="en-US"/>
        </w:rPr>
        <w:lastRenderedPageBreak/>
        <w:t xml:space="preserve">reflect the decline in well-being because of victimization and thus provide good cost estimates. </w:t>
      </w:r>
      <w:r>
        <w:rPr>
          <w:lang w:val="en-US"/>
        </w:rPr>
        <w:fldChar w:fldCharType="begin" w:fldLock="1"/>
      </w:r>
      <w:r>
        <w:rPr>
          <w:lang w:val="en-US"/>
        </w:rPr>
        <w:instrText>ADDIN CSL_CITATION {"citationItems":[{"id":"ITEM-1","itemData":{"ISSN":"0013-0133","author":[{"dropping-particle":"","family":"Johnston","given":"David W","non-dropping-particle":"","parse-names":false,"suffix":""},{"dropping-particle":"","family":"Shields","given":"Michael A","non-dropping-particle":"","parse-names":false,"suffix":""},{"dropping-particle":"","family":"Suziedelyte","given":"Agne","non-dropping-particle":"","parse-names":false,"suffix":""}],"container-title":"The Economic Journal","id":"ITEM-1","issue":"611","issued":{"date-parts":[["2018"]]},"page":"1545-1569","publisher":"Wiley Online Library","title":"Victimisation, Well‐being and Compensation: Using Panel Data to Estimate the Costs of Violent Crime","type":"article-journal","volume":"128"},"uris":["http://www.mendeley.com/documents/?uuid=5734d7f0-0658-4b89-b964-643d43302176"]}],"mendeley":{"formattedCitation":"(Johnston, Shields, &amp; Suziedelyte, 2018)","manualFormatting":"Johnston et al. (2018)","plainTextFormattedCitation":"(Johnston, Shields, &amp; Suziedelyte, 2018)","previouslyFormattedCitation":"(Johnston, Shields, &amp; Suziedelyte, 2018)"},"properties":{"noteIndex":0},"schema":"https://github.com/citation-style-language/schema/raw/master/csl-citation.json"}</w:instrText>
      </w:r>
      <w:r>
        <w:rPr>
          <w:lang w:val="en-US"/>
        </w:rPr>
        <w:fldChar w:fldCharType="separate"/>
      </w:r>
      <w:r w:rsidRPr="00FF4519">
        <w:rPr>
          <w:noProof/>
          <w:lang w:val="en-US"/>
        </w:rPr>
        <w:t>Johnston</w:t>
      </w:r>
      <w:r>
        <w:rPr>
          <w:noProof/>
          <w:lang w:val="en-US"/>
        </w:rPr>
        <w:t xml:space="preserve"> et al. </w:t>
      </w:r>
      <w:r w:rsidRPr="00FF4519">
        <w:rPr>
          <w:noProof/>
          <w:lang w:val="en-US"/>
        </w:rPr>
        <w:t>(2018)</w:t>
      </w:r>
      <w:r>
        <w:rPr>
          <w:lang w:val="en-US"/>
        </w:rPr>
        <w:fldChar w:fldCharType="end"/>
      </w:r>
      <w:r>
        <w:rPr>
          <w:lang w:val="en-US"/>
        </w:rPr>
        <w:t xml:space="preserve"> apply an extended life satisfaction approach to panel data from two </w:t>
      </w:r>
      <w:r w:rsidRPr="003E6038">
        <w:rPr>
          <w:rFonts w:cs="Times New Roman"/>
          <w:lang w:val="en-US"/>
        </w:rPr>
        <w:t>Australian longitudinal surveys</w:t>
      </w:r>
      <w:r>
        <w:rPr>
          <w:rFonts w:cs="Times New Roman"/>
          <w:lang w:val="en-US"/>
        </w:rPr>
        <w:t xml:space="preserve"> that ask respondents for their subjective life satisfaction and experiences of criminal victimization. </w:t>
      </w:r>
      <w:r>
        <w:rPr>
          <w:lang w:val="en-US"/>
        </w:rPr>
        <w:t xml:space="preserve">In order to provide cost estimates, they model life satisfaction as a function of victimization, a large positive income shock, and a set of control variables. Then, they relate the life satisfaction effect of victimization to the life satisfaction effect of the income shock leading to the so-called </w:t>
      </w:r>
      <w:r w:rsidRPr="005528E8">
        <w:rPr>
          <w:lang w:val="en-US"/>
        </w:rPr>
        <w:t>discounted life satisfaction</w:t>
      </w:r>
      <w:r>
        <w:rPr>
          <w:lang w:val="en-US"/>
        </w:rPr>
        <w:t xml:space="preserve"> ratio. To calculate the final cost estimates, they multiply the ratio by the average change in household income associated with a large positive income shock </w:t>
      </w:r>
      <w:r>
        <w:rPr>
          <w:lang w:val="en-US"/>
        </w:rPr>
        <w:fldChar w:fldCharType="begin" w:fldLock="1"/>
      </w:r>
      <w:r>
        <w:rPr>
          <w:lang w:val="en-US"/>
        </w:rPr>
        <w:instrText>ADDIN CSL_CITATION {"citationItems":[{"id":"ITEM-1","itemData":{"ISSN":"0347-0520","author":[{"dropping-particle":"","family":"Frijters","given":"Paul","non-dropping-particle":"","parse-names":false,"suffix":""},{"dropping-particle":"","family":"Johnston","given":"David W","non-dropping-particle":"","parse-names":false,"suffix":""},{"dropping-particle":"","family":"Shields","given":"Michael A","non-dropping-particle":"","parse-names":false,"suffix":""}],"container-title":"Scandinavian Journal of Economics","id":"ITEM-1","issue":"1","issued":{"date-parts":[["2011"]]},"page":"190-211","publisher":"Wiley Online Library","title":"Life satisfaction dynamics with quarterly life event data","type":"article-journal","volume":"113"},"uris":["http://www.mendeley.com/documents/?uuid=b0f00f69-eed0-46d1-8fb4-8f15a8a6b29e"]}],"mendeley":{"formattedCitation":"(Frijters, Johnston, &amp; Shields, 2011)","manualFormatting":"(cf. Frijters, Johnston, &amp; Shields, 2011)","plainTextFormattedCitation":"(Frijters, Johnston, &amp; Shields, 2011)","previouslyFormattedCitation":"(Frijters, Johnston, &amp; Shields, 2011)"},"properties":{"noteIndex":0},"schema":"https://github.com/citation-style-language/schema/raw/master/csl-citation.json"}</w:instrText>
      </w:r>
      <w:r>
        <w:rPr>
          <w:lang w:val="en-US"/>
        </w:rPr>
        <w:fldChar w:fldCharType="separate"/>
      </w:r>
      <w:r w:rsidRPr="00F171C6">
        <w:rPr>
          <w:noProof/>
          <w:lang w:val="en-US"/>
        </w:rPr>
        <w:t>(</w:t>
      </w:r>
      <w:r>
        <w:rPr>
          <w:noProof/>
          <w:lang w:val="en-US"/>
        </w:rPr>
        <w:t xml:space="preserve">cf. </w:t>
      </w:r>
      <w:r w:rsidRPr="00F171C6">
        <w:rPr>
          <w:noProof/>
          <w:lang w:val="en-US"/>
        </w:rPr>
        <w:t>Frijters, Johnston, &amp; Shields, 2011)</w:t>
      </w:r>
      <w:r>
        <w:rPr>
          <w:lang w:val="en-US"/>
        </w:rPr>
        <w:fldChar w:fldCharType="end"/>
      </w:r>
      <w:r>
        <w:rPr>
          <w:lang w:val="en-US"/>
        </w:rPr>
        <w:t xml:space="preserve">. </w:t>
      </w:r>
    </w:p>
    <w:p w:rsidR="008F07B1" w:rsidRDefault="008F07B1" w:rsidP="008F07B1">
      <w:pPr>
        <w:pStyle w:val="Heading4"/>
        <w:numPr>
          <w:ilvl w:val="0"/>
          <w:numId w:val="0"/>
        </w:numPr>
        <w:rPr>
          <w:lang w:val="en-US"/>
        </w:rPr>
      </w:pPr>
      <w:r>
        <w:rPr>
          <w:lang w:val="en-US"/>
        </w:rPr>
        <w:t>Quality-Adjusted Life Years Method</w:t>
      </w:r>
    </w:p>
    <w:p w:rsidR="008F07B1" w:rsidRDefault="008F07B1" w:rsidP="008F07B1">
      <w:pPr>
        <w:spacing w:after="120"/>
        <w:ind w:firstLine="357"/>
        <w:rPr>
          <w:lang w:val="en-US"/>
        </w:rPr>
      </w:pPr>
      <w:r w:rsidRPr="005528E8">
        <w:rPr>
          <w:lang w:val="en-US"/>
        </w:rPr>
        <w:t>The quality-adjusted life year (QALY) is a measure of disease burden that combines information on both the quantity and quality of live.</w:t>
      </w:r>
      <w:r w:rsidRPr="005528E8">
        <w:rPr>
          <w:rStyle w:val="FootnoteReference"/>
        </w:rPr>
        <w:footnoteReference w:id="5"/>
      </w:r>
      <w:r w:rsidRPr="005528E8">
        <w:rPr>
          <w:lang w:val="en-US"/>
        </w:rPr>
        <w:t xml:space="preserve"> </w:t>
      </w:r>
      <w:r w:rsidRPr="005528E8">
        <w:rPr>
          <w:lang w:val="en-US"/>
        </w:rPr>
        <w:fldChar w:fldCharType="begin" w:fldLock="1"/>
      </w:r>
      <w:r w:rsidRPr="005528E8">
        <w:rPr>
          <w:lang w:val="en-US"/>
        </w:rPr>
        <w:instrText>ADDIN CSL_CITATION {"citationItems":[{"id":"ITEM-1","itemData":{"ISSN":"1464-3529","author":[{"dropping-particle":"","family":"Dolan","given":"Paul","non-dropping-particle":"","parse-names":false,"suffix":""},{"dropping-particle":"","family":"Loomes","given":"Graham","non-dropping-particle":"","parse-names":false,"suffix":""},{"dropping-particle":"","family":"Peasgood","given":"Tessa","non-dropping-particle":"","parse-names":false,"suffix":""},{"dropping-particle":"","family":"Tsuchiya","given":"Aki","non-dropping-particle":"","parse-names":false,"suffix":""}],"container-title":"British Journal of Criminology","id":"ITEM-1","issue":"6","issued":{"date-parts":[["2005"]]},"page":"958-976","publisher":"Oxford University Press","title":"Estimating the intangible victim costs of violent crime","type":"article-journal","volume":"45"},"uris":["http://www.mendeley.com/documents/?uuid=db806841-00a8-4a48-af4a-94985644837d"]}],"mendeley":{"formattedCitation":"(Dolan, Loomes, Peasgood, &amp; Tsuchiya, 2005)","manualFormatting":"Dolan et al., (2005)","plainTextFormattedCitation":"(Dolan, Loomes, Peasgood, &amp; Tsuchiya, 2005)","previouslyFormattedCitation":"(Dolan, Loomes, Peasgood, &amp; Tsuchiya, 2005)"},"properties":{"noteIndex":0},"schema":"https://github.com/citation-style-language/schema/raw/master/csl-citation.json"}</w:instrText>
      </w:r>
      <w:r w:rsidRPr="005528E8">
        <w:rPr>
          <w:lang w:val="en-US"/>
        </w:rPr>
        <w:fldChar w:fldCharType="separate"/>
      </w:r>
      <w:r w:rsidRPr="005528E8">
        <w:rPr>
          <w:noProof/>
          <w:lang w:val="en-US"/>
        </w:rPr>
        <w:t>Dolan et al., (2005)</w:t>
      </w:r>
      <w:r w:rsidRPr="005528E8">
        <w:rPr>
          <w:lang w:val="en-US"/>
        </w:rPr>
        <w:fldChar w:fldCharType="end"/>
      </w:r>
      <w:r w:rsidRPr="005528E8">
        <w:rPr>
          <w:lang w:val="en-US"/>
        </w:rPr>
        <w:t xml:space="preserve"> use data on the duration (quantity) and disability weights (quality) of different injuries and quality-adjusted life years (QALYs) methodology to estimate the intangible cost of crime in the U.K. Disability weights capture how much a medical condition (injury) affects the individual’s state of health. Combining the disability weights with the corresponding duration, they are able to calculate QALY losses from physical injuries and psychological traumas for different categories of criminal offence. In order to convert the QALY losses into monetary values, they introduce two general approaches. Approach (a) uses evaluations made by experts, while (b) uses the public’s WTP. The QALY values based on the two approaches each are multiplied with the QALY losses incurred from the different categories of offenses. This results in the monetary value of </w:t>
      </w:r>
      <w:r w:rsidRPr="005528E8">
        <w:rPr>
          <w:lang w:val="en-US"/>
        </w:rPr>
        <w:lastRenderedPageBreak/>
        <w:t xml:space="preserve">the QALY losses (per incidence). For example, the value of a serious wounding is estimated at </w:t>
      </w:r>
      <w:r w:rsidRPr="005528E8">
        <w:rPr>
          <w:rFonts w:cs="Times New Roman"/>
          <w:lang w:val="en-US"/>
        </w:rPr>
        <w:t>£</w:t>
      </w:r>
      <w:r w:rsidRPr="005528E8">
        <w:rPr>
          <w:lang w:val="en-US"/>
        </w:rPr>
        <w:t xml:space="preserve">5,723 </w:t>
      </w:r>
      <w:r w:rsidRPr="005528E8">
        <w:rPr>
          <w:lang w:val="en-US"/>
        </w:rPr>
        <w:fldChar w:fldCharType="begin" w:fldLock="1"/>
      </w:r>
      <w:r w:rsidRPr="005528E8">
        <w:rPr>
          <w:lang w:val="en-US"/>
        </w:rPr>
        <w:instrText>ADDIN CSL_CITATION {"citationItems":[{"id":"ITEM-1","itemData":{"ISSN":"1464-3529","author":[{"dropping-particle":"","family":"Dolan","given":"Paul","non-dropping-particle":"","parse-names":false,"suffix":""},{"dropping-particle":"","family":"Loomes","given":"Graham","non-dropping-particle":"","parse-names":false,"suffix":""},{"dropping-particle":"","family":"Peasgood","given":"Tessa","non-dropping-particle":"","parse-names":false,"suffix":""},{"dropping-particle":"","family":"Tsuchiya","given":"Aki","non-dropping-particle":"","parse-names":false,"suffix":""}],"container-title":"British Journal of Criminology","id":"ITEM-1","issue":"6","issued":{"date-parts":[["2005"]]},"page":"958-976","publisher":"Oxford University Press","title":"Estimating the intangible victim costs of violent crime","type":"article-journal","volume":"45"},"uris":["http://www.mendeley.com/documents/?uuid=db806841-00a8-4a48-af4a-94985644837d"]}],"mendeley":{"formattedCitation":"(Dolan et al., 2005)","plainTextFormattedCitation":"(Dolan et al., 2005)","previouslyFormattedCitation":"(Dolan et al., 2005)"},"properties":{"noteIndex":0},"schema":"https://github.com/citation-style-language/schema/raw/master/csl-citation.json"}</w:instrText>
      </w:r>
      <w:r w:rsidRPr="005528E8">
        <w:rPr>
          <w:lang w:val="en-US"/>
        </w:rPr>
        <w:fldChar w:fldCharType="separate"/>
      </w:r>
      <w:r w:rsidRPr="005528E8">
        <w:rPr>
          <w:noProof/>
          <w:lang w:val="en-US"/>
        </w:rPr>
        <w:t>(Dolan et al., 2005)</w:t>
      </w:r>
      <w:r w:rsidRPr="005528E8">
        <w:rPr>
          <w:lang w:val="en-US"/>
        </w:rPr>
        <w:fldChar w:fldCharType="end"/>
      </w:r>
      <w:r w:rsidRPr="005528E8">
        <w:rPr>
          <w:lang w:val="en-US"/>
        </w:rPr>
        <w:t>.</w:t>
      </w:r>
      <w:r>
        <w:rPr>
          <w:lang w:val="en-US"/>
        </w:rPr>
        <w:t xml:space="preserve"> Table B3 provides an overview of different cost estimates.</w:t>
      </w:r>
    </w:p>
    <w:p w:rsidR="008F07B1" w:rsidRDefault="008F07B1" w:rsidP="008F07B1">
      <w:pPr>
        <w:spacing w:after="120"/>
        <w:ind w:firstLine="357"/>
        <w:rPr>
          <w:lang w:val="en-US"/>
        </w:rPr>
      </w:pPr>
    </w:p>
    <w:p w:rsidR="008F07B1" w:rsidRDefault="008F07B1" w:rsidP="008F07B1">
      <w:pPr>
        <w:spacing w:after="120"/>
        <w:ind w:firstLine="357"/>
        <w:rPr>
          <w:lang w:val="en-US"/>
        </w:rPr>
      </w:pPr>
    </w:p>
    <w:p w:rsidR="008F07B1" w:rsidRDefault="008F07B1" w:rsidP="008F07B1">
      <w:pPr>
        <w:spacing w:after="120"/>
        <w:ind w:firstLine="357"/>
        <w:rPr>
          <w:lang w:val="en-US"/>
        </w:rPr>
      </w:pPr>
    </w:p>
    <w:p w:rsidR="008F07B1" w:rsidRDefault="008F07B1" w:rsidP="008F07B1">
      <w:pPr>
        <w:spacing w:after="120"/>
        <w:ind w:firstLine="357"/>
        <w:rPr>
          <w:lang w:val="en-US"/>
        </w:rPr>
        <w:sectPr w:rsidR="008F07B1" w:rsidSect="007B60AE">
          <w:headerReference w:type="default" r:id="rId8"/>
          <w:footerReference w:type="default" r:id="rId9"/>
          <w:pgSz w:w="11906" w:h="16838"/>
          <w:pgMar w:top="1417" w:right="1417" w:bottom="1134" w:left="1417" w:header="708" w:footer="708" w:gutter="0"/>
          <w:cols w:space="708"/>
          <w:docGrid w:linePitch="360"/>
        </w:sectPr>
      </w:pPr>
    </w:p>
    <w:p w:rsidR="008F07B1" w:rsidRPr="006832BC" w:rsidRDefault="008F07B1" w:rsidP="008F07B1">
      <w:pPr>
        <w:pStyle w:val="Caption"/>
        <w:keepNext/>
        <w:rPr>
          <w:b/>
          <w:i w:val="0"/>
          <w:color w:val="000000" w:themeColor="text1"/>
          <w:sz w:val="24"/>
          <w:lang w:val="en-US"/>
        </w:rPr>
      </w:pPr>
      <w:r>
        <w:rPr>
          <w:b/>
          <w:i w:val="0"/>
          <w:color w:val="000000" w:themeColor="text1"/>
          <w:sz w:val="24"/>
          <w:lang w:val="en-US"/>
        </w:rPr>
        <w:lastRenderedPageBreak/>
        <w:t>Table B3.</w:t>
      </w:r>
      <w:r w:rsidRPr="006832BC">
        <w:rPr>
          <w:b/>
          <w:i w:val="0"/>
          <w:color w:val="000000" w:themeColor="text1"/>
          <w:sz w:val="24"/>
          <w:lang w:val="en-US"/>
        </w:rPr>
        <w:t xml:space="preserve"> Overview of Cost Estimates</w:t>
      </w:r>
    </w:p>
    <w:tbl>
      <w:tblPr>
        <w:tblStyle w:val="TableGrid"/>
        <w:tblW w:w="5000" w:type="pct"/>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780"/>
        <w:gridCol w:w="3100"/>
        <w:gridCol w:w="3249"/>
        <w:gridCol w:w="1057"/>
        <w:gridCol w:w="1912"/>
      </w:tblGrid>
      <w:tr w:rsidR="008F07B1" w:rsidRPr="006832BC" w:rsidTr="000F3765">
        <w:tc>
          <w:tcPr>
            <w:tcW w:w="1116" w:type="pct"/>
            <w:tcBorders>
              <w:top w:val="double" w:sz="4" w:space="0" w:color="auto"/>
              <w:bottom w:val="single" w:sz="4" w:space="0" w:color="auto"/>
            </w:tcBorders>
          </w:tcPr>
          <w:p w:rsidR="008F07B1" w:rsidRPr="00757C05" w:rsidRDefault="008F07B1" w:rsidP="000F3765">
            <w:pPr>
              <w:spacing w:line="24" w:lineRule="atLeast"/>
              <w:jc w:val="left"/>
              <w:rPr>
                <w:lang w:val="en-US"/>
              </w:rPr>
            </w:pPr>
            <w:r w:rsidRPr="00757C05">
              <w:rPr>
                <w:lang w:val="en-US"/>
              </w:rPr>
              <w:t>Authors</w:t>
            </w:r>
          </w:p>
        </w:tc>
        <w:tc>
          <w:tcPr>
            <w:tcW w:w="623" w:type="pct"/>
            <w:tcBorders>
              <w:top w:val="double" w:sz="4" w:space="0" w:color="auto"/>
              <w:bottom w:val="single" w:sz="4" w:space="0" w:color="auto"/>
            </w:tcBorders>
          </w:tcPr>
          <w:p w:rsidR="008F07B1" w:rsidRPr="00757C05" w:rsidRDefault="008F07B1" w:rsidP="000F3765">
            <w:pPr>
              <w:spacing w:line="24" w:lineRule="atLeast"/>
              <w:jc w:val="left"/>
              <w:rPr>
                <w:lang w:val="en-US"/>
              </w:rPr>
            </w:pPr>
            <w:r w:rsidRPr="00757C05">
              <w:rPr>
                <w:lang w:val="en-US"/>
              </w:rPr>
              <w:t>Country</w:t>
            </w:r>
          </w:p>
        </w:tc>
        <w:tc>
          <w:tcPr>
            <w:tcW w:w="1085" w:type="pct"/>
            <w:tcBorders>
              <w:top w:val="double" w:sz="4" w:space="0" w:color="auto"/>
              <w:bottom w:val="single" w:sz="4" w:space="0" w:color="auto"/>
            </w:tcBorders>
          </w:tcPr>
          <w:p w:rsidR="008F07B1" w:rsidRPr="00757C05" w:rsidRDefault="008F07B1" w:rsidP="000F3765">
            <w:pPr>
              <w:spacing w:line="24" w:lineRule="atLeast"/>
              <w:jc w:val="left"/>
              <w:rPr>
                <w:lang w:val="en-US"/>
              </w:rPr>
            </w:pPr>
            <w:r w:rsidRPr="00757C05">
              <w:rPr>
                <w:lang w:val="en-US"/>
              </w:rPr>
              <w:t>Costing method</w:t>
            </w:r>
          </w:p>
        </w:tc>
        <w:tc>
          <w:tcPr>
            <w:tcW w:w="1137" w:type="pct"/>
            <w:tcBorders>
              <w:top w:val="double" w:sz="4" w:space="0" w:color="auto"/>
              <w:bottom w:val="single" w:sz="4" w:space="0" w:color="auto"/>
            </w:tcBorders>
          </w:tcPr>
          <w:p w:rsidR="008F07B1" w:rsidRPr="00757C05" w:rsidRDefault="008F07B1" w:rsidP="000F3765">
            <w:pPr>
              <w:spacing w:line="24" w:lineRule="atLeast"/>
              <w:jc w:val="left"/>
              <w:rPr>
                <w:lang w:val="en-US"/>
              </w:rPr>
            </w:pPr>
            <w:r w:rsidRPr="00757C05">
              <w:rPr>
                <w:lang w:val="en-US"/>
              </w:rPr>
              <w:t>Crime type</w:t>
            </w:r>
          </w:p>
        </w:tc>
        <w:tc>
          <w:tcPr>
            <w:tcW w:w="370" w:type="pct"/>
            <w:tcBorders>
              <w:top w:val="double" w:sz="4" w:space="0" w:color="auto"/>
              <w:bottom w:val="single" w:sz="4" w:space="0" w:color="auto"/>
            </w:tcBorders>
          </w:tcPr>
          <w:p w:rsidR="008F07B1" w:rsidRPr="00757C05" w:rsidRDefault="008F07B1" w:rsidP="000F3765">
            <w:pPr>
              <w:spacing w:line="24" w:lineRule="atLeast"/>
              <w:jc w:val="left"/>
              <w:rPr>
                <w:lang w:val="en-US"/>
              </w:rPr>
            </w:pPr>
            <w:r w:rsidRPr="00757C05">
              <w:rPr>
                <w:lang w:val="en-US"/>
              </w:rPr>
              <w:t xml:space="preserve">Estimate </w:t>
            </w:r>
          </w:p>
        </w:tc>
        <w:tc>
          <w:tcPr>
            <w:tcW w:w="669" w:type="pct"/>
            <w:tcBorders>
              <w:top w:val="double" w:sz="4" w:space="0" w:color="auto"/>
              <w:bottom w:val="single" w:sz="4" w:space="0" w:color="auto"/>
            </w:tcBorders>
          </w:tcPr>
          <w:p w:rsidR="008F07B1" w:rsidRPr="00757C05" w:rsidRDefault="008F07B1" w:rsidP="000F3765">
            <w:pPr>
              <w:spacing w:line="24" w:lineRule="atLeast"/>
              <w:jc w:val="left"/>
              <w:rPr>
                <w:lang w:val="en-US"/>
              </w:rPr>
            </w:pPr>
            <w:r w:rsidRPr="00757C05">
              <w:rPr>
                <w:lang w:val="en-US"/>
              </w:rPr>
              <w:t>Unit</w:t>
            </w:r>
          </w:p>
        </w:tc>
      </w:tr>
      <w:tr w:rsidR="008F07B1" w:rsidTr="000F3765">
        <w:tc>
          <w:tcPr>
            <w:tcW w:w="1116" w:type="pct"/>
            <w:tcBorders>
              <w:top w:val="single" w:sz="4" w:space="0" w:color="auto"/>
            </w:tcBorders>
          </w:tcPr>
          <w:p w:rsidR="008F07B1" w:rsidRPr="00757C05" w:rsidRDefault="008F07B1" w:rsidP="000F3765">
            <w:pPr>
              <w:spacing w:line="24" w:lineRule="atLeast"/>
              <w:jc w:val="left"/>
              <w:rPr>
                <w:lang w:val="en-US"/>
              </w:rPr>
            </w:pPr>
            <w:r>
              <w:rPr>
                <w:lang w:val="en-US"/>
              </w:rPr>
              <w:fldChar w:fldCharType="begin" w:fldLock="1"/>
            </w:r>
            <w:r>
              <w:rPr>
                <w:lang w:val="en-US"/>
              </w:rPr>
              <w:instrText>ADDIN CSL_CITATION {"citationItems":[{"id":"ITEM-1","itemData":{"author":[{"dropping-particle":"","family":"Miller","given":"Ted R","non-dropping-particle":"","parse-names":false,"suffix":""},{"dropping-particle":"","family":"Cohen","given":"Mark A","non-dropping-particle":"","parse-names":false,"suffix":""},{"dropping-particle":"","family":"Hendrie","given":"Delia","non-dropping-particle":"","parse-names":false,"suffix":""}],"container-title":"Forensic Science and Criminology","id":"ITEM-1","issued":{"date-parts":[["2017"]]},"page":"1-10","title":"Non-economic damages due to physical and sexual assault: estimates from civil jury awards","type":"article-journal","volume":"2"},"uris":["http://www.mendeley.com/documents/?uuid=db245f29-f6b4-4c51-89de-4e8434e3b05d"]}],"mendeley":{"formattedCitation":"(Miller et al., 2017)","manualFormatting":"Miller et al. (2017)","plainTextFormattedCitation":"(Miller et al., 2017)","previouslyFormattedCitation":"(Miller et al., 2017)"},"properties":{"noteIndex":0},"schema":"https://github.com/citation-style-language/schema/raw/master/csl-citation.json"}</w:instrText>
            </w:r>
            <w:r>
              <w:rPr>
                <w:lang w:val="en-US"/>
              </w:rPr>
              <w:fldChar w:fldCharType="separate"/>
            </w:r>
            <w:r w:rsidRPr="006832BC">
              <w:rPr>
                <w:noProof/>
                <w:lang w:val="en-US"/>
              </w:rPr>
              <w:t>Miller et al. (2017)</w:t>
            </w:r>
            <w:r>
              <w:rPr>
                <w:lang w:val="en-US"/>
              </w:rPr>
              <w:fldChar w:fldCharType="end"/>
            </w:r>
          </w:p>
        </w:tc>
        <w:tc>
          <w:tcPr>
            <w:tcW w:w="623" w:type="pct"/>
            <w:tcBorders>
              <w:top w:val="single" w:sz="4" w:space="0" w:color="auto"/>
            </w:tcBorders>
          </w:tcPr>
          <w:p w:rsidR="008F07B1" w:rsidRPr="00757C05" w:rsidRDefault="008F07B1" w:rsidP="000F3765">
            <w:pPr>
              <w:spacing w:line="24" w:lineRule="atLeast"/>
              <w:jc w:val="left"/>
              <w:rPr>
                <w:lang w:val="en-US"/>
              </w:rPr>
            </w:pPr>
            <w:r w:rsidRPr="00757C05">
              <w:rPr>
                <w:lang w:val="en-US"/>
              </w:rPr>
              <w:t>USA</w:t>
            </w:r>
          </w:p>
        </w:tc>
        <w:tc>
          <w:tcPr>
            <w:tcW w:w="1085" w:type="pct"/>
            <w:tcBorders>
              <w:top w:val="single" w:sz="4" w:space="0" w:color="auto"/>
            </w:tcBorders>
          </w:tcPr>
          <w:p w:rsidR="008F07B1" w:rsidRPr="00757C05" w:rsidRDefault="008F07B1" w:rsidP="000F3765">
            <w:pPr>
              <w:spacing w:line="24" w:lineRule="atLeast"/>
              <w:jc w:val="left"/>
              <w:rPr>
                <w:lang w:val="en-US"/>
              </w:rPr>
            </w:pPr>
            <w:r w:rsidRPr="00757C05">
              <w:rPr>
                <w:lang w:val="en-US"/>
              </w:rPr>
              <w:t>Jury awards</w:t>
            </w:r>
          </w:p>
        </w:tc>
        <w:tc>
          <w:tcPr>
            <w:tcW w:w="1137" w:type="pct"/>
            <w:tcBorders>
              <w:top w:val="single" w:sz="4" w:space="0" w:color="auto"/>
            </w:tcBorders>
          </w:tcPr>
          <w:p w:rsidR="008F07B1" w:rsidRPr="00757C05" w:rsidRDefault="008F07B1" w:rsidP="000F3765">
            <w:pPr>
              <w:spacing w:line="24" w:lineRule="atLeast"/>
              <w:jc w:val="left"/>
              <w:rPr>
                <w:lang w:val="en-US"/>
              </w:rPr>
            </w:pPr>
            <w:r w:rsidRPr="00757C05">
              <w:rPr>
                <w:lang w:val="en-US"/>
              </w:rPr>
              <w:t>Physical assault (all)</w:t>
            </w:r>
          </w:p>
        </w:tc>
        <w:tc>
          <w:tcPr>
            <w:tcW w:w="370" w:type="pct"/>
            <w:tcBorders>
              <w:top w:val="single" w:sz="4" w:space="0" w:color="auto"/>
            </w:tcBorders>
          </w:tcPr>
          <w:p w:rsidR="008F07B1" w:rsidRPr="00757C05" w:rsidRDefault="008F07B1" w:rsidP="000F3765">
            <w:pPr>
              <w:spacing w:line="24" w:lineRule="atLeast"/>
              <w:jc w:val="left"/>
              <w:rPr>
                <w:lang w:val="en-US"/>
              </w:rPr>
            </w:pPr>
            <w:r w:rsidRPr="00757C05">
              <w:rPr>
                <w:lang w:val="en-US"/>
              </w:rPr>
              <w:t>19,627</w:t>
            </w:r>
          </w:p>
        </w:tc>
        <w:tc>
          <w:tcPr>
            <w:tcW w:w="669" w:type="pct"/>
            <w:tcBorders>
              <w:top w:val="single" w:sz="4" w:space="0" w:color="auto"/>
            </w:tcBorders>
          </w:tcPr>
          <w:p w:rsidR="008F07B1" w:rsidRDefault="008F07B1" w:rsidP="000F3765">
            <w:pPr>
              <w:spacing w:line="24" w:lineRule="atLeast"/>
              <w:jc w:val="left"/>
            </w:pPr>
            <w:r w:rsidRPr="00757C05">
              <w:rPr>
                <w:lang w:val="en-US"/>
              </w:rPr>
              <w:t>20</w:t>
            </w:r>
            <w:r>
              <w:t>15 USD</w:t>
            </w:r>
          </w:p>
        </w:tc>
      </w:tr>
      <w:tr w:rsidR="008F07B1" w:rsidTr="000F3765">
        <w:tc>
          <w:tcPr>
            <w:tcW w:w="1116" w:type="pct"/>
          </w:tcPr>
          <w:p w:rsidR="008F07B1" w:rsidRDefault="008F07B1" w:rsidP="000F3765">
            <w:pPr>
              <w:spacing w:line="24" w:lineRule="atLeast"/>
              <w:jc w:val="left"/>
            </w:pPr>
            <w:r>
              <w:rPr>
                <w:lang w:val="en-US"/>
              </w:rPr>
              <w:fldChar w:fldCharType="begin" w:fldLock="1"/>
            </w:r>
            <w:r>
              <w:rPr>
                <w:lang w:val="en-US"/>
              </w:rPr>
              <w:instrText>ADDIN CSL_CITATION {"citationItems":[{"id":"ITEM-1","itemData":{"author":[{"dropping-particle":"","family":"Miller","given":"Ted R","non-dropping-particle":"","parse-names":false,"suffix":""},{"dropping-particle":"","family":"Cohen","given":"Mark A","non-dropping-particle":"","parse-names":false,"suffix":""},{"dropping-particle":"","family":"Hendrie","given":"Delia","non-dropping-particle":"","parse-names":false,"suffix":""}],"container-title":"Forensic Science and Criminology","id":"ITEM-1","issued":{"date-parts":[["2017"]]},"page":"1-10","title":"Non-economic damages due to physical and sexual assault: estimates from civil jury awards","type":"article-journal","volume":"2"},"uris":["http://www.mendeley.com/documents/?uuid=db245f29-f6b4-4c51-89de-4e8434e3b05d"]}],"mendeley":{"formattedCitation":"(Miller et al., 2017)","manualFormatting":"Miller et al. (2017)","plainTextFormattedCitation":"(Miller et al., 2017)","previouslyFormattedCitation":"(Miller et al., 2017)"},"properties":{"noteIndex":0},"schema":"https://github.com/citation-style-language/schema/raw/master/csl-citation.json"}</w:instrText>
            </w:r>
            <w:r>
              <w:rPr>
                <w:lang w:val="en-US"/>
              </w:rPr>
              <w:fldChar w:fldCharType="separate"/>
            </w:r>
            <w:r w:rsidRPr="006832BC">
              <w:rPr>
                <w:noProof/>
                <w:lang w:val="en-US"/>
              </w:rPr>
              <w:t>Miller et al. (2017)</w:t>
            </w:r>
            <w:r>
              <w:rPr>
                <w:lang w:val="en-US"/>
              </w:rPr>
              <w:fldChar w:fldCharType="end"/>
            </w:r>
          </w:p>
        </w:tc>
        <w:tc>
          <w:tcPr>
            <w:tcW w:w="623" w:type="pct"/>
          </w:tcPr>
          <w:p w:rsidR="008F07B1" w:rsidRDefault="008F07B1" w:rsidP="000F3765">
            <w:pPr>
              <w:spacing w:line="24" w:lineRule="atLeast"/>
              <w:jc w:val="left"/>
            </w:pPr>
            <w:r>
              <w:t>USA</w:t>
            </w:r>
          </w:p>
        </w:tc>
        <w:tc>
          <w:tcPr>
            <w:tcW w:w="1085" w:type="pct"/>
          </w:tcPr>
          <w:p w:rsidR="008F07B1" w:rsidRDefault="008F07B1" w:rsidP="000F3765">
            <w:pPr>
              <w:spacing w:line="24" w:lineRule="atLeast"/>
              <w:jc w:val="left"/>
            </w:pPr>
            <w:r>
              <w:t>Jury awards</w:t>
            </w:r>
          </w:p>
        </w:tc>
        <w:tc>
          <w:tcPr>
            <w:tcW w:w="1137" w:type="pct"/>
          </w:tcPr>
          <w:p w:rsidR="008F07B1" w:rsidRDefault="008F07B1" w:rsidP="000F3765">
            <w:pPr>
              <w:spacing w:line="24" w:lineRule="atLeast"/>
              <w:jc w:val="left"/>
            </w:pPr>
            <w:r>
              <w:t>Physical assault (injured)</w:t>
            </w:r>
          </w:p>
        </w:tc>
        <w:tc>
          <w:tcPr>
            <w:tcW w:w="370" w:type="pct"/>
          </w:tcPr>
          <w:p w:rsidR="008F07B1" w:rsidRPr="00C20CC7" w:rsidRDefault="008F07B1" w:rsidP="000F3765">
            <w:pPr>
              <w:spacing w:line="24" w:lineRule="atLeast"/>
              <w:jc w:val="left"/>
            </w:pPr>
            <w:r w:rsidRPr="00C20CC7">
              <w:t>35,349</w:t>
            </w:r>
          </w:p>
        </w:tc>
        <w:tc>
          <w:tcPr>
            <w:tcW w:w="669" w:type="pct"/>
          </w:tcPr>
          <w:p w:rsidR="008F07B1" w:rsidRDefault="008F07B1" w:rsidP="000F3765">
            <w:pPr>
              <w:spacing w:line="24" w:lineRule="atLeast"/>
              <w:jc w:val="left"/>
            </w:pPr>
            <w:r>
              <w:t>2015 USD</w:t>
            </w:r>
          </w:p>
        </w:tc>
      </w:tr>
      <w:tr w:rsidR="008F07B1" w:rsidTr="000F3765">
        <w:tc>
          <w:tcPr>
            <w:tcW w:w="1116" w:type="pct"/>
          </w:tcPr>
          <w:p w:rsidR="008F07B1" w:rsidRDefault="008F07B1" w:rsidP="000F3765">
            <w:pPr>
              <w:spacing w:line="24" w:lineRule="atLeast"/>
              <w:jc w:val="left"/>
            </w:pPr>
            <w:r>
              <w:rPr>
                <w:lang w:val="en-US"/>
              </w:rPr>
              <w:fldChar w:fldCharType="begin" w:fldLock="1"/>
            </w:r>
            <w:r>
              <w:rPr>
                <w:lang w:val="en-US"/>
              </w:rPr>
              <w:instrText>ADDIN CSL_CITATION {"citationItems":[{"id":"ITEM-1","itemData":{"author":[{"dropping-particle":"","family":"Miller","given":"Ted R","non-dropping-particle":"","parse-names":false,"suffix":""},{"dropping-particle":"","family":"Cohen","given":"Mark A","non-dropping-particle":"","parse-names":false,"suffix":""},{"dropping-particle":"","family":"Hendrie","given":"Delia","non-dropping-particle":"","parse-names":false,"suffix":""}],"container-title":"Forensic Science and Criminology","id":"ITEM-1","issued":{"date-parts":[["2017"]]},"page":"1-10","title":"Non-economic damages due to physical and sexual assault: estimates from civil jury awards","type":"article-journal","volume":"2"},"uris":["http://www.mendeley.com/documents/?uuid=db245f29-f6b4-4c51-89de-4e8434e3b05d"]}],"mendeley":{"formattedCitation":"(Miller et al., 2017)","manualFormatting":"Miller et al. (2017)","plainTextFormattedCitation":"(Miller et al., 2017)","previouslyFormattedCitation":"(Miller et al., 2017)"},"properties":{"noteIndex":0},"schema":"https://github.com/citation-style-language/schema/raw/master/csl-citation.json"}</w:instrText>
            </w:r>
            <w:r>
              <w:rPr>
                <w:lang w:val="en-US"/>
              </w:rPr>
              <w:fldChar w:fldCharType="separate"/>
            </w:r>
            <w:r w:rsidRPr="006832BC">
              <w:rPr>
                <w:noProof/>
                <w:lang w:val="en-US"/>
              </w:rPr>
              <w:t>Miller et al. (2017)</w:t>
            </w:r>
            <w:r>
              <w:rPr>
                <w:lang w:val="en-US"/>
              </w:rPr>
              <w:fldChar w:fldCharType="end"/>
            </w:r>
          </w:p>
        </w:tc>
        <w:tc>
          <w:tcPr>
            <w:tcW w:w="623" w:type="pct"/>
          </w:tcPr>
          <w:p w:rsidR="008F07B1" w:rsidRDefault="008F07B1" w:rsidP="000F3765">
            <w:pPr>
              <w:spacing w:line="24" w:lineRule="atLeast"/>
              <w:jc w:val="left"/>
            </w:pPr>
            <w:r>
              <w:t>USA</w:t>
            </w:r>
          </w:p>
        </w:tc>
        <w:tc>
          <w:tcPr>
            <w:tcW w:w="1085" w:type="pct"/>
          </w:tcPr>
          <w:p w:rsidR="008F07B1" w:rsidRDefault="008F07B1" w:rsidP="000F3765">
            <w:pPr>
              <w:spacing w:line="24" w:lineRule="atLeast"/>
              <w:jc w:val="left"/>
            </w:pPr>
            <w:r>
              <w:t>Jury awards</w:t>
            </w:r>
          </w:p>
        </w:tc>
        <w:tc>
          <w:tcPr>
            <w:tcW w:w="1137" w:type="pct"/>
          </w:tcPr>
          <w:p w:rsidR="008F07B1" w:rsidRDefault="008F07B1" w:rsidP="000F3765">
            <w:pPr>
              <w:spacing w:line="24" w:lineRule="atLeast"/>
              <w:jc w:val="left"/>
            </w:pPr>
            <w:r>
              <w:t>Physical assault (non-injured)</w:t>
            </w:r>
          </w:p>
        </w:tc>
        <w:tc>
          <w:tcPr>
            <w:tcW w:w="370" w:type="pct"/>
          </w:tcPr>
          <w:p w:rsidR="008F07B1" w:rsidRPr="00C20CC7" w:rsidRDefault="008F07B1" w:rsidP="000F3765">
            <w:pPr>
              <w:spacing w:line="24" w:lineRule="atLeast"/>
              <w:jc w:val="left"/>
            </w:pPr>
            <w:r w:rsidRPr="00C20CC7">
              <w:t>3,478</w:t>
            </w:r>
          </w:p>
        </w:tc>
        <w:tc>
          <w:tcPr>
            <w:tcW w:w="669" w:type="pct"/>
          </w:tcPr>
          <w:p w:rsidR="008F07B1" w:rsidRDefault="008F07B1" w:rsidP="000F3765">
            <w:pPr>
              <w:spacing w:line="24" w:lineRule="atLeast"/>
              <w:jc w:val="left"/>
            </w:pPr>
            <w:r>
              <w:t>2015 USD</w:t>
            </w:r>
          </w:p>
        </w:tc>
      </w:tr>
      <w:tr w:rsidR="008F07B1" w:rsidRPr="006832BC" w:rsidTr="000F3765">
        <w:tc>
          <w:tcPr>
            <w:tcW w:w="1116" w:type="pct"/>
          </w:tcPr>
          <w:p w:rsidR="008F07B1" w:rsidRPr="006832BC" w:rsidRDefault="008F07B1" w:rsidP="000F3765">
            <w:pPr>
              <w:spacing w:line="24" w:lineRule="atLeast"/>
              <w:jc w:val="left"/>
              <w:rPr>
                <w:lang w:val="en-US"/>
              </w:rPr>
            </w:pPr>
            <w:r>
              <w:fldChar w:fldCharType="begin" w:fldLock="1"/>
            </w:r>
            <w:r>
              <w:rPr>
                <w:lang w:val="en-US"/>
              </w:rPr>
              <w:instrText>ADDIN CSL_CITATION {"citationItems":[{"id":"ITEM-1","itemData":{"ISSN":"1745-9125","author":[{"dropping-particle":"","family":"Cohen","given":"Mark A","non-dropping-particle":"","parse-names":false,"suffix":""},{"dropping-particle":"","family":"Rust","given":"Roland T","non-dropping-particle":"","parse-names":false,"suffix":""},{"dropping-particle":"","family":"Steen","given":"Sara","non-dropping-particle":"","parse-names":false,"suffix":""},{"dropping-particle":"","family":"Tidd","given":"Simon T","non-dropping-particle":"","parse-names":false,"suffix":""}],"container-title":"Criminology","id":"ITEM-1","issue":"1","issued":{"date-parts":[["2004"]]},"page":"89-110","publisher":"Wiley Online Library","title":"Willingness‐to‐pay for crime control programs","type":"article-journal","volume":"42"},"uris":["http://www.mendeley.com/documents/?uuid=cd3ba714-4fe6-49bd-a216-a8fc74b2f295"]}],"mendeley":{"formattedCitation":"(Cohen, Rust, Steen, &amp; Tidd, 2004)","manualFormatting":"Cohen et al. (2004)","plainTextFormattedCitation":"(Cohen, Rust, Steen, &amp; Tidd, 2004)","previouslyFormattedCitation":"(Cohen, Rust, Steen, &amp; Tidd, 2004)"},"properties":{"noteIndex":0},"schema":"https://github.com/citation-style-language/schema/raw/master/csl-citation.json"}</w:instrText>
            </w:r>
            <w:r>
              <w:fldChar w:fldCharType="separate"/>
            </w:r>
            <w:r w:rsidRPr="006832BC">
              <w:rPr>
                <w:noProof/>
                <w:lang w:val="en-US"/>
              </w:rPr>
              <w:t>Cohen et al.</w:t>
            </w:r>
            <w:r>
              <w:rPr>
                <w:noProof/>
                <w:lang w:val="en-US"/>
              </w:rPr>
              <w:t xml:space="preserve"> (</w:t>
            </w:r>
            <w:r w:rsidRPr="006832BC">
              <w:rPr>
                <w:noProof/>
                <w:lang w:val="en-US"/>
              </w:rPr>
              <w:t>2004)</w:t>
            </w:r>
            <w:r>
              <w:fldChar w:fldCharType="end"/>
            </w:r>
          </w:p>
        </w:tc>
        <w:tc>
          <w:tcPr>
            <w:tcW w:w="623" w:type="pct"/>
          </w:tcPr>
          <w:p w:rsidR="008F07B1" w:rsidRPr="006832BC" w:rsidRDefault="008F07B1" w:rsidP="000F3765">
            <w:pPr>
              <w:spacing w:line="24" w:lineRule="atLeast"/>
              <w:jc w:val="left"/>
              <w:rPr>
                <w:lang w:val="en-US"/>
              </w:rPr>
            </w:pPr>
            <w:r w:rsidRPr="006832BC">
              <w:rPr>
                <w:lang w:val="en-US"/>
              </w:rPr>
              <w:t>USA</w:t>
            </w:r>
          </w:p>
        </w:tc>
        <w:tc>
          <w:tcPr>
            <w:tcW w:w="1085" w:type="pct"/>
          </w:tcPr>
          <w:p w:rsidR="008F07B1" w:rsidRPr="006832BC" w:rsidRDefault="008F07B1" w:rsidP="000F3765">
            <w:pPr>
              <w:spacing w:line="24" w:lineRule="atLeast"/>
              <w:jc w:val="left"/>
              <w:rPr>
                <w:lang w:val="en-US"/>
              </w:rPr>
            </w:pPr>
            <w:r w:rsidRPr="006832BC">
              <w:rPr>
                <w:lang w:val="en-US"/>
              </w:rPr>
              <w:t>Contingent valuation</w:t>
            </w:r>
          </w:p>
        </w:tc>
        <w:tc>
          <w:tcPr>
            <w:tcW w:w="1137" w:type="pct"/>
          </w:tcPr>
          <w:p w:rsidR="008F07B1" w:rsidRPr="006832BC" w:rsidRDefault="008F07B1" w:rsidP="000F3765">
            <w:pPr>
              <w:spacing w:line="24" w:lineRule="atLeast"/>
              <w:jc w:val="left"/>
              <w:rPr>
                <w:lang w:val="en-US"/>
              </w:rPr>
            </w:pPr>
            <w:r w:rsidRPr="006832BC">
              <w:rPr>
                <w:lang w:val="en-US"/>
              </w:rPr>
              <w:t>Serious assault</w:t>
            </w:r>
          </w:p>
        </w:tc>
        <w:tc>
          <w:tcPr>
            <w:tcW w:w="370" w:type="pct"/>
          </w:tcPr>
          <w:p w:rsidR="008F07B1" w:rsidRPr="006832BC" w:rsidRDefault="008F07B1" w:rsidP="000F3765">
            <w:pPr>
              <w:spacing w:line="24" w:lineRule="atLeast"/>
              <w:jc w:val="left"/>
              <w:rPr>
                <w:lang w:val="en-US"/>
              </w:rPr>
            </w:pPr>
            <w:r w:rsidRPr="006832BC">
              <w:rPr>
                <w:lang w:val="en-US"/>
              </w:rPr>
              <w:t>70,000</w:t>
            </w:r>
          </w:p>
        </w:tc>
        <w:tc>
          <w:tcPr>
            <w:tcW w:w="669" w:type="pct"/>
          </w:tcPr>
          <w:p w:rsidR="008F07B1" w:rsidRPr="006832BC" w:rsidRDefault="008F07B1" w:rsidP="000F3765">
            <w:pPr>
              <w:spacing w:line="24" w:lineRule="atLeast"/>
              <w:jc w:val="left"/>
              <w:rPr>
                <w:lang w:val="en-US"/>
              </w:rPr>
            </w:pPr>
            <w:r w:rsidRPr="006832BC">
              <w:rPr>
                <w:lang w:val="en-US"/>
              </w:rPr>
              <w:t>2000 USD</w:t>
            </w:r>
          </w:p>
        </w:tc>
      </w:tr>
      <w:tr w:rsidR="008F07B1" w:rsidTr="000F3765">
        <w:tc>
          <w:tcPr>
            <w:tcW w:w="1116" w:type="pct"/>
          </w:tcPr>
          <w:p w:rsidR="008F07B1" w:rsidRPr="006832BC" w:rsidRDefault="008F07B1" w:rsidP="000F3765">
            <w:pPr>
              <w:spacing w:line="24" w:lineRule="atLeast"/>
              <w:jc w:val="left"/>
              <w:rPr>
                <w:lang w:val="en-US"/>
              </w:rPr>
            </w:pPr>
            <w:r>
              <w:rPr>
                <w:lang w:val="en-US"/>
              </w:rPr>
              <w:fldChar w:fldCharType="begin" w:fldLock="1"/>
            </w:r>
            <w:r>
              <w:rPr>
                <w:lang w:val="en-US"/>
              </w:rPr>
              <w:instrText>ADDIN CSL_CITATION {"citationItems":[{"id":"ITEM-1","itemData":{"author":[{"dropping-particle":"","family":"Picasso","given":"Emilio","non-dropping-particle":"","parse-names":false,"suffix":""},{"dropping-particle":"","family":"Cohen","given":"Mark A","non-dropping-particle":"","parse-names":false,"suffix":""}],"container-title":"Journal of Experimental Criminology","id":"ITEM-1","issue":"4","issued":{"date-parts":[["2019"]]},"page":"529-550","title":"Valuing the public's demand for crime prevention programs: a discrete choice experiment","type":"article-journal","volume":"15"},"uris":["http://www.mendeley.com/documents/?uuid=88e7e0d9-a342-4426-b198-954366b5d1e3"]}],"mendeley":{"formattedCitation":"(Picasso &amp; Cohen, 2019)","manualFormatting":"Picasso &amp; Cohen (2019)","plainTextFormattedCitation":"(Picasso &amp; Cohen, 2019)","previouslyFormattedCitation":"(Picasso &amp; Cohen, 2019)"},"properties":{"noteIndex":0},"schema":"https://github.com/citation-style-language/schema/raw/master/csl-citation.json"}</w:instrText>
            </w:r>
            <w:r>
              <w:rPr>
                <w:lang w:val="en-US"/>
              </w:rPr>
              <w:fldChar w:fldCharType="separate"/>
            </w:r>
            <w:r w:rsidRPr="006832BC">
              <w:rPr>
                <w:noProof/>
                <w:lang w:val="en-US"/>
              </w:rPr>
              <w:t xml:space="preserve">Picasso &amp; Cohen </w:t>
            </w:r>
            <w:r>
              <w:rPr>
                <w:noProof/>
                <w:lang w:val="en-US"/>
              </w:rPr>
              <w:t>(</w:t>
            </w:r>
            <w:r w:rsidRPr="006832BC">
              <w:rPr>
                <w:noProof/>
                <w:lang w:val="en-US"/>
              </w:rPr>
              <w:t>2019)</w:t>
            </w:r>
            <w:r>
              <w:rPr>
                <w:lang w:val="en-US"/>
              </w:rPr>
              <w:fldChar w:fldCharType="end"/>
            </w:r>
          </w:p>
        </w:tc>
        <w:tc>
          <w:tcPr>
            <w:tcW w:w="623" w:type="pct"/>
          </w:tcPr>
          <w:p w:rsidR="008F07B1" w:rsidRPr="006832BC" w:rsidRDefault="008F07B1" w:rsidP="000F3765">
            <w:pPr>
              <w:spacing w:line="24" w:lineRule="atLeast"/>
              <w:jc w:val="left"/>
              <w:rPr>
                <w:lang w:val="en-US"/>
              </w:rPr>
            </w:pPr>
            <w:r w:rsidRPr="006832BC">
              <w:rPr>
                <w:lang w:val="en-US"/>
              </w:rPr>
              <w:t>Argentina</w:t>
            </w:r>
          </w:p>
        </w:tc>
        <w:tc>
          <w:tcPr>
            <w:tcW w:w="1085" w:type="pct"/>
          </w:tcPr>
          <w:p w:rsidR="008F07B1" w:rsidRPr="006832BC" w:rsidRDefault="008F07B1" w:rsidP="000F3765">
            <w:pPr>
              <w:spacing w:line="24" w:lineRule="atLeast"/>
              <w:jc w:val="left"/>
              <w:rPr>
                <w:lang w:val="en-US"/>
              </w:rPr>
            </w:pPr>
            <w:r w:rsidRPr="006832BC">
              <w:rPr>
                <w:lang w:val="en-US"/>
              </w:rPr>
              <w:t>Discrete choice experiments</w:t>
            </w:r>
          </w:p>
        </w:tc>
        <w:tc>
          <w:tcPr>
            <w:tcW w:w="1137" w:type="pct"/>
          </w:tcPr>
          <w:p w:rsidR="008F07B1" w:rsidRDefault="008F07B1" w:rsidP="000F3765">
            <w:pPr>
              <w:spacing w:line="24" w:lineRule="atLeast"/>
              <w:jc w:val="left"/>
            </w:pPr>
            <w:r w:rsidRPr="006832BC">
              <w:rPr>
                <w:lang w:val="en-US"/>
              </w:rPr>
              <w:t>Vi</w:t>
            </w:r>
            <w:r>
              <w:t>olent crime</w:t>
            </w:r>
          </w:p>
        </w:tc>
        <w:tc>
          <w:tcPr>
            <w:tcW w:w="370" w:type="pct"/>
          </w:tcPr>
          <w:p w:rsidR="008F07B1" w:rsidRDefault="008F07B1" w:rsidP="000F3765">
            <w:pPr>
              <w:spacing w:line="24" w:lineRule="atLeast"/>
              <w:jc w:val="left"/>
            </w:pPr>
            <w:r>
              <w:t>2,000</w:t>
            </w:r>
          </w:p>
        </w:tc>
        <w:tc>
          <w:tcPr>
            <w:tcW w:w="669" w:type="pct"/>
          </w:tcPr>
          <w:p w:rsidR="008F07B1" w:rsidRDefault="008F07B1" w:rsidP="000F3765">
            <w:pPr>
              <w:spacing w:line="24" w:lineRule="atLeast"/>
              <w:jc w:val="left"/>
            </w:pPr>
            <w:r>
              <w:t>2014 USD (ppp)</w:t>
            </w:r>
          </w:p>
        </w:tc>
      </w:tr>
      <w:tr w:rsidR="008F07B1" w:rsidRPr="006832BC" w:rsidTr="000F3765">
        <w:tc>
          <w:tcPr>
            <w:tcW w:w="1116" w:type="pct"/>
          </w:tcPr>
          <w:p w:rsidR="008F07B1" w:rsidRPr="006832BC" w:rsidRDefault="008F07B1" w:rsidP="000F3765">
            <w:pPr>
              <w:spacing w:line="24" w:lineRule="atLeast"/>
              <w:jc w:val="left"/>
              <w:rPr>
                <w:lang w:val="en-US"/>
              </w:rPr>
            </w:pPr>
            <w:r>
              <w:fldChar w:fldCharType="begin" w:fldLock="1"/>
            </w:r>
            <w:r>
              <w:rPr>
                <w:lang w:val="en-US"/>
              </w:rPr>
              <w:instrText>ADDIN CSL_CITATION {"citationItems":[{"id":"ITEM-1","itemData":{"ISSN":"1464-3529","author":[{"dropping-particle":"","family":"Dolan","given":"Paul","non-dropping-particle":"","parse-names":false,"suffix":""},{"dropping-particle":"","family":"Loomes","given":"Graham","non-dropping-particle":"","parse-names":false,"suffix":""},{"dropping-particle":"","family":"Peasgood","given":"Tessa","non-dropping-particle":"","parse-names":false,"suffix":""},{"dropping-particle":"","family":"Tsuchiya","given":"Aki","non-dropping-particle":"","parse-names":false,"suffix":""}],"container-title":"British Journal of Criminology","id":"ITEM-1","issue":"6","issued":{"date-parts":[["2005"]]},"page":"958-976","publisher":"Oxford University Press","title":"Estimating the intangible victim costs of violent crime","type":"article-journal","volume":"45"},"uris":["http://www.mendeley.com/documents/?uuid=db806841-00a8-4a48-af4a-94985644837d"]}],"mendeley":{"formattedCitation":"(Dolan et al., 2005)","manualFormatting":"Dolan et al. (2005)","plainTextFormattedCitation":"(Dolan et al., 2005)","previouslyFormattedCitation":"(Dolan et al., 2005)"},"properties":{"noteIndex":0},"schema":"https://github.com/citation-style-language/schema/raw/master/csl-citation.json"}</w:instrText>
            </w:r>
            <w:r>
              <w:fldChar w:fldCharType="separate"/>
            </w:r>
            <w:r w:rsidRPr="006832BC">
              <w:rPr>
                <w:noProof/>
                <w:lang w:val="en-US"/>
              </w:rPr>
              <w:t xml:space="preserve">Dolan et al. </w:t>
            </w:r>
            <w:r>
              <w:rPr>
                <w:noProof/>
                <w:lang w:val="en-US"/>
              </w:rPr>
              <w:t>(</w:t>
            </w:r>
            <w:r w:rsidRPr="006832BC">
              <w:rPr>
                <w:noProof/>
                <w:lang w:val="en-US"/>
              </w:rPr>
              <w:t>2005)</w:t>
            </w:r>
            <w:r>
              <w:fldChar w:fldCharType="end"/>
            </w:r>
          </w:p>
        </w:tc>
        <w:tc>
          <w:tcPr>
            <w:tcW w:w="623" w:type="pct"/>
          </w:tcPr>
          <w:p w:rsidR="008F07B1" w:rsidRPr="006832BC" w:rsidRDefault="008F07B1" w:rsidP="000F3765">
            <w:pPr>
              <w:spacing w:line="24" w:lineRule="atLeast"/>
              <w:jc w:val="left"/>
              <w:rPr>
                <w:lang w:val="en-US"/>
              </w:rPr>
            </w:pPr>
            <w:r w:rsidRPr="006832BC">
              <w:rPr>
                <w:lang w:val="en-US"/>
              </w:rPr>
              <w:t>UK</w:t>
            </w:r>
          </w:p>
        </w:tc>
        <w:tc>
          <w:tcPr>
            <w:tcW w:w="1085" w:type="pct"/>
          </w:tcPr>
          <w:p w:rsidR="008F07B1" w:rsidRPr="006832BC" w:rsidRDefault="008F07B1" w:rsidP="000F3765">
            <w:pPr>
              <w:spacing w:line="24" w:lineRule="atLeast"/>
              <w:jc w:val="left"/>
              <w:rPr>
                <w:lang w:val="en-US"/>
              </w:rPr>
            </w:pPr>
            <w:r w:rsidRPr="006832BC">
              <w:rPr>
                <w:lang w:val="en-US"/>
              </w:rPr>
              <w:t>Quality-adjusted life years</w:t>
            </w:r>
          </w:p>
        </w:tc>
        <w:tc>
          <w:tcPr>
            <w:tcW w:w="1137" w:type="pct"/>
          </w:tcPr>
          <w:p w:rsidR="008F07B1" w:rsidRPr="006832BC" w:rsidRDefault="008F07B1" w:rsidP="000F3765">
            <w:pPr>
              <w:spacing w:line="24" w:lineRule="atLeast"/>
              <w:jc w:val="left"/>
              <w:rPr>
                <w:lang w:val="en-US"/>
              </w:rPr>
            </w:pPr>
            <w:r w:rsidRPr="006832BC">
              <w:rPr>
                <w:lang w:val="en-US"/>
              </w:rPr>
              <w:t>Serious wounding</w:t>
            </w:r>
          </w:p>
        </w:tc>
        <w:tc>
          <w:tcPr>
            <w:tcW w:w="370" w:type="pct"/>
          </w:tcPr>
          <w:p w:rsidR="008F07B1" w:rsidRPr="006832BC" w:rsidRDefault="008F07B1" w:rsidP="000F3765">
            <w:pPr>
              <w:spacing w:line="24" w:lineRule="atLeast"/>
              <w:jc w:val="left"/>
              <w:rPr>
                <w:lang w:val="en-US"/>
              </w:rPr>
            </w:pPr>
            <w:r w:rsidRPr="006832BC">
              <w:rPr>
                <w:lang w:val="en-US"/>
              </w:rPr>
              <w:t>5,723</w:t>
            </w:r>
          </w:p>
        </w:tc>
        <w:tc>
          <w:tcPr>
            <w:tcW w:w="669" w:type="pct"/>
          </w:tcPr>
          <w:p w:rsidR="008F07B1" w:rsidRPr="006832BC" w:rsidRDefault="008F07B1" w:rsidP="000F3765">
            <w:pPr>
              <w:spacing w:line="24" w:lineRule="atLeast"/>
              <w:jc w:val="left"/>
              <w:rPr>
                <w:lang w:val="en-US"/>
              </w:rPr>
            </w:pPr>
            <w:r w:rsidRPr="006832BC">
              <w:rPr>
                <w:lang w:val="en-US"/>
              </w:rPr>
              <w:t>2000 GBP</w:t>
            </w:r>
          </w:p>
        </w:tc>
      </w:tr>
      <w:tr w:rsidR="008F07B1" w:rsidTr="000F3765">
        <w:tc>
          <w:tcPr>
            <w:tcW w:w="1116" w:type="pct"/>
          </w:tcPr>
          <w:p w:rsidR="008F07B1" w:rsidRPr="006832BC" w:rsidRDefault="008F07B1" w:rsidP="000F3765">
            <w:pPr>
              <w:spacing w:line="24" w:lineRule="atLeast"/>
              <w:jc w:val="left"/>
              <w:rPr>
                <w:lang w:val="en-US"/>
              </w:rPr>
            </w:pPr>
            <w:r>
              <w:fldChar w:fldCharType="begin" w:fldLock="1"/>
            </w:r>
            <w:r>
              <w:rPr>
                <w:lang w:val="en-US"/>
              </w:rPr>
              <w:instrText>ADDIN CSL_CITATION {"citationItems":[{"id":"ITEM-1","itemData":{"ISSN":"1464-3529","author":[{"dropping-particle":"","family":"Dolan","given":"Paul","non-dropping-particle":"","parse-names":false,"suffix":""},{"dropping-particle":"","family":"Loomes","given":"Graham","non-dropping-particle":"","parse-names":false,"suffix":""},{"dropping-particle":"","family":"Peasgood","given":"Tessa","non-dropping-particle":"","parse-names":false,"suffix":""},{"dropping-particle":"","family":"Tsuchiya","given":"Aki","non-dropping-particle":"","parse-names":false,"suffix":""}],"container-title":"British Journal of Criminology","id":"ITEM-1","issue":"6","issued":{"date-parts":[["2005"]]},"page":"958-976","publisher":"Oxford University Press","title":"Estimating the intangible victim costs of violent crime","type":"article-journal","volume":"45"},"uris":["http://www.mendeley.com/documents/?uuid=db806841-00a8-4a48-af4a-94985644837d"]}],"mendeley":{"formattedCitation":"(Dolan et al., 2005)","manualFormatting":"Dolan et al. (2005)","plainTextFormattedCitation":"(Dolan et al., 2005)","previouslyFormattedCitation":"(Dolan et al., 2005)"},"properties":{"noteIndex":0},"schema":"https://github.com/citation-style-language/schema/raw/master/csl-citation.json"}</w:instrText>
            </w:r>
            <w:r>
              <w:fldChar w:fldCharType="separate"/>
            </w:r>
            <w:r w:rsidRPr="006832BC">
              <w:rPr>
                <w:noProof/>
                <w:lang w:val="en-US"/>
              </w:rPr>
              <w:t xml:space="preserve">Dolan et al. </w:t>
            </w:r>
            <w:r>
              <w:rPr>
                <w:noProof/>
                <w:lang w:val="en-US"/>
              </w:rPr>
              <w:t>(</w:t>
            </w:r>
            <w:r w:rsidRPr="006832BC">
              <w:rPr>
                <w:noProof/>
                <w:lang w:val="en-US"/>
              </w:rPr>
              <w:t>2005)</w:t>
            </w:r>
            <w:r>
              <w:fldChar w:fldCharType="end"/>
            </w:r>
          </w:p>
        </w:tc>
        <w:tc>
          <w:tcPr>
            <w:tcW w:w="623" w:type="pct"/>
          </w:tcPr>
          <w:p w:rsidR="008F07B1" w:rsidRPr="006832BC" w:rsidRDefault="008F07B1" w:rsidP="000F3765">
            <w:pPr>
              <w:spacing w:line="24" w:lineRule="atLeast"/>
              <w:jc w:val="left"/>
              <w:rPr>
                <w:lang w:val="en-US"/>
              </w:rPr>
            </w:pPr>
            <w:r w:rsidRPr="006832BC">
              <w:rPr>
                <w:lang w:val="en-US"/>
              </w:rPr>
              <w:t>UK</w:t>
            </w:r>
          </w:p>
        </w:tc>
        <w:tc>
          <w:tcPr>
            <w:tcW w:w="1085" w:type="pct"/>
          </w:tcPr>
          <w:p w:rsidR="008F07B1" w:rsidRPr="006832BC" w:rsidRDefault="008F07B1" w:rsidP="000F3765">
            <w:pPr>
              <w:spacing w:line="24" w:lineRule="atLeast"/>
              <w:jc w:val="left"/>
              <w:rPr>
                <w:lang w:val="en-US"/>
              </w:rPr>
            </w:pPr>
            <w:r w:rsidRPr="006832BC">
              <w:rPr>
                <w:lang w:val="en-US"/>
              </w:rPr>
              <w:t>Quality-adjusted life years</w:t>
            </w:r>
          </w:p>
        </w:tc>
        <w:tc>
          <w:tcPr>
            <w:tcW w:w="1137" w:type="pct"/>
          </w:tcPr>
          <w:p w:rsidR="008F07B1" w:rsidRDefault="008F07B1" w:rsidP="000F3765">
            <w:pPr>
              <w:spacing w:line="24" w:lineRule="atLeast"/>
              <w:jc w:val="left"/>
            </w:pPr>
            <w:r>
              <w:t>Other wounding</w:t>
            </w:r>
          </w:p>
        </w:tc>
        <w:tc>
          <w:tcPr>
            <w:tcW w:w="370" w:type="pct"/>
          </w:tcPr>
          <w:p w:rsidR="008F07B1" w:rsidRDefault="008F07B1" w:rsidP="000F3765">
            <w:pPr>
              <w:spacing w:line="24" w:lineRule="atLeast"/>
              <w:jc w:val="left"/>
            </w:pPr>
            <w:r>
              <w:t>945</w:t>
            </w:r>
          </w:p>
        </w:tc>
        <w:tc>
          <w:tcPr>
            <w:tcW w:w="669" w:type="pct"/>
          </w:tcPr>
          <w:p w:rsidR="008F07B1" w:rsidRDefault="008F07B1" w:rsidP="000F3765">
            <w:pPr>
              <w:spacing w:line="24" w:lineRule="atLeast"/>
              <w:jc w:val="left"/>
            </w:pPr>
            <w:r>
              <w:t>2000 GBP</w:t>
            </w:r>
          </w:p>
        </w:tc>
      </w:tr>
      <w:tr w:rsidR="008F07B1" w:rsidTr="000F3765">
        <w:tc>
          <w:tcPr>
            <w:tcW w:w="1116" w:type="pct"/>
            <w:tcBorders>
              <w:bottom w:val="nil"/>
            </w:tcBorders>
          </w:tcPr>
          <w:p w:rsidR="008F07B1" w:rsidRDefault="008F07B1" w:rsidP="000F3765">
            <w:pPr>
              <w:spacing w:line="24" w:lineRule="atLeast"/>
              <w:jc w:val="left"/>
            </w:pPr>
            <w:r>
              <w:fldChar w:fldCharType="begin" w:fldLock="1"/>
            </w:r>
            <w:r>
              <w:rPr>
                <w:lang w:val="en-US"/>
              </w:rPr>
              <w:instrText>ADDIN CSL_CITATION {"citationItems":[{"id":"ITEM-1","itemData":{"ISSN":"1464-3529","author":[{"dropping-particle":"","family":"Dolan","given":"Paul","non-dropping-particle":"","parse-names":false,"suffix":""},{"dropping-particle":"","family":"Loomes","given":"Graham","non-dropping-particle":"","parse-names":false,"suffix":""},{"dropping-particle":"","family":"Peasgood","given":"Tessa","non-dropping-particle":"","parse-names":false,"suffix":""},{"dropping-particle":"","family":"Tsuchiya","given":"Aki","non-dropping-particle":"","parse-names":false,"suffix":""}],"container-title":"British Journal of Criminology","id":"ITEM-1","issue":"6","issued":{"date-parts":[["2005"]]},"page":"958-976","publisher":"Oxford University Press","title":"Estimating the intangible victim costs of violent crime","type":"article-journal","volume":"45"},"uris":["http://www.mendeley.com/documents/?uuid=db806841-00a8-4a48-af4a-94985644837d"]}],"mendeley":{"formattedCitation":"(Dolan et al., 2005)","manualFormatting":"Dolan et al. (2005)","plainTextFormattedCitation":"(Dolan et al., 2005)","previouslyFormattedCitation":"(Dolan et al., 2005)"},"properties":{"noteIndex":0},"schema":"https://github.com/citation-style-language/schema/raw/master/csl-citation.json"}</w:instrText>
            </w:r>
            <w:r>
              <w:fldChar w:fldCharType="separate"/>
            </w:r>
            <w:r w:rsidRPr="006832BC">
              <w:rPr>
                <w:noProof/>
                <w:lang w:val="en-US"/>
              </w:rPr>
              <w:t xml:space="preserve">Dolan et al. </w:t>
            </w:r>
            <w:r>
              <w:rPr>
                <w:noProof/>
                <w:lang w:val="en-US"/>
              </w:rPr>
              <w:t>(</w:t>
            </w:r>
            <w:r w:rsidRPr="006832BC">
              <w:rPr>
                <w:noProof/>
                <w:lang w:val="en-US"/>
              </w:rPr>
              <w:t>2005)</w:t>
            </w:r>
            <w:r>
              <w:fldChar w:fldCharType="end"/>
            </w:r>
          </w:p>
        </w:tc>
        <w:tc>
          <w:tcPr>
            <w:tcW w:w="623" w:type="pct"/>
            <w:tcBorders>
              <w:bottom w:val="nil"/>
            </w:tcBorders>
          </w:tcPr>
          <w:p w:rsidR="008F07B1" w:rsidRDefault="008F07B1" w:rsidP="000F3765">
            <w:pPr>
              <w:spacing w:line="24" w:lineRule="atLeast"/>
              <w:jc w:val="left"/>
            </w:pPr>
            <w:r>
              <w:t>UK</w:t>
            </w:r>
          </w:p>
        </w:tc>
        <w:tc>
          <w:tcPr>
            <w:tcW w:w="1085" w:type="pct"/>
            <w:tcBorders>
              <w:bottom w:val="nil"/>
            </w:tcBorders>
          </w:tcPr>
          <w:p w:rsidR="008F07B1" w:rsidRDefault="008F07B1" w:rsidP="000F3765">
            <w:pPr>
              <w:spacing w:line="24" w:lineRule="atLeast"/>
              <w:jc w:val="left"/>
            </w:pPr>
            <w:r>
              <w:t>Quality-adjusted life years</w:t>
            </w:r>
          </w:p>
        </w:tc>
        <w:tc>
          <w:tcPr>
            <w:tcW w:w="1137" w:type="pct"/>
            <w:tcBorders>
              <w:bottom w:val="nil"/>
            </w:tcBorders>
          </w:tcPr>
          <w:p w:rsidR="008F07B1" w:rsidRDefault="008F07B1" w:rsidP="000F3765">
            <w:pPr>
              <w:spacing w:line="24" w:lineRule="atLeast"/>
              <w:jc w:val="left"/>
            </w:pPr>
            <w:r>
              <w:t>Common assault</w:t>
            </w:r>
          </w:p>
        </w:tc>
        <w:tc>
          <w:tcPr>
            <w:tcW w:w="370" w:type="pct"/>
            <w:tcBorders>
              <w:bottom w:val="nil"/>
            </w:tcBorders>
          </w:tcPr>
          <w:p w:rsidR="008F07B1" w:rsidRDefault="008F07B1" w:rsidP="000F3765">
            <w:pPr>
              <w:spacing w:line="24" w:lineRule="atLeast"/>
              <w:jc w:val="left"/>
            </w:pPr>
            <w:r>
              <w:t>218</w:t>
            </w:r>
          </w:p>
        </w:tc>
        <w:tc>
          <w:tcPr>
            <w:tcW w:w="669" w:type="pct"/>
            <w:tcBorders>
              <w:bottom w:val="nil"/>
            </w:tcBorders>
          </w:tcPr>
          <w:p w:rsidR="008F07B1" w:rsidRDefault="008F07B1" w:rsidP="000F3765">
            <w:pPr>
              <w:spacing w:line="24" w:lineRule="atLeast"/>
              <w:jc w:val="left"/>
            </w:pPr>
            <w:r>
              <w:t>2000 GBP</w:t>
            </w:r>
          </w:p>
        </w:tc>
      </w:tr>
      <w:tr w:rsidR="008F07B1" w:rsidTr="000F3765">
        <w:tc>
          <w:tcPr>
            <w:tcW w:w="1116" w:type="pct"/>
            <w:tcBorders>
              <w:top w:val="nil"/>
              <w:bottom w:val="double" w:sz="4" w:space="0" w:color="auto"/>
            </w:tcBorders>
          </w:tcPr>
          <w:p w:rsidR="008F07B1" w:rsidRDefault="008F07B1" w:rsidP="000F3765">
            <w:pPr>
              <w:spacing w:line="24" w:lineRule="atLeast"/>
              <w:jc w:val="left"/>
            </w:pPr>
            <w:r>
              <w:fldChar w:fldCharType="begin" w:fldLock="1"/>
            </w:r>
            <w:r>
              <w:instrText>ADDIN CSL_CITATION {"citationItems":[{"id":"ITEM-1","itemData":{"ISSN":"0013-0133","author":[{"dropping-particle":"","family":"Johnston","given":"David W","non-dropping-particle":"","parse-names":false,"suffix":""},{"dropping-particle":"","family":"Shields","given":"Michael A","non-dropping-particle":"","parse-names":false,"suffix":""},{"dropping-particle":"","family":"Suziedelyte","given":"Agne","non-dropping-particle":"","parse-names":false,"suffix":""}],"container-title":"The Economic Journal","id":"ITEM-1","issue":"611","issued":{"date-parts":[["2018"]]},"page":"1545-1569","publisher":"Wiley Online Library","title":"Victimisation, Well‐being and Compensation: Using Panel Data to Estimate the Costs of Violent Crime","type":"article-journal","volume":"128"},"uris":["http://www.mendeley.com/documents/?uuid=5734d7f0-0658-4b89-b964-643d43302176"]}],"mendeley":{"formattedCitation":"(Johnston et al., 2018)","manualFormatting":"Johnston et al. (2018)","plainTextFormattedCitation":"(Johnston et al., 2018)","previouslyFormattedCitation":"(Johnston et al., 2018)"},"properties":{"noteIndex":0},"schema":"https://github.com/citation-style-language/schema/raw/master/csl-citation.json"}</w:instrText>
            </w:r>
            <w:r>
              <w:fldChar w:fldCharType="separate"/>
            </w:r>
            <w:r w:rsidRPr="006832BC">
              <w:rPr>
                <w:noProof/>
              </w:rPr>
              <w:t xml:space="preserve">Johnston et al. </w:t>
            </w:r>
            <w:r>
              <w:rPr>
                <w:noProof/>
              </w:rPr>
              <w:t>(</w:t>
            </w:r>
            <w:r w:rsidRPr="006832BC">
              <w:rPr>
                <w:noProof/>
              </w:rPr>
              <w:t>2018)</w:t>
            </w:r>
            <w:r>
              <w:fldChar w:fldCharType="end"/>
            </w:r>
            <w:r>
              <w:t>o</w:t>
            </w:r>
          </w:p>
        </w:tc>
        <w:tc>
          <w:tcPr>
            <w:tcW w:w="623" w:type="pct"/>
            <w:tcBorders>
              <w:top w:val="nil"/>
              <w:bottom w:val="double" w:sz="4" w:space="0" w:color="auto"/>
            </w:tcBorders>
          </w:tcPr>
          <w:p w:rsidR="008F07B1" w:rsidRDefault="008F07B1" w:rsidP="000F3765">
            <w:pPr>
              <w:spacing w:line="24" w:lineRule="atLeast"/>
              <w:jc w:val="left"/>
            </w:pPr>
            <w:r>
              <w:t>Australia</w:t>
            </w:r>
          </w:p>
        </w:tc>
        <w:tc>
          <w:tcPr>
            <w:tcW w:w="1085" w:type="pct"/>
            <w:tcBorders>
              <w:top w:val="nil"/>
              <w:bottom w:val="double" w:sz="4" w:space="0" w:color="auto"/>
            </w:tcBorders>
          </w:tcPr>
          <w:p w:rsidR="008F07B1" w:rsidRDefault="008F07B1" w:rsidP="000F3765">
            <w:pPr>
              <w:spacing w:line="24" w:lineRule="atLeast"/>
              <w:jc w:val="left"/>
            </w:pPr>
            <w:r>
              <w:t>Life satisfaction method</w:t>
            </w:r>
          </w:p>
        </w:tc>
        <w:tc>
          <w:tcPr>
            <w:tcW w:w="1137" w:type="pct"/>
            <w:tcBorders>
              <w:top w:val="nil"/>
              <w:bottom w:val="double" w:sz="4" w:space="0" w:color="auto"/>
            </w:tcBorders>
          </w:tcPr>
          <w:p w:rsidR="008F07B1" w:rsidRDefault="008F07B1" w:rsidP="000F3765">
            <w:pPr>
              <w:spacing w:line="24" w:lineRule="atLeast"/>
              <w:jc w:val="left"/>
            </w:pPr>
            <w:r>
              <w:t>Violent crime</w:t>
            </w:r>
          </w:p>
        </w:tc>
        <w:tc>
          <w:tcPr>
            <w:tcW w:w="370" w:type="pct"/>
            <w:tcBorders>
              <w:top w:val="nil"/>
              <w:bottom w:val="double" w:sz="4" w:space="0" w:color="auto"/>
            </w:tcBorders>
          </w:tcPr>
          <w:p w:rsidR="008F07B1" w:rsidRDefault="008F07B1" w:rsidP="000F3765">
            <w:pPr>
              <w:spacing w:line="24" w:lineRule="atLeast"/>
              <w:jc w:val="left"/>
            </w:pPr>
            <w:r>
              <w:t>88,000</w:t>
            </w:r>
          </w:p>
        </w:tc>
        <w:tc>
          <w:tcPr>
            <w:tcW w:w="669" w:type="pct"/>
            <w:tcBorders>
              <w:top w:val="nil"/>
              <w:bottom w:val="double" w:sz="4" w:space="0" w:color="auto"/>
            </w:tcBorders>
          </w:tcPr>
          <w:p w:rsidR="008F07B1" w:rsidRDefault="008F07B1" w:rsidP="000F3765">
            <w:pPr>
              <w:spacing w:line="24" w:lineRule="atLeast"/>
              <w:jc w:val="left"/>
            </w:pPr>
            <w:r>
              <w:t>AUD</w:t>
            </w:r>
          </w:p>
        </w:tc>
      </w:tr>
    </w:tbl>
    <w:p w:rsidR="008F07B1" w:rsidRDefault="008F07B1" w:rsidP="008F07B1">
      <w:pPr>
        <w:spacing w:line="24" w:lineRule="atLeast"/>
        <w:jc w:val="left"/>
        <w:rPr>
          <w:rFonts w:eastAsiaTheme="majorEastAsia" w:cstheme="majorBidi"/>
          <w:color w:val="000000" w:themeColor="text1"/>
          <w:sz w:val="20"/>
          <w:szCs w:val="26"/>
          <w:lang w:val="en-US"/>
        </w:rPr>
        <w:sectPr w:rsidR="008F07B1" w:rsidSect="007B60AE">
          <w:headerReference w:type="default" r:id="rId10"/>
          <w:footerReference w:type="default" r:id="rId11"/>
          <w:pgSz w:w="16838" w:h="11906" w:orient="landscape"/>
          <w:pgMar w:top="1417" w:right="1417" w:bottom="1417" w:left="1134" w:header="708" w:footer="708" w:gutter="0"/>
          <w:cols w:space="708"/>
          <w:docGrid w:linePitch="360"/>
        </w:sectPr>
      </w:pPr>
      <w:r w:rsidRPr="009F7238">
        <w:rPr>
          <w:rFonts w:eastAsiaTheme="majorEastAsia" w:cstheme="majorBidi"/>
          <w:i/>
          <w:color w:val="000000" w:themeColor="text1"/>
          <w:sz w:val="20"/>
          <w:szCs w:val="26"/>
          <w:lang w:val="en-US"/>
        </w:rPr>
        <w:t>Notes:</w:t>
      </w:r>
      <w:r>
        <w:rPr>
          <w:rFonts w:eastAsiaTheme="majorEastAsia" w:cstheme="majorBidi"/>
          <w:color w:val="000000" w:themeColor="text1"/>
          <w:sz w:val="20"/>
          <w:szCs w:val="26"/>
          <w:lang w:val="en-US"/>
        </w:rPr>
        <w:t xml:space="preserve"> The table shows an overview of cost estimates for different countries based on different costing methods.</w:t>
      </w:r>
    </w:p>
    <w:p w:rsidR="008F07B1" w:rsidRDefault="008F07B1" w:rsidP="008F07B1">
      <w:pPr>
        <w:pStyle w:val="Heading2"/>
        <w:numPr>
          <w:ilvl w:val="0"/>
          <w:numId w:val="0"/>
        </w:numPr>
        <w:rPr>
          <w:lang w:val="en-US"/>
        </w:rPr>
      </w:pPr>
      <w:r>
        <w:rPr>
          <w:lang w:val="en-US"/>
        </w:rPr>
        <w:lastRenderedPageBreak/>
        <w:t>Appendix C. The Process of Real-Time Bidding</w:t>
      </w:r>
    </w:p>
    <w:p w:rsidR="008F07B1" w:rsidRPr="005528E8" w:rsidRDefault="008F07B1" w:rsidP="008F07B1">
      <w:pPr>
        <w:ind w:firstLine="357"/>
        <w:rPr>
          <w:rFonts w:cs="Times New Roman"/>
          <w:lang w:val="en-US"/>
        </w:rPr>
      </w:pPr>
      <w:r w:rsidRPr="005528E8">
        <w:rPr>
          <w:rFonts w:cs="Times New Roman"/>
          <w:szCs w:val="24"/>
          <w:lang w:val="en-US"/>
        </w:rPr>
        <w:t xml:space="preserve">The </w:t>
      </w:r>
      <w:r w:rsidRPr="005528E8">
        <w:rPr>
          <w:rFonts w:cs="Times New Roman"/>
          <w:i/>
          <w:szCs w:val="24"/>
          <w:lang w:val="en-US"/>
        </w:rPr>
        <w:t>real-time bidding</w:t>
      </w:r>
      <w:r w:rsidRPr="005528E8">
        <w:rPr>
          <w:rFonts w:cs="Times New Roman"/>
          <w:szCs w:val="24"/>
          <w:lang w:val="en-US"/>
        </w:rPr>
        <w:t xml:space="preserve"> process is initiated when the browser of the user requests a webpage. In response, the content server of the publisher transmits the webpage content to the browser. The transmitted webpage contains links that cause the browser to connect with the publisher’s ad server and request that the ad space available is filled with ads. At the same time, information identifying the user is transmitted to the ad server.</w:t>
      </w:r>
    </w:p>
    <w:p w:rsidR="008F07B1" w:rsidRPr="005528E8" w:rsidRDefault="008F07B1" w:rsidP="008F07B1">
      <w:pPr>
        <w:ind w:firstLine="357"/>
        <w:rPr>
          <w:rFonts w:cs="Times New Roman"/>
          <w:szCs w:val="24"/>
          <w:lang w:val="en-US"/>
        </w:rPr>
      </w:pPr>
      <w:r w:rsidRPr="005528E8">
        <w:rPr>
          <w:rFonts w:cs="Times New Roman"/>
          <w:szCs w:val="24"/>
          <w:lang w:val="en-US"/>
        </w:rPr>
        <w:t xml:space="preserve">The ad server then connects with a supply-side platform offering ad space for sale. The supply-side platform transmits the information identifying the user to a data management platform. On this platform, the identifying information is enriched with geographic, demographic, psychographic, and behavioral data. The enriched user information is </w:t>
      </w:r>
      <w:r w:rsidRPr="005528E8">
        <w:rPr>
          <w:rFonts w:eastAsia="Calibri" w:cs="Times New Roman"/>
          <w:szCs w:val="24"/>
          <w:lang w:val="en-US"/>
        </w:rPr>
        <w:t>sent</w:t>
      </w:r>
      <w:r w:rsidRPr="005528E8">
        <w:rPr>
          <w:rFonts w:cs="Times New Roman"/>
          <w:szCs w:val="24"/>
          <w:lang w:val="en-US"/>
        </w:rPr>
        <w:t xml:space="preserve"> back to the supply-side platform, where the offer of ad space along with the information on the user who will view it is merged. The supply-side platform transmits the offer to an ad exchange. The ad exchange puts the offer up for auction to </w:t>
      </w:r>
      <w:r>
        <w:rPr>
          <w:rFonts w:cs="Times New Roman"/>
          <w:szCs w:val="24"/>
          <w:lang w:val="en-US"/>
        </w:rPr>
        <w:t>demand-side platforms</w:t>
      </w:r>
      <w:r w:rsidRPr="005528E8">
        <w:rPr>
          <w:rFonts w:cs="Times New Roman"/>
          <w:szCs w:val="24"/>
          <w:lang w:val="en-US"/>
        </w:rPr>
        <w:t>.</w:t>
      </w:r>
    </w:p>
    <w:p w:rsidR="008F07B1" w:rsidRPr="005528E8" w:rsidRDefault="008F07B1" w:rsidP="008F07B1">
      <w:pPr>
        <w:ind w:firstLine="357"/>
        <w:rPr>
          <w:rFonts w:cs="Times New Roman"/>
          <w:szCs w:val="24"/>
          <w:lang w:val="en-US"/>
        </w:rPr>
      </w:pPr>
      <w:r>
        <w:rPr>
          <w:rFonts w:cs="Times New Roman"/>
          <w:szCs w:val="24"/>
          <w:lang w:val="en-US"/>
        </w:rPr>
        <w:t>Demand-side platforms</w:t>
      </w:r>
      <w:r w:rsidRPr="005528E8">
        <w:rPr>
          <w:rFonts w:cs="Times New Roman"/>
          <w:szCs w:val="24"/>
          <w:lang w:val="en-US"/>
        </w:rPr>
        <w:t xml:space="preserve"> bid on behalf of ad agencies. They have ads ready for display and search for suitable users. Based on the information on the particular user who requested the website, </w:t>
      </w:r>
      <w:r>
        <w:rPr>
          <w:rFonts w:cs="Times New Roman"/>
          <w:szCs w:val="24"/>
          <w:lang w:val="en-US"/>
        </w:rPr>
        <w:t>demand-side platforms</w:t>
      </w:r>
      <w:r w:rsidRPr="005528E8">
        <w:rPr>
          <w:rFonts w:cs="Times New Roman"/>
          <w:szCs w:val="24"/>
          <w:lang w:val="en-US"/>
        </w:rPr>
        <w:t xml:space="preserve"> decide how much to offer for the corresponding ad space. The ad exchange picks the best bid, informs both parties, and transmits the link to the ad through the supply-side platform and the publisher’s ad server to the user’s browser. The browser then requests the ad from the ad agency’s ad server. Thus, the ad agency can confirm to their customer that the ad was delivered to the browser </w:t>
      </w:r>
      <w:r w:rsidRPr="005528E8">
        <w:rPr>
          <w:rFonts w:cs="Times New Roman"/>
          <w:szCs w:val="24"/>
          <w:lang w:val="en-US"/>
        </w:rPr>
        <w:fldChar w:fldCharType="begin" w:fldLock="1"/>
      </w:r>
      <w:r w:rsidRPr="005528E8">
        <w:rPr>
          <w:rFonts w:cs="Times New Roman"/>
          <w:szCs w:val="24"/>
          <w:lang w:val="en-US"/>
        </w:rPr>
        <w:instrText>ADDIN CSL_CITATION {"citationItems":[{"id":"ITEM-1","itemData":{"ISSN":"1554-0669","author":[{"dropping-particle":"","family":"Wang","given":"Jun","non-dropping-particle":"","parse-names":false,"suffix":""},{"dropping-particle":"","family":"Zhang","given":"Weinan","non-dropping-particle":"","parse-names":false,"suffix":""},{"dropping-particle":"","family":"Yuan","given":"Shuai","non-dropping-particle":"","parse-names":false,"suffix":""}],"id":"ITEM-1","issued":{"date-parts":[["2017"]]},"publisher":"Now Foundations and Trends","publisher-place":"Norwell, Massachusetts","title":"Display advertising with real-time bidding (RTB) and behavioural targeting","type":"book"},"uris":["http://www.mendeley.com/documents/?uuid=561d96fb-89a2-4b37-8871-aa61cd80415b"]}],"mendeley":{"formattedCitation":"(Wang, Zhang, &amp; Yuan, 2017)","manualFormatting":"(Wang et al., 2017)","plainTextFormattedCitation":"(Wang, Zhang, &amp; Yuan, 2017)","previouslyFormattedCitation":"(Wang, Zhang, &amp; Yuan, 2017)"},"properties":{"noteIndex":0},"schema":"https://github.com/citation-style-language/schema/raw/master/csl-citation.json"}</w:instrText>
      </w:r>
      <w:r w:rsidRPr="005528E8">
        <w:rPr>
          <w:rFonts w:cs="Times New Roman"/>
          <w:szCs w:val="24"/>
          <w:lang w:val="en-US"/>
        </w:rPr>
        <w:fldChar w:fldCharType="separate"/>
      </w:r>
      <w:r w:rsidRPr="005528E8">
        <w:rPr>
          <w:rFonts w:cs="Times New Roman"/>
          <w:noProof/>
          <w:szCs w:val="24"/>
          <w:lang w:val="en-US"/>
        </w:rPr>
        <w:t>(Wang et al., 2017)</w:t>
      </w:r>
      <w:r w:rsidRPr="005528E8">
        <w:rPr>
          <w:rFonts w:cs="Times New Roman"/>
          <w:szCs w:val="24"/>
          <w:lang w:val="en-US"/>
        </w:rPr>
        <w:fldChar w:fldCharType="end"/>
      </w:r>
      <w:r w:rsidRPr="005528E8">
        <w:rPr>
          <w:rFonts w:cs="Times New Roman"/>
          <w:szCs w:val="24"/>
          <w:lang w:val="en-US"/>
        </w:rPr>
        <w:t>.</w:t>
      </w:r>
    </w:p>
    <w:p w:rsidR="000A754C" w:rsidRDefault="000A754C">
      <w:bookmarkStart w:id="0" w:name="_GoBack"/>
      <w:bookmarkEnd w:id="0"/>
    </w:p>
    <w:sectPr w:rsidR="000A754C" w:rsidSect="007B60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B1" w:rsidRDefault="008F07B1" w:rsidP="008F07B1">
      <w:pPr>
        <w:spacing w:after="0" w:line="240" w:lineRule="auto"/>
      </w:pPr>
      <w:r>
        <w:separator/>
      </w:r>
    </w:p>
  </w:endnote>
  <w:endnote w:type="continuationSeparator" w:id="0">
    <w:p w:rsidR="008F07B1" w:rsidRDefault="008F07B1" w:rsidP="008F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88995"/>
      <w:docPartObj>
        <w:docPartGallery w:val="Page Numbers (Bottom of Page)"/>
        <w:docPartUnique/>
      </w:docPartObj>
    </w:sdtPr>
    <w:sdtContent>
      <w:p w:rsidR="008F07B1" w:rsidRDefault="008F07B1">
        <w:pPr>
          <w:pStyle w:val="Footer"/>
          <w:jc w:val="center"/>
        </w:pPr>
        <w:r>
          <w:fldChar w:fldCharType="begin"/>
        </w:r>
        <w:r>
          <w:instrText>PAGE   \* MERGEFORMAT</w:instrText>
        </w:r>
        <w:r>
          <w:fldChar w:fldCharType="separate"/>
        </w:r>
        <w:r>
          <w:rPr>
            <w:noProof/>
          </w:rPr>
          <w:t>1</w:t>
        </w:r>
        <w:r>
          <w:fldChar w:fldCharType="end"/>
        </w:r>
      </w:p>
    </w:sdtContent>
  </w:sdt>
  <w:p w:rsidR="008F07B1" w:rsidRDefault="008F0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32842"/>
      <w:docPartObj>
        <w:docPartGallery w:val="Page Numbers (Bottom of Page)"/>
        <w:docPartUnique/>
      </w:docPartObj>
    </w:sdtPr>
    <w:sdtContent>
      <w:p w:rsidR="008F07B1" w:rsidRDefault="008F07B1">
        <w:pPr>
          <w:pStyle w:val="Footer"/>
          <w:jc w:val="center"/>
        </w:pPr>
        <w:r>
          <w:fldChar w:fldCharType="begin"/>
        </w:r>
        <w:r>
          <w:instrText>PAGE   \* MERGEFORMAT</w:instrText>
        </w:r>
        <w:r>
          <w:fldChar w:fldCharType="separate"/>
        </w:r>
        <w:r>
          <w:rPr>
            <w:noProof/>
          </w:rPr>
          <w:t>8</w:t>
        </w:r>
        <w:r>
          <w:fldChar w:fldCharType="end"/>
        </w:r>
      </w:p>
    </w:sdtContent>
  </w:sdt>
  <w:p w:rsidR="008F07B1" w:rsidRDefault="008F0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98649"/>
      <w:docPartObj>
        <w:docPartGallery w:val="Page Numbers (Bottom of Page)"/>
        <w:docPartUnique/>
      </w:docPartObj>
    </w:sdtPr>
    <w:sdtContent>
      <w:p w:rsidR="008F07B1" w:rsidRDefault="008F07B1">
        <w:pPr>
          <w:pStyle w:val="Footer"/>
          <w:jc w:val="center"/>
        </w:pPr>
        <w:r>
          <w:fldChar w:fldCharType="begin"/>
        </w:r>
        <w:r>
          <w:instrText>PAGE   \* MERGEFORMAT</w:instrText>
        </w:r>
        <w:r>
          <w:fldChar w:fldCharType="separate"/>
        </w:r>
        <w:r>
          <w:rPr>
            <w:noProof/>
          </w:rPr>
          <w:t>10</w:t>
        </w:r>
        <w:r>
          <w:fldChar w:fldCharType="end"/>
        </w:r>
      </w:p>
    </w:sdtContent>
  </w:sdt>
  <w:p w:rsidR="008F07B1" w:rsidRDefault="008F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B1" w:rsidRDefault="008F07B1" w:rsidP="008F07B1">
      <w:pPr>
        <w:spacing w:after="0" w:line="240" w:lineRule="auto"/>
      </w:pPr>
      <w:r>
        <w:separator/>
      </w:r>
    </w:p>
  </w:footnote>
  <w:footnote w:type="continuationSeparator" w:id="0">
    <w:p w:rsidR="008F07B1" w:rsidRDefault="008F07B1" w:rsidP="008F07B1">
      <w:pPr>
        <w:spacing w:after="0" w:line="240" w:lineRule="auto"/>
      </w:pPr>
      <w:r>
        <w:continuationSeparator/>
      </w:r>
    </w:p>
  </w:footnote>
  <w:footnote w:id="1">
    <w:p w:rsidR="008F07B1" w:rsidRPr="00471459" w:rsidRDefault="008F07B1" w:rsidP="008F07B1">
      <w:pPr>
        <w:pStyle w:val="FootnoteText"/>
        <w:rPr>
          <w:lang w:val="en-US"/>
        </w:rPr>
      </w:pPr>
      <w:r>
        <w:rPr>
          <w:rStyle w:val="FootnoteReference"/>
        </w:rPr>
        <w:footnoteRef/>
      </w:r>
      <w:r w:rsidRPr="00471459">
        <w:rPr>
          <w:lang w:val="en-US"/>
        </w:rPr>
        <w:t xml:space="preserve"> </w:t>
      </w:r>
      <w:r>
        <w:rPr>
          <w:rFonts w:cs="Times New Roman"/>
          <w:lang w:val="en-US"/>
        </w:rPr>
        <w:t xml:space="preserve">Our basic idea is inspired by the work of </w:t>
      </w:r>
      <w:r w:rsidRPr="0085647A">
        <w:rPr>
          <w:rFonts w:cs="Times New Roman"/>
          <w:lang w:val="en-US"/>
        </w:rPr>
        <w:fldChar w:fldCharType="begin" w:fldLock="1"/>
      </w:r>
      <w:r>
        <w:rPr>
          <w:rFonts w:cs="Times New Roman"/>
          <w:lang w:val="en-US"/>
        </w:rPr>
        <w:instrText>ADDIN CSL_CITATION {"citationItems":[{"id":"ITEM-1","itemData":{"ISSN":"2152-2812","author":[{"dropping-particle":"","family":"Martin","given":"Lauren","non-dropping-particle":"","parse-names":false,"suffix":""},{"dropping-particle":"","family":"Lotspeich","given":"Richard","non-dropping-particle":"","parse-names":false,"suffix":""}],"container-title":"Journal of Benefit-Cost Analysis","id":"ITEM-1","issue":"1","issued":{"date-parts":[["2014"]]},"page":"43-87","publisher":"De Gruyter","title":"A benefit-cost framework for early intervention to prevent sex trading","type":"article-journal","volume":"5"},"uris":["http://www.mendeley.com/documents/?uuid=863bda97-7a2d-47d2-b0ed-4436304a5302"]}],"mendeley":{"formattedCitation":"(Martin &amp; Lotspeich, 2014)","manualFormatting":"Martin &amp; Lotspeich (2014)","plainTextFormattedCitation":"(Martin &amp; Lotspeich, 2014)","previouslyFormattedCitation":"(Martin &amp; Lotspeich, 2014)"},"properties":{"noteIndex":0},"schema":"https://github.com/citation-style-language/schema/raw/master/csl-citation.json"}</w:instrText>
      </w:r>
      <w:r w:rsidRPr="0085647A">
        <w:rPr>
          <w:rFonts w:cs="Times New Roman"/>
          <w:lang w:val="en-US"/>
        </w:rPr>
        <w:fldChar w:fldCharType="separate"/>
      </w:r>
      <w:r w:rsidRPr="0005699C">
        <w:rPr>
          <w:rFonts w:cs="Times New Roman"/>
          <w:noProof/>
          <w:lang w:val="en-US"/>
        </w:rPr>
        <w:t>Martin &amp; Lotspeich (2014)</w:t>
      </w:r>
      <w:r w:rsidRPr="0085647A">
        <w:rPr>
          <w:rFonts w:cs="Times New Roman"/>
          <w:lang w:val="en-US"/>
        </w:rPr>
        <w:fldChar w:fldCharType="end"/>
      </w:r>
      <w:r>
        <w:rPr>
          <w:rFonts w:cs="Times New Roman"/>
          <w:lang w:val="en-US"/>
        </w:rPr>
        <w:t>.</w:t>
      </w:r>
    </w:p>
  </w:footnote>
  <w:footnote w:id="2">
    <w:p w:rsidR="008F07B1" w:rsidRPr="00202470" w:rsidRDefault="008F07B1" w:rsidP="008F07B1">
      <w:pPr>
        <w:pStyle w:val="FootnoteText"/>
        <w:rPr>
          <w:lang w:val="en-US"/>
        </w:rPr>
      </w:pPr>
      <w:r>
        <w:rPr>
          <w:rStyle w:val="FootnoteReference"/>
        </w:rPr>
        <w:footnoteRef/>
      </w:r>
      <w:r w:rsidRPr="00202470">
        <w:rPr>
          <w:lang w:val="en-US"/>
        </w:rPr>
        <w:t xml:space="preserve"> </w:t>
      </w:r>
      <w:r>
        <w:rPr>
          <w:szCs w:val="24"/>
          <w:lang w:val="en-US"/>
        </w:rPr>
        <w:t>Further data sources include</w:t>
      </w:r>
      <w:r w:rsidRPr="00733314">
        <w:rPr>
          <w:szCs w:val="24"/>
          <w:lang w:val="en-US"/>
        </w:rPr>
        <w:t xml:space="preserve"> victimization surveys, crime data, budget data, and salary data</w:t>
      </w:r>
      <w:r>
        <w:rPr>
          <w:szCs w:val="24"/>
          <w:lang w:val="en-US"/>
        </w:rPr>
        <w:t xml:space="preserve">. </w:t>
      </w:r>
      <w:r w:rsidRPr="00202470">
        <w:rPr>
          <w:lang w:val="en-US"/>
        </w:rPr>
        <w:t xml:space="preserve">Examples of such data sources from the U.S. include the </w:t>
      </w:r>
      <w:r w:rsidRPr="00202470">
        <w:rPr>
          <w:i/>
          <w:lang w:val="en-US"/>
        </w:rPr>
        <w:t>National Crime Victimization Survey</w:t>
      </w:r>
      <w:r w:rsidRPr="00202470">
        <w:rPr>
          <w:lang w:val="en-US"/>
        </w:rPr>
        <w:t xml:space="preserve"> (NCVS), the </w:t>
      </w:r>
      <w:r w:rsidRPr="00202470">
        <w:rPr>
          <w:i/>
          <w:lang w:val="en-US"/>
        </w:rPr>
        <w:t>Federal Bureau of Investigation</w:t>
      </w:r>
      <w:r w:rsidRPr="00202470">
        <w:rPr>
          <w:lang w:val="en-US"/>
        </w:rPr>
        <w:t xml:space="preserve"> (FBI) </w:t>
      </w:r>
      <w:r w:rsidRPr="00202470">
        <w:rPr>
          <w:i/>
          <w:lang w:val="en-US"/>
        </w:rPr>
        <w:t>Uniform Crime Reporting</w:t>
      </w:r>
      <w:r w:rsidRPr="00202470">
        <w:rPr>
          <w:lang w:val="en-US"/>
        </w:rPr>
        <w:t xml:space="preserve"> (UCR) Program, the </w:t>
      </w:r>
      <w:r w:rsidRPr="00202470">
        <w:rPr>
          <w:i/>
          <w:lang w:val="en-US"/>
        </w:rPr>
        <w:t>National Violence Against Women Survey</w:t>
      </w:r>
      <w:r w:rsidRPr="00202470">
        <w:rPr>
          <w:lang w:val="en-US"/>
        </w:rPr>
        <w:t xml:space="preserve"> (NVAWS), and different medical expenditure surveys </w:t>
      </w:r>
      <w:r w:rsidRPr="00202470">
        <w:rPr>
          <w:lang w:val="en-US"/>
        </w:rPr>
        <w:fldChar w:fldCharType="begin" w:fldLock="1"/>
      </w:r>
      <w:r>
        <w:rPr>
          <w:lang w:val="en-US"/>
        </w:rPr>
        <w:instrText>ADDIN CSL_CITATION {"citationItems":[{"id":"ITEM-1","itemData":{"author":[{"dropping-particle":"","family":"Lugo","given":"Kristina","non-dropping-particle":"","parse-names":false,"suffix":""},{"dropping-particle":"","family":"Przybylski","given":"Roger","non-dropping-particle":"","parse-names":false,"suffix":""}],"id":"ITEM-1","issued":{"date-parts":[["2018"]]},"publisher-place":"Washington, DC","title":"Estimating the financial costs of crime victimization","type":"report"},"uris":["http://www.mendeley.com/documents/?uuid=b7a66254-0506-4c8a-a38a-79463b1d50e5"]}],"mendeley":{"formattedCitation":"(Lugo &amp; Przybylski, 2018)","plainTextFormattedCitation":"(Lugo &amp; Przybylski, 2018)","previouslyFormattedCitation":"(Lugo &amp; Przybylski, 2018)"},"properties":{"noteIndex":0},"schema":"https://github.com/citation-style-language/schema/raw/master/csl-citation.json"}</w:instrText>
      </w:r>
      <w:r w:rsidRPr="00202470">
        <w:rPr>
          <w:lang w:val="en-US"/>
        </w:rPr>
        <w:fldChar w:fldCharType="separate"/>
      </w:r>
      <w:r w:rsidRPr="006B7B8D">
        <w:rPr>
          <w:noProof/>
          <w:lang w:val="en-US"/>
        </w:rPr>
        <w:t>(Lugo &amp; Przybylski, 2018)</w:t>
      </w:r>
      <w:r w:rsidRPr="00202470">
        <w:rPr>
          <w:lang w:val="en-US"/>
        </w:rPr>
        <w:fldChar w:fldCharType="end"/>
      </w:r>
      <w:r>
        <w:rPr>
          <w:lang w:val="en-US"/>
        </w:rPr>
        <w:t>.</w:t>
      </w:r>
    </w:p>
  </w:footnote>
  <w:footnote w:id="3">
    <w:p w:rsidR="008F07B1" w:rsidRPr="002215C7" w:rsidRDefault="008F07B1" w:rsidP="008F07B1">
      <w:pPr>
        <w:pStyle w:val="FootnoteText"/>
        <w:rPr>
          <w:lang w:val="en-US"/>
        </w:rPr>
      </w:pPr>
      <w:r>
        <w:rPr>
          <w:rStyle w:val="FootnoteReference"/>
        </w:rPr>
        <w:footnoteRef/>
      </w:r>
      <w:r w:rsidRPr="002215C7">
        <w:rPr>
          <w:lang w:val="en-US"/>
        </w:rPr>
        <w:t xml:space="preserve"> </w:t>
      </w:r>
      <w:r w:rsidRPr="00733314">
        <w:rPr>
          <w:szCs w:val="24"/>
          <w:lang w:val="en-US"/>
        </w:rPr>
        <w:t xml:space="preserve">However, while aggregate costs </w:t>
      </w:r>
      <w:r>
        <w:rPr>
          <w:szCs w:val="24"/>
          <w:lang w:val="en-US"/>
        </w:rPr>
        <w:t xml:space="preserve">of the criminal justice system </w:t>
      </w:r>
      <w:r w:rsidRPr="00733314">
        <w:rPr>
          <w:szCs w:val="24"/>
          <w:lang w:val="en-US"/>
        </w:rPr>
        <w:t>may be available, the costs per crime may be not. Proxy measures include the marginal costs of police resources associated with investigating a crime or the marginal costs of to the criminal justice system having to process a repeat offender</w:t>
      </w:r>
      <w:r>
        <w:rPr>
          <w:szCs w:val="24"/>
          <w:lang w:val="en-US"/>
        </w:rPr>
        <w:t xml:space="preserve"> </w:t>
      </w:r>
      <w:r w:rsidRPr="00733314">
        <w:rPr>
          <w:szCs w:val="24"/>
          <w:lang w:val="en-US"/>
        </w:rPr>
        <w:fldChar w:fldCharType="begin" w:fldLock="1"/>
      </w:r>
      <w:r>
        <w:rPr>
          <w:szCs w:val="24"/>
          <w:lang w:val="en-US"/>
        </w:rPr>
        <w:instrText>ADDIN CSL_CITATION {"citationItems":[{"id":"ITEM-1","itemData":{"author":[{"dropping-particle":"","family":"Aos Lieb, R., Mayfield, J., Miller, M &amp; Pennucci, A.","given":"S","non-dropping-particle":"","parse-names":false,"suffix":""}],"id":"ITEM-1","issue":"360","issued":{"date-parts":[["2004"]]},"note":"Aos et al. (2004), as part of a meta-analysis of early intervention programs, conducted a CBA on the NFP intervention and demonstrated a cost saving to governments of $2.88 for every dollar spent in the form of reduced public assistance outcomes, criminality, child abuse and neglect, teen pregnancy, substance abuse and public assistance outcomes.","title":"Benefits and Costs of Prevention and Early Intervention Programs for Youth","type":"article-journal","volume":"0999"},"uris":["http://www.mendeley.com/documents/?uuid=bda09b7a-fc8c-49e9-b66d-3cc68cb278c9"]}],"mendeley":{"formattedCitation":"(Aos Lieb, R., Mayfield, J., Miller, M &amp; Pennucci, A., 2004)","manualFormatting":"(see e.g., Aos Lieb, R., Mayfield, J., Miller, M &amp; Pennucci, A., 2004)","plainTextFormattedCitation":"(Aos Lieb, R., Mayfield, J., Miller, M &amp; Pennucci, A., 2004)","previouslyFormattedCitation":"(Aos Lieb, R., Mayfield, J., Miller, M &amp; Pennucci, A., 2004)"},"properties":{"noteIndex":0},"schema":"https://github.com/citation-style-language/schema/raw/master/csl-citation.json"}</w:instrText>
      </w:r>
      <w:r w:rsidRPr="00733314">
        <w:rPr>
          <w:szCs w:val="24"/>
          <w:lang w:val="en-US"/>
        </w:rPr>
        <w:fldChar w:fldCharType="separate"/>
      </w:r>
      <w:r>
        <w:rPr>
          <w:noProof/>
          <w:szCs w:val="24"/>
          <w:lang w:val="en-US"/>
        </w:rPr>
        <w:t>(</w:t>
      </w:r>
      <w:r w:rsidRPr="00733314">
        <w:rPr>
          <w:noProof/>
          <w:szCs w:val="24"/>
          <w:lang w:val="en-US"/>
        </w:rPr>
        <w:t>see e.g., Aos Lieb, R., Mayfield, J., Miller, M &amp; Pennucci, A., 2004)</w:t>
      </w:r>
      <w:r w:rsidRPr="00733314">
        <w:rPr>
          <w:szCs w:val="24"/>
          <w:lang w:val="en-US"/>
        </w:rPr>
        <w:fldChar w:fldCharType="end"/>
      </w:r>
      <w:r>
        <w:rPr>
          <w:szCs w:val="24"/>
          <w:lang w:val="en-US"/>
        </w:rPr>
        <w:t>.</w:t>
      </w:r>
    </w:p>
  </w:footnote>
  <w:footnote w:id="4">
    <w:p w:rsidR="008F07B1" w:rsidRPr="00A67397" w:rsidRDefault="008F07B1" w:rsidP="008F07B1">
      <w:pPr>
        <w:pStyle w:val="FootnoteText"/>
        <w:rPr>
          <w:lang w:val="en-US"/>
        </w:rPr>
      </w:pPr>
      <w:r>
        <w:rPr>
          <w:rStyle w:val="FootnoteReference"/>
        </w:rPr>
        <w:footnoteRef/>
      </w:r>
      <w:r w:rsidRPr="00A67397">
        <w:rPr>
          <w:lang w:val="en-US"/>
        </w:rPr>
        <w:t xml:space="preserve"> </w:t>
      </w:r>
      <w:r>
        <w:rPr>
          <w:lang w:val="en-US"/>
        </w:rPr>
        <w:t xml:space="preserve">Jury awards commonly result from victims suing third parties who are responsible for the crime because of some form of negligence. Violent offenders often lack sufficient assets and thus are infrequently sued </w:t>
      </w:r>
      <w:r>
        <w:rPr>
          <w:lang w:val="en-US"/>
        </w:rPr>
        <w:fldChar w:fldCharType="begin" w:fldLock="1"/>
      </w:r>
      <w:r>
        <w:rPr>
          <w:lang w:val="en-US"/>
        </w:rPr>
        <w:instrText>ADDIN CSL_CITATION {"citationItems":[{"id":"ITEM-1","itemData":{"author":[{"dropping-particle":"","family":"Miller","given":"Ted R","non-dropping-particle":"","parse-names":false,"suffix":""},{"dropping-particle":"","family":"Cohen","given":"Mark A","non-dropping-particle":"","parse-names":false,"suffix":""},{"dropping-particle":"","family":"Wiersema","given":"Brian","non-dropping-particle":"","parse-names":false,"suffix":""}],"id":"ITEM-1","issued":{"date-parts":[["1996"]]},"note":"One of the earliest methods for estimating the intangible costs of individual crimes was based on the portion of jury awards compensating for pain, suffering and loss of quality of life (Cohen 1988; Miller, Cohen &amp;amp; Wiersema 1996).\n\nMiller, Cohen and Wiersema (1996) developed estimates of the costs of crime for different types of violent and property crime, incorporating property damage and loss, medical care, mental health care, victim and social services, productivity and police services. Intangible costs, such as pain, suffering and lost quality of life, were also included in the estimates.\n\nThe Washington State Institute, a leader in CBA for criminal justice, uses estimates of per unit victim costs developed by Miller, Cohen and Wiersema (1996) to perform cost-benefit analyses.","publisher-place":"Washington, DC","title":"Victim costs and consequences: A new look","type":"report"},"uris":["http://www.mendeley.com/documents/?uuid=9ff2d43d-3d0f-4073-ab84-a5eb05512646"]}],"mendeley":{"formattedCitation":"(Miller, Cohen, &amp; Wiersema, 1996)","plainTextFormattedCitation":"(Miller, Cohen, &amp; Wiersema, 1996)","previouslyFormattedCitation":"(Miller, Cohen, &amp; Wiersema, 1996)"},"properties":{"noteIndex":0},"schema":"https://github.com/citation-style-language/schema/raw/master/csl-citation.json"}</w:instrText>
      </w:r>
      <w:r>
        <w:rPr>
          <w:lang w:val="en-US"/>
        </w:rPr>
        <w:fldChar w:fldCharType="separate"/>
      </w:r>
      <w:r w:rsidRPr="002D4DBC">
        <w:rPr>
          <w:noProof/>
          <w:lang w:val="en-US"/>
        </w:rPr>
        <w:t>(Miller, Cohen, &amp; Wiersema, 1996)</w:t>
      </w:r>
      <w:r>
        <w:rPr>
          <w:lang w:val="en-US"/>
        </w:rPr>
        <w:fldChar w:fldCharType="end"/>
      </w:r>
      <w:r>
        <w:rPr>
          <w:lang w:val="en-US"/>
        </w:rPr>
        <w:t>.</w:t>
      </w:r>
    </w:p>
  </w:footnote>
  <w:footnote w:id="5">
    <w:p w:rsidR="008F07B1" w:rsidRPr="00B8629B" w:rsidRDefault="008F07B1" w:rsidP="008F07B1">
      <w:pPr>
        <w:pStyle w:val="FootnoteText"/>
        <w:rPr>
          <w:lang w:val="en-US"/>
        </w:rPr>
      </w:pPr>
      <w:r w:rsidRPr="00A20341">
        <w:rPr>
          <w:rStyle w:val="FootnoteReference"/>
        </w:rPr>
        <w:footnoteRef/>
      </w:r>
      <w:r w:rsidRPr="00B8629B">
        <w:rPr>
          <w:lang w:val="en-US"/>
        </w:rPr>
        <w:t xml:space="preserve"> </w:t>
      </w:r>
      <w:r>
        <w:rPr>
          <w:lang w:val="en-US"/>
        </w:rPr>
        <w:t>Generally, the</w:t>
      </w:r>
      <w:r w:rsidRPr="00A46A19">
        <w:rPr>
          <w:lang w:val="en-US"/>
        </w:rPr>
        <w:t xml:space="preserve"> quantity is measured in life years. The quality is measured by an index (e.g. disability weights), which takes the value one if the observed individual is in perfect health and the value zero if it is dead. For all other health conditions, the index takes a value between zero and one depending on the extent of medical restriction. To calculate an individual health profile, the number of life years spen</w:t>
      </w:r>
      <w:r>
        <w:rPr>
          <w:lang w:val="en-US"/>
        </w:rPr>
        <w:t>t</w:t>
      </w:r>
      <w:r w:rsidRPr="00A46A19">
        <w:rPr>
          <w:lang w:val="en-US"/>
        </w:rPr>
        <w:t xml:space="preserve"> in a particular state of health is multiplied by the index value capturing that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B1" w:rsidRDefault="008F0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B1" w:rsidRDefault="008F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B1"/>
    <w:multiLevelType w:val="hybridMultilevel"/>
    <w:tmpl w:val="EBB4E52E"/>
    <w:lvl w:ilvl="0" w:tplc="A02E92CA">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B188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0F469A4"/>
    <w:multiLevelType w:val="hybridMultilevel"/>
    <w:tmpl w:val="8D8466EE"/>
    <w:lvl w:ilvl="0" w:tplc="3C8C2778">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B1"/>
    <w:rsid w:val="000A754C"/>
    <w:rsid w:val="008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CAC"/>
  <w15:chartTrackingRefBased/>
  <w15:docId w15:val="{7BF245C8-B6D8-4B24-85D3-200125A0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B1"/>
    <w:pPr>
      <w:spacing w:line="480" w:lineRule="auto"/>
      <w:jc w:val="both"/>
    </w:pPr>
    <w:rPr>
      <w:rFonts w:ascii="Times New Roman" w:hAnsi="Times New Roman"/>
      <w:sz w:val="24"/>
      <w:lang w:val="de-DE"/>
    </w:rPr>
  </w:style>
  <w:style w:type="paragraph" w:styleId="Heading1">
    <w:name w:val="heading 1"/>
    <w:basedOn w:val="Normal"/>
    <w:next w:val="Normal"/>
    <w:link w:val="Heading1Char"/>
    <w:uiPriority w:val="9"/>
    <w:qFormat/>
    <w:rsid w:val="008F07B1"/>
    <w:pPr>
      <w:keepNext/>
      <w:keepLines/>
      <w:numPr>
        <w:numId w:val="1"/>
      </w:numPr>
      <w:spacing w:before="240" w:after="0"/>
      <w:ind w:left="431" w:hanging="43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F07B1"/>
    <w:pPr>
      <w:keepNext/>
      <w:keepLines/>
      <w:numPr>
        <w:ilvl w:val="1"/>
        <w:numId w:val="1"/>
      </w:numPr>
      <w:spacing w:before="40" w:after="0"/>
      <w:ind w:left="578" w:hanging="578"/>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F07B1"/>
    <w:pPr>
      <w:keepNext/>
      <w:keepLines/>
      <w:numPr>
        <w:ilvl w:val="2"/>
        <w:numId w:val="1"/>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F07B1"/>
    <w:pPr>
      <w:keepNext/>
      <w:keepLines/>
      <w:numPr>
        <w:ilvl w:val="3"/>
        <w:numId w:val="1"/>
      </w:numPr>
      <w:spacing w:before="40" w:after="0"/>
      <w:ind w:left="862" w:hanging="862"/>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8F07B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07B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07B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07B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07B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B1"/>
    <w:rPr>
      <w:rFonts w:ascii="Times New Roman" w:eastAsiaTheme="majorEastAsia" w:hAnsi="Times New Roman" w:cstheme="majorBidi"/>
      <w:b/>
      <w:color w:val="000000" w:themeColor="text1"/>
      <w:sz w:val="32"/>
      <w:szCs w:val="32"/>
      <w:lang w:val="de-DE"/>
    </w:rPr>
  </w:style>
  <w:style w:type="character" w:customStyle="1" w:styleId="Heading2Char">
    <w:name w:val="Heading 2 Char"/>
    <w:basedOn w:val="DefaultParagraphFont"/>
    <w:link w:val="Heading2"/>
    <w:uiPriority w:val="9"/>
    <w:rsid w:val="008F07B1"/>
    <w:rPr>
      <w:rFonts w:ascii="Times New Roman" w:eastAsiaTheme="majorEastAsia" w:hAnsi="Times New Roman" w:cstheme="majorBidi"/>
      <w:b/>
      <w:color w:val="000000" w:themeColor="text1"/>
      <w:sz w:val="26"/>
      <w:szCs w:val="26"/>
      <w:lang w:val="de-DE"/>
    </w:rPr>
  </w:style>
  <w:style w:type="character" w:customStyle="1" w:styleId="Heading3Char">
    <w:name w:val="Heading 3 Char"/>
    <w:basedOn w:val="DefaultParagraphFont"/>
    <w:link w:val="Heading3"/>
    <w:uiPriority w:val="9"/>
    <w:rsid w:val="008F07B1"/>
    <w:rPr>
      <w:rFonts w:ascii="Times New Roman" w:eastAsiaTheme="majorEastAsia" w:hAnsi="Times New Roman" w:cstheme="majorBidi"/>
      <w:b/>
      <w:color w:val="000000" w:themeColor="text1"/>
      <w:sz w:val="24"/>
      <w:szCs w:val="24"/>
      <w:lang w:val="de-DE"/>
    </w:rPr>
  </w:style>
  <w:style w:type="character" w:customStyle="1" w:styleId="Heading4Char">
    <w:name w:val="Heading 4 Char"/>
    <w:basedOn w:val="DefaultParagraphFont"/>
    <w:link w:val="Heading4"/>
    <w:uiPriority w:val="9"/>
    <w:rsid w:val="008F07B1"/>
    <w:rPr>
      <w:rFonts w:ascii="Times New Roman" w:eastAsiaTheme="majorEastAsia" w:hAnsi="Times New Roman" w:cstheme="majorBidi"/>
      <w:i/>
      <w:iCs/>
      <w:color w:val="000000" w:themeColor="text1"/>
      <w:sz w:val="24"/>
      <w:lang w:val="de-DE"/>
    </w:rPr>
  </w:style>
  <w:style w:type="character" w:customStyle="1" w:styleId="Heading5Char">
    <w:name w:val="Heading 5 Char"/>
    <w:basedOn w:val="DefaultParagraphFont"/>
    <w:link w:val="Heading5"/>
    <w:uiPriority w:val="9"/>
    <w:rsid w:val="008F07B1"/>
    <w:rPr>
      <w:rFonts w:asciiTheme="majorHAnsi" w:eastAsiaTheme="majorEastAsia" w:hAnsiTheme="majorHAnsi" w:cstheme="majorBidi"/>
      <w:color w:val="2E74B5" w:themeColor="accent1" w:themeShade="BF"/>
      <w:sz w:val="24"/>
      <w:lang w:val="de-DE"/>
    </w:rPr>
  </w:style>
  <w:style w:type="character" w:customStyle="1" w:styleId="Heading6Char">
    <w:name w:val="Heading 6 Char"/>
    <w:basedOn w:val="DefaultParagraphFont"/>
    <w:link w:val="Heading6"/>
    <w:uiPriority w:val="9"/>
    <w:semiHidden/>
    <w:rsid w:val="008F07B1"/>
    <w:rPr>
      <w:rFonts w:asciiTheme="majorHAnsi" w:eastAsiaTheme="majorEastAsia" w:hAnsiTheme="majorHAnsi" w:cstheme="majorBidi"/>
      <w:color w:val="1F4D78" w:themeColor="accent1" w:themeShade="7F"/>
      <w:sz w:val="24"/>
      <w:lang w:val="de-DE"/>
    </w:rPr>
  </w:style>
  <w:style w:type="character" w:customStyle="1" w:styleId="Heading7Char">
    <w:name w:val="Heading 7 Char"/>
    <w:basedOn w:val="DefaultParagraphFont"/>
    <w:link w:val="Heading7"/>
    <w:uiPriority w:val="9"/>
    <w:semiHidden/>
    <w:rsid w:val="008F07B1"/>
    <w:rPr>
      <w:rFonts w:asciiTheme="majorHAnsi" w:eastAsiaTheme="majorEastAsia" w:hAnsiTheme="majorHAnsi" w:cstheme="majorBidi"/>
      <w:i/>
      <w:iCs/>
      <w:color w:val="1F4D78" w:themeColor="accent1" w:themeShade="7F"/>
      <w:sz w:val="24"/>
      <w:lang w:val="de-DE"/>
    </w:rPr>
  </w:style>
  <w:style w:type="character" w:customStyle="1" w:styleId="Heading8Char">
    <w:name w:val="Heading 8 Char"/>
    <w:basedOn w:val="DefaultParagraphFont"/>
    <w:link w:val="Heading8"/>
    <w:uiPriority w:val="9"/>
    <w:semiHidden/>
    <w:rsid w:val="008F07B1"/>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8F07B1"/>
    <w:rPr>
      <w:rFonts w:asciiTheme="majorHAnsi" w:eastAsiaTheme="majorEastAsia" w:hAnsiTheme="majorHAnsi" w:cstheme="majorBidi"/>
      <w:i/>
      <w:iCs/>
      <w:color w:val="272727" w:themeColor="text1" w:themeTint="D8"/>
      <w:sz w:val="21"/>
      <w:szCs w:val="21"/>
      <w:lang w:val="de-DE"/>
    </w:rPr>
  </w:style>
  <w:style w:type="paragraph" w:styleId="Header">
    <w:name w:val="header"/>
    <w:basedOn w:val="Normal"/>
    <w:link w:val="HeaderChar"/>
    <w:uiPriority w:val="99"/>
    <w:unhideWhenUsed/>
    <w:rsid w:val="008F07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7B1"/>
    <w:rPr>
      <w:rFonts w:ascii="Times New Roman" w:hAnsi="Times New Roman"/>
      <w:sz w:val="24"/>
      <w:lang w:val="de-DE"/>
    </w:rPr>
  </w:style>
  <w:style w:type="paragraph" w:styleId="Footer">
    <w:name w:val="footer"/>
    <w:basedOn w:val="Normal"/>
    <w:link w:val="FooterChar"/>
    <w:uiPriority w:val="99"/>
    <w:unhideWhenUsed/>
    <w:rsid w:val="008F0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7B1"/>
    <w:rPr>
      <w:rFonts w:ascii="Times New Roman" w:hAnsi="Times New Roman"/>
      <w:sz w:val="24"/>
      <w:lang w:val="de-DE"/>
    </w:rPr>
  </w:style>
  <w:style w:type="paragraph" w:styleId="FootnoteText">
    <w:name w:val="footnote text"/>
    <w:basedOn w:val="Normal"/>
    <w:link w:val="FootnoteTextChar"/>
    <w:uiPriority w:val="99"/>
    <w:unhideWhenUsed/>
    <w:rsid w:val="008F07B1"/>
    <w:pPr>
      <w:spacing w:after="0" w:line="240" w:lineRule="auto"/>
    </w:pPr>
    <w:rPr>
      <w:sz w:val="20"/>
      <w:szCs w:val="20"/>
    </w:rPr>
  </w:style>
  <w:style w:type="character" w:customStyle="1" w:styleId="FootnoteTextChar">
    <w:name w:val="Footnote Text Char"/>
    <w:basedOn w:val="DefaultParagraphFont"/>
    <w:link w:val="FootnoteText"/>
    <w:uiPriority w:val="99"/>
    <w:rsid w:val="008F07B1"/>
    <w:rPr>
      <w:rFonts w:ascii="Times New Roman" w:hAnsi="Times New Roman"/>
      <w:sz w:val="20"/>
      <w:szCs w:val="20"/>
      <w:lang w:val="de-DE"/>
    </w:rPr>
  </w:style>
  <w:style w:type="character" w:styleId="FootnoteReference">
    <w:name w:val="footnote reference"/>
    <w:basedOn w:val="DefaultParagraphFont"/>
    <w:uiPriority w:val="99"/>
    <w:semiHidden/>
    <w:unhideWhenUsed/>
    <w:rsid w:val="008F07B1"/>
    <w:rPr>
      <w:vertAlign w:val="superscript"/>
    </w:rPr>
  </w:style>
  <w:style w:type="table" w:styleId="TableGrid">
    <w:name w:val="Table Grid"/>
    <w:basedOn w:val="TableNormal"/>
    <w:uiPriority w:val="39"/>
    <w:rsid w:val="008F07B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F07B1"/>
    <w:pPr>
      <w:spacing w:after="200" w:line="240" w:lineRule="auto"/>
    </w:pPr>
    <w:rPr>
      <w:i/>
      <w:iCs/>
      <w:color w:val="44546A" w:themeColor="text2"/>
      <w:sz w:val="18"/>
      <w:szCs w:val="18"/>
    </w:rPr>
  </w:style>
  <w:style w:type="table" w:customStyle="1" w:styleId="Tabellenraster1">
    <w:name w:val="Tabellenraster1"/>
    <w:basedOn w:val="TableNormal"/>
    <w:next w:val="TableGrid"/>
    <w:uiPriority w:val="39"/>
    <w:rsid w:val="008F07B1"/>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8F07B1"/>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7750</Words>
  <Characters>44176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Aleeya Rahman</dc:creator>
  <cp:keywords/>
  <dc:description/>
  <cp:lastModifiedBy>Aleeya Rahman</cp:lastModifiedBy>
  <cp:revision>1</cp:revision>
  <dcterms:created xsi:type="dcterms:W3CDTF">2020-10-30T17:23:00Z</dcterms:created>
  <dcterms:modified xsi:type="dcterms:W3CDTF">2020-10-30T17:26:00Z</dcterms:modified>
</cp:coreProperties>
</file>