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AA" w:rsidRDefault="00E24CAA" w:rsidP="00E24CAA">
      <w:pPr>
        <w:pStyle w:val="Title"/>
        <w:jc w:val="both"/>
        <w:rPr>
          <w:sz w:val="24"/>
        </w:rPr>
      </w:pPr>
      <w:r w:rsidRPr="0016210A">
        <w:rPr>
          <w:sz w:val="24"/>
        </w:rPr>
        <w:t xml:space="preserve">Economic Evaluation of Investments in Airports: </w:t>
      </w:r>
      <w:r w:rsidRPr="00B96672">
        <w:rPr>
          <w:sz w:val="24"/>
        </w:rPr>
        <w:t>Recent Developments</w:t>
      </w:r>
    </w:p>
    <w:p w:rsidR="00E24CAA" w:rsidRPr="00B96672" w:rsidRDefault="00E24CAA" w:rsidP="00E24CAA">
      <w:pPr>
        <w:spacing w:after="0" w:line="240" w:lineRule="auto"/>
        <w:rPr>
          <w:szCs w:val="32"/>
          <w:lang w:val="en-GB"/>
        </w:rPr>
      </w:pPr>
      <w:r w:rsidRPr="00B96672">
        <w:rPr>
          <w:szCs w:val="32"/>
          <w:lang w:val="en-GB"/>
        </w:rPr>
        <w:t>Peter Forsyth</w:t>
      </w:r>
      <w:r>
        <w:rPr>
          <w:szCs w:val="32"/>
          <w:lang w:val="en-GB"/>
        </w:rPr>
        <w:t xml:space="preserve">, </w:t>
      </w:r>
      <w:r w:rsidRPr="00B96672">
        <w:rPr>
          <w:szCs w:val="32"/>
          <w:lang w:val="en-GB"/>
        </w:rPr>
        <w:t>Hans-Martin Niemeier</w:t>
      </w:r>
      <w:r>
        <w:rPr>
          <w:szCs w:val="32"/>
          <w:lang w:val="en-GB"/>
        </w:rPr>
        <w:t xml:space="preserve">, and </w:t>
      </w:r>
      <w:r w:rsidRPr="00B96672">
        <w:rPr>
          <w:szCs w:val="32"/>
          <w:lang w:val="en-GB"/>
        </w:rPr>
        <w:t>Eric Tchouamou Njoya</w:t>
      </w:r>
    </w:p>
    <w:p w:rsidR="00E24CAA" w:rsidRPr="00B96672" w:rsidRDefault="00E24CAA" w:rsidP="00E24CAA">
      <w:pPr>
        <w:pStyle w:val="Title"/>
        <w:jc w:val="both"/>
        <w:rPr>
          <w:sz w:val="24"/>
        </w:rPr>
      </w:pPr>
    </w:p>
    <w:p w:rsidR="00E24CAA" w:rsidRPr="00E24CAA" w:rsidRDefault="00E24CAA" w:rsidP="00E24CAA">
      <w:pPr>
        <w:jc w:val="both"/>
        <w:rPr>
          <w:b/>
          <w:bCs/>
          <w:lang w:val="en-GB"/>
        </w:rPr>
      </w:pPr>
    </w:p>
    <w:p w:rsidR="00E24CAA" w:rsidRPr="00E24CAA" w:rsidRDefault="00E24CAA" w:rsidP="00E24CAA">
      <w:pPr>
        <w:jc w:val="both"/>
        <w:rPr>
          <w:b/>
          <w:bCs/>
          <w:lang w:val="en-GB"/>
        </w:rPr>
      </w:pPr>
      <w:r w:rsidRPr="00E24CAA">
        <w:rPr>
          <w:b/>
          <w:bCs/>
          <w:lang w:val="en-GB"/>
        </w:rPr>
        <w:t>APPENDIX</w:t>
      </w:r>
    </w:p>
    <w:p w:rsidR="00E24CAA" w:rsidRPr="00B96672" w:rsidRDefault="00E24CAA" w:rsidP="00E24CAA">
      <w:pPr>
        <w:jc w:val="both"/>
        <w:rPr>
          <w:bCs/>
          <w:lang w:val="en-GB"/>
        </w:rPr>
      </w:pPr>
    </w:p>
    <w:tbl>
      <w:tblPr>
        <w:tblW w:w="1003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4536"/>
      </w:tblGrid>
      <w:tr w:rsidR="00E24CAA" w:rsidRPr="00B96672" w:rsidTr="00273DCE">
        <w:trPr>
          <w:trHeight w:val="291"/>
        </w:trPr>
        <w:tc>
          <w:tcPr>
            <w:tcW w:w="959" w:type="dxa"/>
            <w:tcBorders>
              <w:bottom w:val="single" w:sz="12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80"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color w:val="000080"/>
                <w:sz w:val="20"/>
                <w:lang w:val="en-GB"/>
              </w:rPr>
              <w:t>Country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80"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color w:val="000080"/>
                <w:sz w:val="20"/>
                <w:lang w:val="en-GB"/>
              </w:rPr>
              <w:t>Airport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80"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color w:val="000080"/>
                <w:sz w:val="20"/>
                <w:lang w:val="en-GB"/>
              </w:rPr>
              <w:t xml:space="preserve">Author (Year) 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80"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color w:val="000080"/>
                <w:sz w:val="20"/>
                <w:lang w:val="en-GB"/>
              </w:rPr>
              <w:t xml:space="preserve">Purpose </w:t>
            </w:r>
          </w:p>
        </w:tc>
      </w:tr>
      <w:tr w:rsidR="00E24CAA" w:rsidRPr="00B96672" w:rsidTr="00273DCE">
        <w:trPr>
          <w:trHeight w:val="291"/>
        </w:trPr>
        <w:tc>
          <w:tcPr>
            <w:tcW w:w="10031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color w:val="000080"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sz w:val="20"/>
                <w:lang w:val="en-GB"/>
              </w:rPr>
              <w:t>Europe</w:t>
            </w:r>
          </w:p>
        </w:tc>
      </w:tr>
      <w:tr w:rsidR="00E24CAA" w:rsidRPr="00B96672" w:rsidTr="00273DCE">
        <w:trPr>
          <w:trHeight w:val="291"/>
        </w:trPr>
        <w:tc>
          <w:tcPr>
            <w:tcW w:w="959" w:type="dxa"/>
            <w:tcBorders>
              <w:bottom w:val="single" w:sz="12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80"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sz w:val="20"/>
                <w:lang w:val="en-GB"/>
              </w:rPr>
              <w:t>Austria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Vienna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Österreichisches Institut für Wirtschaftsforschung (2007)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Significance</w:t>
            </w:r>
          </w:p>
        </w:tc>
      </w:tr>
      <w:tr w:rsidR="00E24CAA" w:rsidRPr="00B96672" w:rsidTr="00273DCE">
        <w:trPr>
          <w:trHeight w:val="471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sz w:val="20"/>
                <w:lang w:val="en-GB"/>
              </w:rPr>
              <w:t>Germany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Frankfurt Hahn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Klophaus &amp; Schaper (2005)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Regional airports</w:t>
            </w:r>
          </w:p>
        </w:tc>
      </w:tr>
      <w:tr w:rsidR="00E24CAA" w:rsidRPr="00B96672" w:rsidTr="00273DCE">
        <w:trPr>
          <w:trHeight w:val="334"/>
        </w:trPr>
        <w:tc>
          <w:tcPr>
            <w:tcW w:w="959" w:type="dxa"/>
            <w:vMerge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Heuer/Klophaus (2007)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Regional airports</w:t>
            </w:r>
          </w:p>
        </w:tc>
      </w:tr>
      <w:tr w:rsidR="00E24CAA" w:rsidRPr="00B96672" w:rsidTr="00273DCE">
        <w:trPr>
          <w:trHeight w:val="460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Frankfurt/</w:t>
            </w:r>
          </w:p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Main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Deutsches Institut für Luftverkehrsstatistik (1965)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Significance</w:t>
            </w:r>
            <w:r w:rsidRPr="00B96672" w:rsidDel="00302984">
              <w:rPr>
                <w:rFonts w:eastAsia="Calibri"/>
                <w:bCs/>
                <w:sz w:val="20"/>
                <w:lang w:val="en-GB"/>
              </w:rPr>
              <w:t xml:space="preserve"> </w:t>
            </w:r>
          </w:p>
        </w:tc>
      </w:tr>
      <w:tr w:rsidR="00E24CAA" w:rsidRPr="00B96672" w:rsidTr="00273DCE">
        <w:trPr>
          <w:trHeight w:val="76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 xml:space="preserve">Bulwien et al. (1999); </w:t>
            </w:r>
          </w:p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4536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Expansion</w:t>
            </w:r>
          </w:p>
        </w:tc>
      </w:tr>
      <w:tr w:rsidR="00E24CAA" w:rsidRPr="00B96672" w:rsidTr="00273DCE">
        <w:trPr>
          <w:trHeight w:val="256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Hujer et al. (2004)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Expansion</w:t>
            </w:r>
          </w:p>
        </w:tc>
      </w:tr>
      <w:tr w:rsidR="00E24CAA" w:rsidRPr="00B96672" w:rsidTr="00273DCE">
        <w:trPr>
          <w:trHeight w:val="223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Hannover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Hübl et al. (2019)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Night Curfew</w:t>
            </w:r>
          </w:p>
        </w:tc>
      </w:tr>
      <w:tr w:rsidR="00E24CAA" w:rsidRPr="00B96672" w:rsidTr="00273DCE">
        <w:trPr>
          <w:trHeight w:val="158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Hübl et al. (2008)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Night Curfew</w:t>
            </w:r>
          </w:p>
        </w:tc>
      </w:tr>
      <w:tr w:rsidR="00E24CAA" w:rsidRPr="00B96672" w:rsidTr="00273DCE">
        <w:trPr>
          <w:trHeight w:val="122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Hübl et al. (2001)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Regional analysis</w:t>
            </w:r>
          </w:p>
        </w:tc>
      </w:tr>
      <w:tr w:rsidR="00E24CAA" w:rsidRPr="00B96672" w:rsidTr="00273DCE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Hübl and Hohls (1984)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Significance</w:t>
            </w:r>
          </w:p>
        </w:tc>
      </w:tr>
      <w:tr w:rsidR="00E24CAA" w:rsidRPr="00B96672" w:rsidTr="00273DCE">
        <w:trPr>
          <w:trHeight w:val="147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Hamburg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Beine et al. (2006)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Regional analysis</w:t>
            </w:r>
          </w:p>
        </w:tc>
      </w:tr>
      <w:tr w:rsidR="00E24CAA" w:rsidRPr="00B96672" w:rsidTr="00273DCE">
        <w:trPr>
          <w:trHeight w:val="147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Aring (1996)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Regional analysis</w:t>
            </w:r>
          </w:p>
        </w:tc>
      </w:tr>
      <w:tr w:rsidR="00E24CAA" w:rsidRPr="00B96672" w:rsidTr="00273DCE">
        <w:trPr>
          <w:trHeight w:val="304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Berlin airports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iCs/>
                <w:sz w:val="20"/>
                <w:lang w:val="en-GB"/>
              </w:rPr>
              <w:t>Baum et al. (2005)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New airport</w:t>
            </w:r>
          </w:p>
        </w:tc>
      </w:tr>
      <w:tr w:rsidR="00E24CAA" w:rsidRPr="00B96672" w:rsidTr="00273DCE">
        <w:trPr>
          <w:trHeight w:val="316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iCs/>
                <w:sz w:val="20"/>
                <w:lang w:val="en-GB"/>
              </w:rPr>
              <w:t>Baum et al. (2007)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Night curfew</w:t>
            </w:r>
          </w:p>
        </w:tc>
      </w:tr>
      <w:tr w:rsidR="00E24CAA" w:rsidRPr="00B96672" w:rsidTr="00273DCE">
        <w:trPr>
          <w:trHeight w:val="354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Dortmund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Malina et al. (2008)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Night curfew</w:t>
            </w:r>
          </w:p>
        </w:tc>
      </w:tr>
      <w:tr w:rsidR="00E24CAA" w:rsidRPr="00B96672" w:rsidTr="00273DCE">
        <w:trPr>
          <w:trHeight w:val="147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Rostock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Klophaus (2009)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Regional airport</w:t>
            </w:r>
          </w:p>
        </w:tc>
      </w:tr>
      <w:tr w:rsidR="00E24CAA" w:rsidRPr="00B96672" w:rsidTr="00273DCE">
        <w:trPr>
          <w:trHeight w:val="306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Cologne/Bonn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Booz et al. (2008)</w:t>
            </w:r>
          </w:p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4536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 xml:space="preserve">Policy criteria: Night Curfew </w:t>
            </w:r>
          </w:p>
        </w:tc>
      </w:tr>
      <w:tr w:rsidR="00E24CAA" w:rsidRPr="00B96672" w:rsidTr="00273DCE">
        <w:trPr>
          <w:trHeight w:val="667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Munic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4F33C6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de-DE"/>
              </w:rPr>
            </w:pPr>
            <w:r w:rsidRPr="004F33C6">
              <w:rPr>
                <w:rFonts w:eastAsia="Calibri"/>
                <w:bCs/>
                <w:sz w:val="20"/>
                <w:lang w:val="de-DE"/>
              </w:rPr>
              <w:t>Bayerisches Staatsministerium fur Wirtschaft, Verkehr und Technologie (2002)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 xml:space="preserve">Significance </w:t>
            </w:r>
          </w:p>
        </w:tc>
      </w:tr>
      <w:tr w:rsidR="00E24CAA" w:rsidRPr="00B96672" w:rsidTr="00273DCE">
        <w:trPr>
          <w:trHeight w:val="351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Basler and Bulwien (2007)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3rd runway</w:t>
            </w:r>
          </w:p>
        </w:tc>
      </w:tr>
      <w:tr w:rsidR="00E24CAA" w:rsidRPr="00B96672" w:rsidTr="00273DCE">
        <w:trPr>
          <w:trHeight w:val="239"/>
        </w:trPr>
        <w:tc>
          <w:tcPr>
            <w:tcW w:w="959" w:type="dxa"/>
            <w:vMerge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 xml:space="preserve">Kassel-Calden 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Klophaus (2006)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criterion: New regional airport</w:t>
            </w:r>
          </w:p>
        </w:tc>
      </w:tr>
      <w:tr w:rsidR="00E24CAA" w:rsidRPr="00B96672" w:rsidTr="00273DCE">
        <w:trPr>
          <w:trHeight w:val="239"/>
        </w:trPr>
        <w:tc>
          <w:tcPr>
            <w:tcW w:w="959" w:type="dxa"/>
            <w:vMerge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Klophaus (2013)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criterion: New regional airport</w:t>
            </w:r>
          </w:p>
        </w:tc>
      </w:tr>
      <w:tr w:rsidR="00E24CAA" w:rsidRPr="00B96672" w:rsidTr="00273DCE">
        <w:trPr>
          <w:trHeight w:val="239"/>
        </w:trPr>
        <w:tc>
          <w:tcPr>
            <w:tcW w:w="959" w:type="dxa"/>
            <w:vMerge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Zweibrücken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Heuer/Klophaus (2006)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criterion: Regional airport</w:t>
            </w:r>
          </w:p>
        </w:tc>
      </w:tr>
      <w:tr w:rsidR="00E24CAA" w:rsidRPr="00B96672" w:rsidTr="00273DCE">
        <w:trPr>
          <w:trHeight w:val="614"/>
        </w:trPr>
        <w:tc>
          <w:tcPr>
            <w:tcW w:w="959" w:type="dxa"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sz w:val="20"/>
                <w:lang w:val="en-GB"/>
              </w:rPr>
              <w:t>Greece</w:t>
            </w: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Athens Airprot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Prastacos, Kostopoulos, Stroblos, Ioannou and Repoussis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Regional analysis</w:t>
            </w:r>
          </w:p>
        </w:tc>
      </w:tr>
      <w:tr w:rsidR="00E24CAA" w:rsidRPr="00B96672" w:rsidTr="00273DCE">
        <w:trPr>
          <w:trHeight w:val="1272"/>
        </w:trPr>
        <w:tc>
          <w:tcPr>
            <w:tcW w:w="959" w:type="dxa"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sz w:val="20"/>
                <w:lang w:val="en-GB"/>
              </w:rPr>
              <w:t>Netherlands</w:t>
            </w: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Shiphol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Haakfort et al. (2001)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Regional analysis</w:t>
            </w:r>
          </w:p>
        </w:tc>
      </w:tr>
      <w:tr w:rsidR="00E24CAA" w:rsidRPr="00B96672" w:rsidTr="00273DCE">
        <w:trPr>
          <w:trHeight w:val="630"/>
        </w:trPr>
        <w:tc>
          <w:tcPr>
            <w:tcW w:w="959" w:type="dxa"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sz w:val="20"/>
                <w:lang w:val="en-GB"/>
              </w:rPr>
              <w:t>Italy</w:t>
            </w: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Milano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CLAS and SACBO (2005)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Regional Analysis</w:t>
            </w:r>
          </w:p>
        </w:tc>
      </w:tr>
      <w:tr w:rsidR="00E24CAA" w:rsidRPr="00B96672" w:rsidTr="00273DCE">
        <w:trPr>
          <w:trHeight w:val="836"/>
        </w:trPr>
        <w:tc>
          <w:tcPr>
            <w:tcW w:w="959" w:type="dxa"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sz w:val="20"/>
                <w:lang w:val="en-GB"/>
              </w:rPr>
              <w:lastRenderedPageBreak/>
              <w:t>Slovenia</w:t>
            </w: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Ljubljana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International Ljubljana Jože Pučnik Airport (2010)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Masterplan/ expansion</w:t>
            </w:r>
          </w:p>
        </w:tc>
      </w:tr>
      <w:tr w:rsidR="00E24CAA" w:rsidRPr="00B96672" w:rsidTr="00273DCE">
        <w:trPr>
          <w:trHeight w:val="708"/>
        </w:trPr>
        <w:tc>
          <w:tcPr>
            <w:tcW w:w="959" w:type="dxa"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sz w:val="20"/>
                <w:lang w:val="en-GB"/>
              </w:rPr>
              <w:t>Spain</w:t>
            </w: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Aeropuerto de Vitoria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Macho et.al. (1999)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Regional Analysis</w:t>
            </w:r>
          </w:p>
        </w:tc>
      </w:tr>
      <w:tr w:rsidR="00E24CAA" w:rsidRPr="00B96672" w:rsidTr="00273DCE">
        <w:trPr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sz w:val="20"/>
                <w:lang w:val="en-GB"/>
              </w:rPr>
              <w:t>Switzerland</w:t>
            </w: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Zurich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Infras (2005)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Loss of hub carrier/ movement cap</w:t>
            </w:r>
          </w:p>
        </w:tc>
      </w:tr>
      <w:tr w:rsidR="00E24CAA" w:rsidRPr="00B96672" w:rsidTr="00273DCE">
        <w:trPr>
          <w:trHeight w:val="400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sz w:val="20"/>
                <w:lang w:val="en-GB"/>
              </w:rPr>
              <w:t>United Kingdom</w:t>
            </w: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Edinburgh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York Aviation (2009)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Masterplan/ expansion</w:t>
            </w:r>
          </w:p>
        </w:tc>
      </w:tr>
      <w:tr w:rsidR="00E24CAA" w:rsidRPr="00B96672" w:rsidTr="00273DCE">
        <w:trPr>
          <w:trHeight w:val="263"/>
        </w:trPr>
        <w:tc>
          <w:tcPr>
            <w:tcW w:w="959" w:type="dxa"/>
            <w:vMerge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Aberdeen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York Aviation (2010)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Masterplan/ expansion</w:t>
            </w:r>
          </w:p>
        </w:tc>
      </w:tr>
      <w:tr w:rsidR="00E24CAA" w:rsidRPr="00B96672" w:rsidTr="00273DCE">
        <w:trPr>
          <w:trHeight w:val="268"/>
        </w:trPr>
        <w:tc>
          <w:tcPr>
            <w:tcW w:w="959" w:type="dxa"/>
            <w:vMerge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Glasgow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York Aviation (2010)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Masterplan/ expansion)</w:t>
            </w:r>
          </w:p>
        </w:tc>
      </w:tr>
      <w:tr w:rsidR="00E24CAA" w:rsidRPr="00B96672" w:rsidTr="00273DCE">
        <w:trPr>
          <w:trHeight w:val="413"/>
        </w:trPr>
        <w:tc>
          <w:tcPr>
            <w:tcW w:w="959" w:type="dxa"/>
            <w:vMerge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Luton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18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 xml:space="preserve">Oxford Economics </w:t>
            </w:r>
            <w:r w:rsidRPr="00B96672">
              <w:rPr>
                <w:rFonts w:eastAsia="Calibri"/>
                <w:bCs/>
                <w:sz w:val="18"/>
                <w:lang w:val="en-GB"/>
              </w:rPr>
              <w:t>(2015)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Strengthening the role of regional airports</w:t>
            </w:r>
          </w:p>
        </w:tc>
      </w:tr>
      <w:tr w:rsidR="00E24CAA" w:rsidRPr="00B96672" w:rsidTr="00273DCE">
        <w:trPr>
          <w:trHeight w:val="363"/>
        </w:trPr>
        <w:tc>
          <w:tcPr>
            <w:tcW w:w="959" w:type="dxa"/>
            <w:vMerge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London City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ARUP (2019)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Masterplan/ expansion</w:t>
            </w:r>
          </w:p>
        </w:tc>
      </w:tr>
      <w:tr w:rsidR="00E24CAA" w:rsidRPr="00B96672" w:rsidTr="00273DCE">
        <w:trPr>
          <w:trHeight w:val="1134"/>
        </w:trPr>
        <w:tc>
          <w:tcPr>
            <w:tcW w:w="959" w:type="dxa"/>
            <w:vMerge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BAA Scottish Airports (Glasgow, Edinburg, Aberdeen)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Fraser of Allander Institute (2002)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Airport policy/ expansion</w:t>
            </w:r>
          </w:p>
        </w:tc>
      </w:tr>
      <w:tr w:rsidR="00E24CAA" w:rsidRPr="00B96672" w:rsidTr="00273DCE">
        <w:trPr>
          <w:trHeight w:val="777"/>
        </w:trPr>
        <w:tc>
          <w:tcPr>
            <w:tcW w:w="10031" w:type="dxa"/>
            <w:gridSpan w:val="4"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sz w:val="20"/>
                <w:lang w:val="en-GB"/>
              </w:rPr>
              <w:t>North America</w:t>
            </w:r>
          </w:p>
        </w:tc>
      </w:tr>
      <w:tr w:rsidR="00E24CAA" w:rsidRPr="00B96672" w:rsidTr="00273DCE">
        <w:trPr>
          <w:trHeight w:val="264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sz w:val="20"/>
                <w:lang w:val="en-GB"/>
              </w:rPr>
              <w:t>USA</w:t>
            </w: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Anchorage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Mc Dowell Group (2012)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Significance</w:t>
            </w:r>
          </w:p>
        </w:tc>
      </w:tr>
      <w:tr w:rsidR="00E24CAA" w:rsidRPr="00B96672" w:rsidTr="00273DCE">
        <w:trPr>
          <w:trHeight w:val="396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Atlanta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Dept. of Aviation Atlanta  (2009)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Significance</w:t>
            </w:r>
          </w:p>
        </w:tc>
      </w:tr>
      <w:tr w:rsidR="00E24CAA" w:rsidRPr="00B96672" w:rsidTr="00273DCE">
        <w:trPr>
          <w:trHeight w:val="415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 xml:space="preserve">Huntington </w:t>
            </w:r>
          </w:p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Tri-State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Marshall University Huntington (2006)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Significance</w:t>
            </w:r>
          </w:p>
        </w:tc>
      </w:tr>
      <w:tr w:rsidR="00E24CAA" w:rsidRPr="00B96672" w:rsidTr="00273DCE">
        <w:trPr>
          <w:trHeight w:val="365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La Crosse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Wisconsin Dept. of Transportation (2011)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Significance</w:t>
            </w:r>
          </w:p>
        </w:tc>
      </w:tr>
      <w:tr w:rsidR="00E24CAA" w:rsidRPr="00B96672" w:rsidTr="00273DCE">
        <w:trPr>
          <w:trHeight w:val="282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Port Columbus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CDM Smith (2012)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Significance</w:t>
            </w:r>
          </w:p>
        </w:tc>
      </w:tr>
      <w:tr w:rsidR="00E24CAA" w:rsidRPr="00B96672" w:rsidTr="00273DCE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Richmond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CHMURA Economics and Analytics (2008)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Significance</w:t>
            </w:r>
          </w:p>
        </w:tc>
      </w:tr>
      <w:tr w:rsidR="00E24CAA" w:rsidRPr="00B96672" w:rsidTr="00273DCE">
        <w:trPr>
          <w:trHeight w:val="486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E24CAA" w:rsidRPr="00B96672" w:rsidRDefault="00E24CAA" w:rsidP="00273DCE">
            <w:pPr>
              <w:spacing w:after="0" w:line="240" w:lineRule="auto"/>
              <w:ind w:left="113" w:right="113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sz w:val="20"/>
                <w:lang w:val="en-GB"/>
              </w:rPr>
              <w:t xml:space="preserve">Canada </w:t>
            </w: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Comox Valley Airport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InterVistas (2007)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Regional Analysis</w:t>
            </w:r>
          </w:p>
        </w:tc>
      </w:tr>
      <w:tr w:rsidR="00E24CAA" w:rsidRPr="00B96672" w:rsidTr="00273DCE">
        <w:trPr>
          <w:trHeight w:val="280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Ottawa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LeighFisher Canada (2011)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Significance</w:t>
            </w:r>
          </w:p>
        </w:tc>
      </w:tr>
      <w:tr w:rsidR="00E24CAA" w:rsidRPr="00B96672" w:rsidTr="00273DCE">
        <w:trPr>
          <w:trHeight w:val="256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Toronto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InterVistas (2012)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Regional Analysis</w:t>
            </w:r>
          </w:p>
        </w:tc>
      </w:tr>
      <w:tr w:rsidR="00E24CAA" w:rsidRPr="00B96672" w:rsidTr="00273DCE">
        <w:trPr>
          <w:trHeight w:val="411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Vancouver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InterVistas (2010)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Regional Analysis</w:t>
            </w:r>
          </w:p>
        </w:tc>
      </w:tr>
      <w:tr w:rsidR="00E24CAA" w:rsidRPr="00B96672" w:rsidTr="00273DCE">
        <w:trPr>
          <w:trHeight w:val="403"/>
        </w:trPr>
        <w:tc>
          <w:tcPr>
            <w:tcW w:w="959" w:type="dxa"/>
            <w:vMerge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Victoria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Inside Canadian Airports (2005)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Significance</w:t>
            </w:r>
          </w:p>
        </w:tc>
      </w:tr>
      <w:tr w:rsidR="00E24CAA" w:rsidRPr="00B96672" w:rsidTr="00273DCE">
        <w:trPr>
          <w:trHeight w:val="266"/>
        </w:trPr>
        <w:tc>
          <w:tcPr>
            <w:tcW w:w="95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sz w:val="20"/>
                <w:lang w:val="en-GB"/>
              </w:rPr>
              <w:t>Africa</w:t>
            </w: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</w:p>
        </w:tc>
      </w:tr>
      <w:tr w:rsidR="00E24CAA" w:rsidRPr="00B96672" w:rsidTr="00273DCE">
        <w:trPr>
          <w:trHeight w:val="1675"/>
        </w:trPr>
        <w:tc>
          <w:tcPr>
            <w:tcW w:w="95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lang w:val="en-GB"/>
              </w:rPr>
            </w:pPr>
            <w:r w:rsidRPr="00B96672">
              <w:rPr>
                <w:rFonts w:eastAsia="Calibri"/>
                <w:b/>
                <w:bCs/>
                <w:sz w:val="20"/>
                <w:lang w:val="en-GB"/>
              </w:rPr>
              <w:t>South Africa</w:t>
            </w:r>
          </w:p>
        </w:tc>
        <w:tc>
          <w:tcPr>
            <w:tcW w:w="1417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 xml:space="preserve"> OR Tambo International Airport, Durban International Airport and Cape Town International Airport</w:t>
            </w:r>
          </w:p>
        </w:tc>
        <w:tc>
          <w:tcPr>
            <w:tcW w:w="3119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Luke, R. and J. Walters (2010)</w:t>
            </w:r>
          </w:p>
        </w:tc>
        <w:tc>
          <w:tcPr>
            <w:tcW w:w="4536" w:type="dxa"/>
            <w:shd w:val="clear" w:color="auto" w:fill="auto"/>
          </w:tcPr>
          <w:p w:rsidR="00E24CAA" w:rsidRPr="00B96672" w:rsidRDefault="00E24CAA" w:rsidP="00273DCE">
            <w:pPr>
              <w:spacing w:after="0" w:line="240" w:lineRule="auto"/>
              <w:jc w:val="both"/>
              <w:rPr>
                <w:rFonts w:eastAsia="Calibri"/>
                <w:bCs/>
                <w:sz w:val="20"/>
                <w:lang w:val="en-GB"/>
              </w:rPr>
            </w:pPr>
            <w:r w:rsidRPr="00B96672">
              <w:rPr>
                <w:rFonts w:eastAsia="Calibri"/>
                <w:bCs/>
                <w:sz w:val="20"/>
                <w:lang w:val="en-GB"/>
              </w:rPr>
              <w:t>Policy Criteria: Justification of airport infrastructure</w:t>
            </w:r>
          </w:p>
        </w:tc>
      </w:tr>
    </w:tbl>
    <w:p w:rsidR="00913549" w:rsidRDefault="00913549">
      <w:bookmarkStart w:id="0" w:name="_GoBack"/>
      <w:bookmarkEnd w:id="0"/>
    </w:p>
    <w:sectPr w:rsidR="00913549" w:rsidSect="00E24CAA">
      <w:pgSz w:w="11905" w:h="1683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AA"/>
    <w:rsid w:val="00913549"/>
    <w:rsid w:val="00E2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ABEE"/>
  <w15:chartTrackingRefBased/>
  <w15:docId w15:val="{50410E01-EAFD-447A-92A4-97280F2C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24CAA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E24CA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rsid w:val="00E24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Aleeya Rahman</dc:creator>
  <cp:keywords/>
  <dc:description/>
  <cp:lastModifiedBy>Aleeya Rahman</cp:lastModifiedBy>
  <cp:revision>1</cp:revision>
  <dcterms:created xsi:type="dcterms:W3CDTF">2020-10-30T18:06:00Z</dcterms:created>
  <dcterms:modified xsi:type="dcterms:W3CDTF">2020-10-30T18:08:00Z</dcterms:modified>
</cp:coreProperties>
</file>