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0FC81" w14:textId="77777777" w:rsidR="00101352" w:rsidRPr="00B70A62" w:rsidRDefault="00101352" w:rsidP="00D359FB">
      <w:pPr>
        <w:pStyle w:val="Heading1"/>
        <w:numPr>
          <w:ilvl w:val="0"/>
          <w:numId w:val="0"/>
        </w:numPr>
        <w:ind w:left="432"/>
        <w:jc w:val="left"/>
      </w:pPr>
      <w:r w:rsidRPr="00B70A62">
        <w:t>Online Appendix</w:t>
      </w:r>
      <w:r w:rsidR="00D359FB">
        <w:t xml:space="preserve"> to Richard Belzer, Achieving Economically Feasible Drinking Water Regulation</w:t>
      </w:r>
      <w:r>
        <w:rPr>
          <w:rStyle w:val="FootnoteReference"/>
        </w:rPr>
        <w:footnoteReference w:id="1"/>
      </w:r>
    </w:p>
    <w:p w14:paraId="00E3C3EC" w14:textId="77777777" w:rsidR="00101352" w:rsidRDefault="00101352" w:rsidP="00101352">
      <w:pPr>
        <w:rPr>
          <w:rFonts w:eastAsiaTheme="majorEastAsia" w:cstheme="majorBidi"/>
          <w:color w:val="000000" w:themeColor="text1"/>
          <w:szCs w:val="32"/>
        </w:rPr>
      </w:pPr>
      <w:r>
        <w:rPr>
          <w:rFonts w:eastAsiaTheme="majorEastAsia" w:cstheme="majorBidi"/>
          <w:color w:val="000000" w:themeColor="text1"/>
          <w:szCs w:val="32"/>
        </w:rPr>
        <w:t xml:space="preserve">This Appendix provides reviews of the economic feasibility of individual post-SDWA 1996 National Primary Drinking Water Regulations (NPDWRs), summarized in Section </w:t>
      </w:r>
      <w:r>
        <w:rPr>
          <w:rFonts w:eastAsiaTheme="majorEastAsia" w:cstheme="majorBidi"/>
          <w:color w:val="000000" w:themeColor="text1"/>
          <w:szCs w:val="32"/>
        </w:rPr>
        <w:fldChar w:fldCharType="begin"/>
      </w:r>
      <w:r>
        <w:rPr>
          <w:rFonts w:eastAsiaTheme="majorEastAsia" w:cstheme="majorBidi"/>
          <w:color w:val="000000" w:themeColor="text1"/>
          <w:szCs w:val="32"/>
        </w:rPr>
        <w:instrText xml:space="preserve"> REF _Ref1395473 \n </w:instrText>
      </w:r>
      <w:r>
        <w:rPr>
          <w:rFonts w:eastAsiaTheme="majorEastAsia" w:cstheme="majorBidi"/>
          <w:color w:val="000000" w:themeColor="text1"/>
          <w:szCs w:val="32"/>
        </w:rPr>
        <w:fldChar w:fldCharType="separate"/>
      </w:r>
      <w:r>
        <w:rPr>
          <w:rFonts w:eastAsiaTheme="majorEastAsia" w:cstheme="majorBidi"/>
          <w:color w:val="000000" w:themeColor="text1"/>
          <w:szCs w:val="32"/>
        </w:rPr>
        <w:t>5</w:t>
      </w:r>
      <w:r>
        <w:rPr>
          <w:rFonts w:eastAsiaTheme="majorEastAsia" w:cstheme="majorBidi"/>
          <w:color w:val="000000" w:themeColor="text1"/>
          <w:szCs w:val="32"/>
        </w:rPr>
        <w:fldChar w:fldCharType="end"/>
      </w:r>
      <w:r>
        <w:rPr>
          <w:rFonts w:eastAsiaTheme="majorEastAsia" w:cstheme="majorBidi"/>
          <w:color w:val="000000" w:themeColor="text1"/>
          <w:szCs w:val="32"/>
        </w:rPr>
        <w:t>. Subsection (</w:t>
      </w:r>
      <w:r>
        <w:rPr>
          <w:rFonts w:eastAsiaTheme="majorEastAsia" w:cstheme="majorBidi"/>
          <w:color w:val="000000" w:themeColor="text1"/>
          <w:szCs w:val="32"/>
        </w:rPr>
        <w:fldChar w:fldCharType="begin"/>
      </w:r>
      <w:r>
        <w:rPr>
          <w:rFonts w:eastAsiaTheme="majorEastAsia" w:cstheme="majorBidi"/>
          <w:color w:val="000000" w:themeColor="text1"/>
          <w:szCs w:val="32"/>
        </w:rPr>
        <w:instrText xml:space="preserve"> REF _Ref533755323 \n </w:instrText>
      </w:r>
      <w:r>
        <w:rPr>
          <w:rFonts w:eastAsiaTheme="majorEastAsia" w:cstheme="majorBidi"/>
          <w:color w:val="000000" w:themeColor="text1"/>
          <w:szCs w:val="32"/>
        </w:rPr>
        <w:fldChar w:fldCharType="separate"/>
      </w:r>
      <w:r>
        <w:rPr>
          <w:rFonts w:eastAsiaTheme="majorEastAsia" w:cstheme="majorBidi"/>
          <w:color w:val="000000" w:themeColor="text1"/>
          <w:szCs w:val="32"/>
        </w:rPr>
        <w:t>a</w:t>
      </w:r>
      <w:r>
        <w:rPr>
          <w:rFonts w:eastAsiaTheme="majorEastAsia" w:cstheme="majorBidi"/>
          <w:color w:val="000000" w:themeColor="text1"/>
          <w:szCs w:val="32"/>
        </w:rPr>
        <w:fldChar w:fldCharType="end"/>
      </w:r>
      <w:r>
        <w:rPr>
          <w:rFonts w:eastAsiaTheme="majorEastAsia" w:cstheme="majorBidi"/>
          <w:color w:val="000000" w:themeColor="text1"/>
          <w:szCs w:val="32"/>
        </w:rPr>
        <w:t>) covers the cluster of regulations dealing with microbial risks, disinfection, disinfection byproducts, and disinfection-resistant pathogens. Subsection (</w:t>
      </w:r>
      <w:r>
        <w:rPr>
          <w:rFonts w:eastAsiaTheme="majorEastAsia" w:cstheme="majorBidi"/>
          <w:color w:val="000000" w:themeColor="text1"/>
          <w:szCs w:val="32"/>
        </w:rPr>
        <w:fldChar w:fldCharType="begin"/>
      </w:r>
      <w:r>
        <w:rPr>
          <w:rFonts w:eastAsiaTheme="majorEastAsia" w:cstheme="majorBidi"/>
          <w:color w:val="000000" w:themeColor="text1"/>
          <w:szCs w:val="32"/>
        </w:rPr>
        <w:instrText xml:space="preserve"> REF _Ref1048291 \n </w:instrText>
      </w:r>
      <w:r>
        <w:rPr>
          <w:rFonts w:eastAsiaTheme="majorEastAsia" w:cstheme="majorBidi"/>
          <w:color w:val="000000" w:themeColor="text1"/>
          <w:szCs w:val="32"/>
        </w:rPr>
        <w:fldChar w:fldCharType="separate"/>
      </w:r>
      <w:r>
        <w:rPr>
          <w:rFonts w:eastAsiaTheme="majorEastAsia" w:cstheme="majorBidi"/>
          <w:color w:val="000000" w:themeColor="text1"/>
          <w:szCs w:val="32"/>
        </w:rPr>
        <w:t>b</w:t>
      </w:r>
      <w:r>
        <w:rPr>
          <w:rFonts w:eastAsiaTheme="majorEastAsia" w:cstheme="majorBidi"/>
          <w:color w:val="000000" w:themeColor="text1"/>
          <w:szCs w:val="32"/>
        </w:rPr>
        <w:fldChar w:fldCharType="end"/>
      </w:r>
      <w:r>
        <w:rPr>
          <w:rFonts w:eastAsiaTheme="majorEastAsia" w:cstheme="majorBidi"/>
          <w:color w:val="000000" w:themeColor="text1"/>
          <w:szCs w:val="32"/>
        </w:rPr>
        <w:t>) summarizes NPDWRs for radionuclides, arsenic, and lead and copper. Subsection (</w:t>
      </w:r>
      <w:r>
        <w:rPr>
          <w:rFonts w:eastAsiaTheme="majorEastAsia" w:cstheme="majorBidi"/>
          <w:color w:val="000000" w:themeColor="text1"/>
          <w:szCs w:val="32"/>
        </w:rPr>
        <w:fldChar w:fldCharType="begin"/>
      </w:r>
      <w:r>
        <w:rPr>
          <w:rFonts w:eastAsiaTheme="majorEastAsia" w:cstheme="majorBidi"/>
          <w:color w:val="000000" w:themeColor="text1"/>
          <w:szCs w:val="32"/>
        </w:rPr>
        <w:instrText xml:space="preserve"> REF _Ref533755494 \n </w:instrText>
      </w:r>
      <w:r>
        <w:rPr>
          <w:rFonts w:eastAsiaTheme="majorEastAsia" w:cstheme="majorBidi"/>
          <w:color w:val="000000" w:themeColor="text1"/>
          <w:szCs w:val="32"/>
        </w:rPr>
        <w:fldChar w:fldCharType="separate"/>
      </w:r>
      <w:r>
        <w:rPr>
          <w:rFonts w:eastAsiaTheme="majorEastAsia" w:cstheme="majorBidi"/>
          <w:color w:val="000000" w:themeColor="text1"/>
          <w:szCs w:val="32"/>
        </w:rPr>
        <w:t>c</w:t>
      </w:r>
      <w:r>
        <w:rPr>
          <w:rFonts w:eastAsiaTheme="majorEastAsia" w:cstheme="majorBidi"/>
          <w:color w:val="000000" w:themeColor="text1"/>
          <w:szCs w:val="32"/>
        </w:rPr>
        <w:fldChar w:fldCharType="end"/>
      </w:r>
      <w:r>
        <w:rPr>
          <w:rFonts w:eastAsiaTheme="majorEastAsia" w:cstheme="majorBidi"/>
          <w:color w:val="000000" w:themeColor="text1"/>
          <w:szCs w:val="32"/>
        </w:rPr>
        <w:t>) summarizes miscellaneous drinking water regulations related to routine bacterial pathogens. Only those regulations in which USEPA asserted that benefits justified costs and conducted an economic analysis are included.</w:t>
      </w:r>
    </w:p>
    <w:p w14:paraId="3CDFED28" w14:textId="77777777" w:rsidR="00101352" w:rsidRDefault="00101352" w:rsidP="00101352">
      <w:r>
        <w:t xml:space="preserve">This review generally takes as given USEPA’s benefit and cost estimates unless alternative estimates were readily available at the time, even when there are good reasons to doubt their accuracy (e.g., due to structural bias) or reliability (e.g., due to excess precision). Certain methodological errors were endemic, such as estimating expenditures instead of opportunity costs and calculating net benefits as the difference between opportunity-cost based benefits and expenditures. These errors are noted but generally ignored here because the objective is to ascertain whether prior adoption of the economic feasibility principle would have resulted in a different decision when all other factors are held constant. Thus, it is assumed that if the Agency had adopted and followed the economic feasibility principle it would not have used different data or analytic methods to estimate benefits and costs.  It is further assumed that the </w:t>
      </w:r>
      <w:r>
        <w:lastRenderedPageBreak/>
        <w:t xml:space="preserve">relevant economic analyses were not reverse-engineered to “serve primarily as a mechanism for promoting agency decisions rather than scrutinizing them” </w:t>
      </w:r>
      <w:r>
        <w:rPr>
          <w:noProof/>
        </w:rPr>
        <w:t>(Wagner 2009, p. 56)</w:t>
      </w:r>
      <w:r>
        <w:t>.</w:t>
      </w:r>
    </w:p>
    <w:p w14:paraId="7599E8C0" w14:textId="77777777" w:rsidR="00101352" w:rsidRPr="003043A3" w:rsidRDefault="00101352" w:rsidP="00101352">
      <w:r>
        <w:t>There is no practical way to review the Agency’s work and draw inferences concerning what decisions it might have made under the economic feasibility principle where these assumptions do not hold or if superior analytic methods had been used. Nonetheless, it is clear that if USEPA had adopted and applied the economic feasibility principle, Maximum Contaminant Levels (MCLs) would have been less stringent, the minimum system size subject to regulation would have been larger, or some combination thereof. These effects would have been more pronounced if the Agency had estimated opportunity costs instead of expenditures, and objectively estimated risks and benefits as required by SDWA 1996 § 1412</w:t>
      </w:r>
      <w:r>
        <w:rPr>
          <w:rFonts w:eastAsiaTheme="minorHAnsi"/>
          <w:bCs/>
          <w:sz w:val="18"/>
          <w:szCs w:val="18"/>
        </w:rPr>
        <w:t>(</w:t>
      </w:r>
      <w:r w:rsidRPr="001632F6">
        <w:rPr>
          <w:bCs/>
        </w:rPr>
        <w:t>b)(3)(A)</w:t>
      </w:r>
      <w:r>
        <w:t>.</w:t>
      </w:r>
    </w:p>
    <w:p w14:paraId="2C831586" w14:textId="77777777" w:rsidR="00101352" w:rsidRDefault="00101352" w:rsidP="00101352">
      <w:pPr>
        <w:pStyle w:val="Heading2"/>
        <w:numPr>
          <w:ilvl w:val="1"/>
          <w:numId w:val="10"/>
        </w:numPr>
      </w:pPr>
      <w:bookmarkStart w:id="0" w:name="_Ref533755323"/>
      <w:r>
        <w:t>Microbial/Disinfection Byproducts Rule Cluster</w:t>
      </w:r>
      <w:bookmarkEnd w:id="0"/>
      <w:r>
        <w:t xml:space="preserve"> </w:t>
      </w:r>
    </w:p>
    <w:p w14:paraId="3BDD6E40" w14:textId="77777777" w:rsidR="00101352" w:rsidRDefault="00101352" w:rsidP="00101352">
      <w:r>
        <w:t>USEPA formed the Microbial-Disinfection/Disinfection Byproducts Advisory Committee (M-DBP) in February 1997 as a follow-on regulatory negotiation (colloquially referred to as a “Reg Neg”) to a similar proceeding conducted in 1992-93. The domain of the more recent Reg Neg included certain proposed rules specifically referenced in SDWA 1996 § 1412(b)(2)(C).</w:t>
      </w:r>
    </w:p>
    <w:p w14:paraId="38DB6C69" w14:textId="77777777" w:rsidR="00101352" w:rsidRDefault="00101352" w:rsidP="00101352">
      <w:r>
        <w:t xml:space="preserve">The suite of rules in this cluster seeks to address microbial risks through disinfection, countervailing risks posed by disinfection byproducts (DPBs) after disinfection, and microbial contaminants that are resistant to control by disinfection (principally </w:t>
      </w:r>
      <w:r w:rsidRPr="00300BE5">
        <w:rPr>
          <w:i/>
        </w:rPr>
        <w:t xml:space="preserve">Cryptosporidium </w:t>
      </w:r>
      <w:r w:rsidRPr="00D1594A">
        <w:t xml:space="preserve">and </w:t>
      </w:r>
      <w:r w:rsidRPr="00300BE5">
        <w:rPr>
          <w:i/>
        </w:rPr>
        <w:t>Giardia</w:t>
      </w:r>
      <w:r>
        <w:t>).  Risks were estimated and characterized in accordance with standard Agency methods designed to ensure that they were not “</w:t>
      </w:r>
      <w:r w:rsidRPr="00815937">
        <w:rPr>
          <w:i/>
        </w:rPr>
        <w:t>unrealistically</w:t>
      </w:r>
      <w:r>
        <w:t xml:space="preserve"> conservative” </w:t>
      </w:r>
      <w:r>
        <w:rPr>
          <w:noProof/>
        </w:rPr>
        <w:t xml:space="preserve">(Browner 1995, p. 3, emphasis added). This is </w:t>
      </w:r>
      <w:r>
        <w:t xml:space="preserve">an ambiguous but clearly different approach than required by SDWA 1996 § 1412(b)(3)(A)(i), which states that risk assessments must be objective. For example, in the Stage 1 Disinfection Byproduct Rule (Stage 1 DBPR), USEPA described the scientific </w:t>
      </w:r>
      <w:r>
        <w:lastRenderedPageBreak/>
        <w:t xml:space="preserve">evidence that DBPs cause bladder cancer and reproductive and developmental effects as “inconclusive” </w:t>
      </w:r>
      <w:r>
        <w:rPr>
          <w:noProof/>
        </w:rPr>
        <w:t>(USEPA 1998f, p. 5-15)</w:t>
      </w:r>
      <w:r>
        <w:t xml:space="preserve">. Nevertheless, the Agency assumed that there was an 80% probability that the weak associations with bladder cancer observed in some epidemiological studies were causal </w:t>
      </w:r>
      <w:r>
        <w:rPr>
          <w:noProof/>
        </w:rPr>
        <w:t>(USEPA 1998f, pp. 4-12 and 6-20, Exhibit 4.5)</w:t>
      </w:r>
      <w:r>
        <w:t>.</w:t>
      </w:r>
    </w:p>
    <w:p w14:paraId="54DAC5D8" w14:textId="4E8A07B6" w:rsidR="00101352" w:rsidRPr="00F9055F" w:rsidRDefault="00101352" w:rsidP="00101352">
      <w:r>
        <w:t xml:space="preserve">In addition to the M-DBP, three Small Business Advocacy Review Panels (SBARs) were created pursuant to § 244 of the Small Business Regulatory Enforcement and Flexibility Act of 1974 </w:t>
      </w:r>
      <w:r>
        <w:rPr>
          <w:noProof/>
        </w:rPr>
        <w:t>(SBREFA 1996)</w:t>
      </w:r>
      <w:r>
        <w:t xml:space="preserve">. Each panel included multiple stakeholders and nongovernmental experts </w:t>
      </w:r>
      <w:r>
        <w:rPr>
          <w:noProof/>
        </w:rPr>
        <w:t xml:space="preserve">(USEPA 2018c, </w:t>
      </w:r>
      <w:r w:rsidR="004D0E95">
        <w:rPr>
          <w:noProof/>
        </w:rPr>
        <w:t>2018</w:t>
      </w:r>
      <w:r>
        <w:rPr>
          <w:noProof/>
        </w:rPr>
        <w:t>d, 2019)</w:t>
      </w:r>
      <w:r>
        <w:t xml:space="preserve">. According to </w:t>
      </w:r>
      <w:r>
        <w:rPr>
          <w:noProof/>
        </w:rPr>
        <w:t>Raucher and Cromwell (2004)</w:t>
      </w:r>
      <w:r>
        <w:t xml:space="preserve">, USEPA’s </w:t>
      </w:r>
      <w:r w:rsidRPr="001F1995">
        <w:rPr>
          <w:i/>
        </w:rPr>
        <w:t>ex ante</w:t>
      </w:r>
      <w:r>
        <w:t xml:space="preserve"> compliance cost estimates were not controversial largely because of stakeholder participation. However, because USEPA predetermined that the MCLs for total trihalomethanes, haloacetic acids, and bromate that were proposed prior to SDWA 1996 would not be changed </w:t>
      </w:r>
      <w:r>
        <w:rPr>
          <w:noProof/>
        </w:rPr>
        <w:t>(USEPA 2009c, Sec. 2.1)</w:t>
      </w:r>
      <w:r>
        <w:t xml:space="preserve">, the M-DBP and SBARs did not examine the rules’ economic feasibility. </w:t>
      </w:r>
    </w:p>
    <w:p w14:paraId="67E4D72B" w14:textId="77777777" w:rsidR="00101352" w:rsidRDefault="00101352" w:rsidP="00101352">
      <w:r>
        <w:t xml:space="preserve">The two DBP rules were intended to reduce (primarily) bladder cancer risks assumed to result from exposure to disinfectants used to reduce certain pathogens. In 1996, bladder cancer incidence was 36.7 per 100,000 for men and 20.8 per 100,000 for women. NCI’s SEER 9 data indicate that rates rose a statistically significant 0.2% from 1986-2007 and declined a statistically significant 1.1% from 2007-2015 </w:t>
      </w:r>
      <w:r>
        <w:rPr>
          <w:noProof/>
        </w:rPr>
        <w:t>(National Cancer Institute 2018a)</w:t>
      </w:r>
      <w:r>
        <w:t xml:space="preserve">. Relative to the approximately 80,000 new bladder cancer cases per year reported </w:t>
      </w:r>
      <w:r>
        <w:rPr>
          <w:noProof/>
        </w:rPr>
        <w:t>(National Cancer Institute 2018b)</w:t>
      </w:r>
      <w:r>
        <w:t xml:space="preserve">, the number of bladder cancer cases attributed by USEPA to drinking water disinfectants has been uncertain </w:t>
      </w:r>
      <w:r>
        <w:rPr>
          <w:noProof/>
        </w:rPr>
        <w:t>(USEPA 1998c, p. 69434)</w:t>
      </w:r>
      <w:r>
        <w:t xml:space="preserve"> or small </w:t>
      </w:r>
      <w:r>
        <w:rPr>
          <w:noProof/>
        </w:rPr>
        <w:t>(USEPA 1998f, p. 4-21 [0–9,300]; 2005b, Exhibit 6.20 [275–874])</w:t>
      </w:r>
      <w:r>
        <w:t xml:space="preserve">. USEPA acknowledged that no causal relationship had been established </w:t>
      </w:r>
      <w:r>
        <w:rPr>
          <w:noProof/>
        </w:rPr>
        <w:t>(USEPA 2005b, p. 6-65)</w:t>
      </w:r>
      <w:r>
        <w:t>.</w:t>
      </w:r>
    </w:p>
    <w:p w14:paraId="511F7572" w14:textId="77777777" w:rsidR="00101352" w:rsidRDefault="00101352" w:rsidP="00101352">
      <w:r>
        <w:lastRenderedPageBreak/>
        <w:t>The three surface water treatment rules and the ground water rule were intended to control c</w:t>
      </w:r>
      <w:r w:rsidRPr="00F871EC">
        <w:t>ryptosporidi</w:t>
      </w:r>
      <w:r>
        <w:t>osis a</w:t>
      </w:r>
      <w:r w:rsidRPr="00F871EC">
        <w:t xml:space="preserve">nd </w:t>
      </w:r>
      <w:r>
        <w:t xml:space="preserve">giardiasis from parasites that are resistant to inactivation by disinfection. Cryptosporidiosis and giardiasis </w:t>
      </w:r>
      <w:r w:rsidRPr="006F6B14">
        <w:t xml:space="preserve">result from the ingestion of </w:t>
      </w:r>
      <w:r>
        <w:t xml:space="preserve">sufficient </w:t>
      </w:r>
      <w:r w:rsidRPr="006F6B14">
        <w:rPr>
          <w:i/>
        </w:rPr>
        <w:t>Cryptosporidium</w:t>
      </w:r>
      <w:r w:rsidRPr="006F6B14">
        <w:t xml:space="preserve"> oocysts </w:t>
      </w:r>
      <w:r>
        <w:t xml:space="preserve">or </w:t>
      </w:r>
      <w:r>
        <w:rPr>
          <w:i/>
        </w:rPr>
        <w:t xml:space="preserve">Giardia </w:t>
      </w:r>
      <w:r w:rsidRPr="00E50AB1">
        <w:t>trophozoites</w:t>
      </w:r>
      <w:r>
        <w:t xml:space="preserve"> t</w:t>
      </w:r>
      <w:r w:rsidRPr="006F6B14">
        <w:t>hrough the consumption of fecally contaminated food or water</w:t>
      </w:r>
      <w:r>
        <w:t>,</w:t>
      </w:r>
      <w:r w:rsidRPr="006F6B14">
        <w:t xml:space="preserve"> or person-to-person or animal-to-person transmission</w:t>
      </w:r>
      <w:r>
        <w:t xml:space="preserve"> </w:t>
      </w:r>
      <w:r>
        <w:rPr>
          <w:noProof/>
        </w:rPr>
        <w:t>(Fayer et al. 2000)</w:t>
      </w:r>
      <w:r>
        <w:t xml:space="preserve">. Most cases go undiagnosed, few who are infected seek medical attention, hospitalization is rare. Mortality from cryptosporidiosis is rarer still and highly concentrated among immunocompromised subpopulations; mortality from giardiasis is virtually nonexistent </w:t>
      </w:r>
      <w:r>
        <w:rPr>
          <w:noProof/>
        </w:rPr>
        <w:t>(Painter et al. 2015a; Painter et al. 2015b; Centers for Disease Control and Prevention 2017c)</w:t>
      </w:r>
      <w:r>
        <w:t xml:space="preserve">. Both parasites are endemic, but infections are associated with warm weather use of recreational water, which has been estimated to be responsible for 37% of all cases of cryptosporidiosis </w:t>
      </w:r>
      <w:r>
        <w:rPr>
          <w:noProof/>
        </w:rPr>
        <w:t>(Centers for Disease Control and Prevention 2017a, p. 14)</w:t>
      </w:r>
      <w:r>
        <w:t>.</w:t>
      </w:r>
    </w:p>
    <w:p w14:paraId="3EE974AD" w14:textId="77777777" w:rsidR="00101352" w:rsidRDefault="00101352" w:rsidP="00101352">
      <w:r>
        <w:t xml:space="preserve">In 1999, incidence of cryptosporidiosis across the continental U.S. ranged from 0.1 to 7.2 cases per 100,000, with a mean of 1.0 case per 100,000 </w:t>
      </w:r>
      <w:r>
        <w:rPr>
          <w:noProof/>
        </w:rPr>
        <w:t>(Hlavsa et al. 2005)</w:t>
      </w:r>
      <w:r>
        <w:t xml:space="preserve">. By 2011, the mean and range had grown to 3.0 and 17.7 per 100,000, respectively </w:t>
      </w:r>
      <w:r>
        <w:rPr>
          <w:noProof/>
        </w:rPr>
        <w:t>(Painter et al. 2015b)</w:t>
      </w:r>
      <w:r>
        <w:t xml:space="preserve">. FDA’s FoodNet (a nonrepresentative sample of 10 States comprising about 15% of the U.S. population) reported no statistically significant change in foodborne cryptosporidiosis incidence from 2006-13 </w:t>
      </w:r>
      <w:r>
        <w:rPr>
          <w:noProof/>
        </w:rPr>
        <w:t>(Gilliss et al. 2013; Crim et al. 2014)</w:t>
      </w:r>
      <w:r>
        <w:t>.</w:t>
      </w:r>
      <w:r w:rsidRPr="007D52FA">
        <w:t xml:space="preserve"> </w:t>
      </w:r>
      <w:r>
        <w:t xml:space="preserve">Underreporting is believed to be widespread because cryptosporidiosis and giardiasis are typically mild gastrointestinal infections, etiologic confirmation requires laboratory analysis, and confirmation of the underlying pathogen has no value added for guiding treatment decisions. Hospitalization is infrequent and mortality is rare, especially since the development of retroviral drugs to treat AIDS. From 2000-17, the average annual numbers of nationwide cryptosporidiosis and giardiasis cases were 7,274 and 16,747, </w:t>
      </w:r>
      <w:r>
        <w:lastRenderedPageBreak/>
        <w:t xml:space="preserve">respectively </w:t>
      </w:r>
      <w:r>
        <w:rPr>
          <w:noProof/>
        </w:rPr>
        <w:t>(Centers for Disease Control and Prevention 2018a)</w:t>
      </w:r>
      <w:r>
        <w:t xml:space="preserve">. The average annual numbers of nationwide mortalities were 1.74 and 0.42, respectively </w:t>
      </w:r>
      <w:r>
        <w:rPr>
          <w:noProof/>
        </w:rPr>
        <w:t>(Centers for Disease Control and Prevention 2018b)</w:t>
      </w:r>
      <w:r>
        <w:t>.</w:t>
      </w:r>
    </w:p>
    <w:p w14:paraId="1D2DD7A8" w14:textId="77777777" w:rsidR="00101352" w:rsidRDefault="00101352" w:rsidP="00101352">
      <w:r>
        <w:t>Finally, two rules in this suite were intended to control potential viral and bacterial infections attributed to ground water used as drinking water. Like the other regulations, the causal nexus between drinking water and illness is unclear and estimated benefits are small.</w:t>
      </w:r>
    </w:p>
    <w:p w14:paraId="02B71476" w14:textId="77777777" w:rsidR="00101352" w:rsidRDefault="00101352" w:rsidP="00101352">
      <w:r>
        <w:t xml:space="preserve">USEPA risk assessment practices would have materially adverse effects on economic feasibility determinations in the same way they affect determinations that benefits justify costs. This is further discussed in </w:t>
      </w:r>
      <w:fldSimple w:instr=" REF _Ref536527629 \w \p ">
        <w:r>
          <w:t>7.a.8 below</w:t>
        </w:r>
      </w:fldSimple>
      <w:r>
        <w:t xml:space="preserve">. </w:t>
      </w:r>
    </w:p>
    <w:p w14:paraId="4498B0D5" w14:textId="77777777" w:rsidR="00101352" w:rsidRDefault="00101352" w:rsidP="00101352">
      <w:pPr>
        <w:pStyle w:val="Heading3"/>
      </w:pPr>
      <w:bookmarkStart w:id="1" w:name="OLE_LINK33"/>
      <w:bookmarkStart w:id="2" w:name="OLE_LINK34"/>
      <w:r>
        <w:t xml:space="preserve">Stage 1 Disinfectants and Disinfection Byproducts Rule  </w:t>
      </w:r>
      <w:bookmarkEnd w:id="1"/>
      <w:bookmarkEnd w:id="2"/>
      <w:r>
        <w:t>(Stage 1 DBPR)</w:t>
      </w:r>
    </w:p>
    <w:p w14:paraId="30C4BD8A" w14:textId="77777777" w:rsidR="00101352" w:rsidRDefault="00101352" w:rsidP="00101352">
      <w:pPr>
        <w:rPr>
          <w:bCs/>
        </w:rPr>
      </w:pPr>
      <w:r>
        <w:t xml:space="preserve">In this rulemaking, USEPA revised NPDWRs for disinfectants </w:t>
      </w:r>
      <w:r>
        <w:rPr>
          <w:bCs/>
        </w:rPr>
        <w:t xml:space="preserve">and DBPs, which included </w:t>
      </w:r>
      <w:r w:rsidRPr="00D63234">
        <w:rPr>
          <w:bCs/>
        </w:rPr>
        <w:t>maximum residual</w:t>
      </w:r>
      <w:r>
        <w:rPr>
          <w:bCs/>
        </w:rPr>
        <w:t xml:space="preserve"> </w:t>
      </w:r>
      <w:r w:rsidRPr="00D63234">
        <w:rPr>
          <w:bCs/>
        </w:rPr>
        <w:t>disinfectant levels (MRDLs)</w:t>
      </w:r>
      <w:r>
        <w:rPr>
          <w:bCs/>
        </w:rPr>
        <w:t>, m</w:t>
      </w:r>
      <w:r w:rsidRPr="00D63234">
        <w:rPr>
          <w:bCs/>
        </w:rPr>
        <w:t>aximum contaminant levels (MCLs)</w:t>
      </w:r>
      <w:r>
        <w:rPr>
          <w:bCs/>
        </w:rPr>
        <w:t xml:space="preserve">, and </w:t>
      </w:r>
      <w:r w:rsidRPr="00D63234">
        <w:rPr>
          <w:bCs/>
        </w:rPr>
        <w:t>treatment techniques</w:t>
      </w:r>
      <w:r>
        <w:rPr>
          <w:bCs/>
        </w:rPr>
        <w:t xml:space="preserve">.  Community Water Systems (CWSs) and Non-Transient Non-Community Water Systems (NTNCWSs) were generally covered, and some provisions also applied to Transient Non-Community Water Systems (TNCWSs).  MRDLs and MCLs were based on technological feasibility </w:t>
      </w:r>
      <w:r>
        <w:rPr>
          <w:noProof/>
        </w:rPr>
        <w:t xml:space="preserve">(USEPA 1998c); cost played no role. </w:t>
      </w:r>
      <w:r>
        <w:rPr>
          <w:bCs/>
        </w:rPr>
        <w:t xml:space="preserve">Nonetheless, the Agency asserted that the benefits of the rule justified the costs, thus making this rule </w:t>
      </w:r>
      <w:r w:rsidRPr="002F2914">
        <w:rPr>
          <w:bCs/>
        </w:rPr>
        <w:t>potentially susceptible to economic feasibility analysis</w:t>
      </w:r>
      <w:r>
        <w:rPr>
          <w:bCs/>
        </w:rPr>
        <w:t xml:space="preserve">. </w:t>
      </w:r>
    </w:p>
    <w:p w14:paraId="06A81FAB" w14:textId="77777777" w:rsidR="00101352" w:rsidRDefault="00101352" w:rsidP="00101352">
      <w:pPr>
        <w:rPr>
          <w:bCs/>
        </w:rPr>
      </w:pPr>
      <w:r>
        <w:rPr>
          <w:bCs/>
        </w:rPr>
        <w:t xml:space="preserve">USEPA estimated aggregate expenditures for treatment and monitoring at $701 million ($1998, annualized at 7%) including capital, operations and maintenance, and monitoring </w:t>
      </w:r>
      <w:r>
        <w:rPr>
          <w:noProof/>
        </w:rPr>
        <w:t>(USEPA 1998c, Table IV-6)</w:t>
      </w:r>
      <w:r>
        <w:rPr>
          <w:bCs/>
        </w:rPr>
        <w:t xml:space="preserve">. Expenditures for DBP control depended on technology and system size. The range across technologies for surface water systems was as great as 162x, and the range across system sizes was as great as 608x. Similar variability was reported for ground water </w:t>
      </w:r>
      <w:r>
        <w:rPr>
          <w:bCs/>
        </w:rPr>
        <w:lastRenderedPageBreak/>
        <w:t xml:space="preserve">systems </w:t>
      </w:r>
      <w:r>
        <w:rPr>
          <w:noProof/>
        </w:rPr>
        <w:t>(USEPA 1998c, Tables IV-4 and IV-5)</w:t>
      </w:r>
      <w:r>
        <w:t xml:space="preserve">. </w:t>
      </w:r>
      <w:r>
        <w:rPr>
          <w:noProof/>
        </w:rPr>
        <w:t>Raucher and Cromwell (2004)</w:t>
      </w:r>
      <w:r>
        <w:t xml:space="preserve"> estimated that 40% of expenditures would be borne by systems serving fewer than 10,000 persons.</w:t>
      </w:r>
    </w:p>
    <w:p w14:paraId="7AD39000" w14:textId="77777777" w:rsidR="00101352" w:rsidRDefault="00101352" w:rsidP="00101352">
      <w:r>
        <w:t xml:space="preserve">Nearly 12,000 such systems were expected to be required to modify their treatment trains and 62,000 small systems were expected to expend significant new resources to collect over 1 million new monitoring samples </w:t>
      </w:r>
      <w:r>
        <w:rPr>
          <w:noProof/>
        </w:rPr>
        <w:t>(USEPA 1998f, Exhibits 5.8 and 5.9)</w:t>
      </w:r>
      <w:r>
        <w:t xml:space="preserve">. An estimated 96% of CWSs and NTNCWSs serve fewer than 10,000 persons, and 22% of them were estimated to bear additional costs. </w:t>
      </w:r>
      <w:bookmarkStart w:id="3" w:name="OLE_LINK21"/>
      <w:bookmarkStart w:id="4" w:name="OLE_LINK22"/>
      <w:r>
        <w:t xml:space="preserve">About 8,200 small groundwater systems and 3,600 surface water systems were estimated to expend about $1 billion and $240 million in capital improvements, respectively, for modified treatment. </w:t>
      </w:r>
      <w:bookmarkEnd w:id="3"/>
      <w:bookmarkEnd w:id="4"/>
    </w:p>
    <w:p w14:paraId="214848A3" w14:textId="77777777" w:rsidR="00101352" w:rsidRDefault="00101352" w:rsidP="00101352">
      <w:r>
        <w:t xml:space="preserve">USEPA analyzed small-system cash flow and viability to gain insight on the risk of financial failure, a proxy for system affordability. USEPA acknowledges that small systems would have preferred that the Agency promulgate different standards for large and small systems to avoid small-system nonviability and forced consolidation, but the Agency did not analyze these options and there is no evidence that it gave them serious consideration </w:t>
      </w:r>
      <w:r>
        <w:rPr>
          <w:noProof/>
        </w:rPr>
        <w:t>(USEPA 1998f, pp. 5-23 to 5-25)</w:t>
      </w:r>
      <w:r>
        <w:t xml:space="preserve">. The Agency’s economic analysis does not consider forced consolidation with larger systems to be a social cost </w:t>
      </w:r>
      <w:r>
        <w:rPr>
          <w:noProof/>
        </w:rPr>
        <w:t xml:space="preserve">because </w:t>
      </w:r>
      <w:r>
        <w:t xml:space="preserve">consolidation is a longstanding Agency goal </w:t>
      </w:r>
      <w:r>
        <w:rPr>
          <w:noProof/>
        </w:rPr>
        <w:t>(USEPA 1998f, pp. 5-19 to 5-23).</w:t>
      </w:r>
    </w:p>
    <w:p w14:paraId="6D1759C6" w14:textId="77777777" w:rsidR="00101352" w:rsidRDefault="00101352" w:rsidP="00101352">
      <w:r>
        <w:t xml:space="preserve">The Agency acknowledged that benefits were “difficult to quantify because of the uncertainty associated with risks from exposure to DBPs (and the resultant reductions in risk due to the decreased exposure from DBPs)” </w:t>
      </w:r>
      <w:r>
        <w:rPr>
          <w:noProof/>
        </w:rPr>
        <w:t>(USEPA 1998c, p. 69434)</w:t>
      </w:r>
      <w:r>
        <w:t xml:space="preserve">. These uncertainties include a nine-fold range in the Agency’s estimated number of bladder cancer cases caused by DBPs, plus an acknowledgement that the true number of cases could be zero </w:t>
      </w:r>
      <w:r>
        <w:rPr>
          <w:noProof/>
        </w:rPr>
        <w:t>(USEPA 1998c, Table IV-8; 1998f, Exhibit 6.3c)</w:t>
      </w:r>
      <w:r>
        <w:t xml:space="preserve">. Estimated aggregate annual benefits ranged from $0 to $4 billion, </w:t>
      </w:r>
      <w:bookmarkStart w:id="5" w:name="OLE_LINK23"/>
      <w:bookmarkStart w:id="6" w:name="OLE_LINK24"/>
      <w:r>
        <w:t xml:space="preserve">with the </w:t>
      </w:r>
      <w:r>
        <w:lastRenderedPageBreak/>
        <w:t xml:space="preserve">upper-bound implying a 24% reduction in new bladder cancer cases </w:t>
      </w:r>
      <w:bookmarkEnd w:id="5"/>
      <w:bookmarkEnd w:id="6"/>
      <w:r>
        <w:t xml:space="preserve">resulting from a 24% reduction in exposure </w:t>
      </w:r>
      <w:r>
        <w:rPr>
          <w:noProof/>
        </w:rPr>
        <w:t>(USEPA 1998f, p. 6-1)</w:t>
      </w:r>
      <w:r>
        <w:t>. No cessation lag appears to have been applied.</w:t>
      </w:r>
    </w:p>
    <w:p w14:paraId="33DBE27D" w14:textId="77777777" w:rsidR="00101352" w:rsidRDefault="00101352" w:rsidP="00101352">
      <w:r>
        <w:t xml:space="preserve">USEPA’s net benefit estimates were derived by subtracting a range of </w:t>
      </w:r>
      <w:r w:rsidRPr="00D11BD3">
        <w:t xml:space="preserve">expenditures </w:t>
      </w:r>
      <w:r>
        <w:t xml:space="preserve">($500–$900 million) from the $0–4 billion range of </w:t>
      </w:r>
      <w:r w:rsidRPr="00D11BD3">
        <w:t>opportunity cost-based</w:t>
      </w:r>
      <w:r>
        <w:rPr>
          <w:i/>
        </w:rPr>
        <w:t xml:space="preserve"> </w:t>
      </w:r>
      <w:r>
        <w:t>health benefits. The Agency described these ranges as “overlapping,”</w:t>
      </w:r>
      <w:r w:rsidRPr="004E5494">
        <w:t xml:space="preserve"> </w:t>
      </w:r>
      <w:r>
        <w:t>thus providing a “</w:t>
      </w:r>
      <w:r w:rsidRPr="004E5494">
        <w:t>substantial basis</w:t>
      </w:r>
      <w:r>
        <w:t xml:space="preserve">” for the rule </w:t>
      </w:r>
      <w:r>
        <w:rPr>
          <w:noProof/>
        </w:rPr>
        <w:t>(USEPA 1998f, p. 6-2)</w:t>
      </w:r>
      <w:r>
        <w:t xml:space="preserve">. Net benefits depended on the number of annual bladder cancer cases prevented, and USEPA acknowledged that taking no action is a superior choice if the number of cases prevented is less than a figure somewhere between 1,000 and 2,500 per year </w:t>
      </w:r>
      <w:r>
        <w:rPr>
          <w:noProof/>
        </w:rPr>
        <w:t>(USEPA 1998f, Exhibit 6.2)</w:t>
      </w:r>
      <w:r>
        <w:t>.</w:t>
      </w:r>
    </w:p>
    <w:p w14:paraId="158C9C12" w14:textId="77777777" w:rsidR="00101352" w:rsidRDefault="00101352" w:rsidP="00101352">
      <w:r>
        <w:t xml:space="preserve">In the end, USEPA concluded that “there is a reasonable likelihood that the benefits will exceed the costs” </w:t>
      </w:r>
      <w:r>
        <w:rPr>
          <w:noProof/>
        </w:rPr>
        <w:t>(USEPA 1998c, p. 69434)</w:t>
      </w:r>
      <w:r>
        <w:t>, and that the rule was “</w:t>
      </w:r>
      <w:r w:rsidRPr="00895431">
        <w:t>needed for protection of public health from exposure to DBPs</w:t>
      </w:r>
      <w:r>
        <w:t xml:space="preserve">” due to the extent of potential exposure, evidence of DBP carcinogenicity and reproductive or developmental harm in laboratory animals at high doses, and weak associations in some epidemiological studies </w:t>
      </w:r>
      <w:r>
        <w:rPr>
          <w:noProof/>
        </w:rPr>
        <w:t>(USEPA 1998f, p. 5-15)</w:t>
      </w:r>
      <w:r>
        <w:t xml:space="preserve">. Thus, the new standards were grounded in precaution with respect to </w:t>
      </w:r>
      <w:r>
        <w:rPr>
          <w:i/>
        </w:rPr>
        <w:t xml:space="preserve">potential </w:t>
      </w:r>
      <w:r>
        <w:t xml:space="preserve">health risks without regard for </w:t>
      </w:r>
      <w:r>
        <w:rPr>
          <w:i/>
        </w:rPr>
        <w:t xml:space="preserve">actual </w:t>
      </w:r>
      <w:r>
        <w:t>opportunity costs.</w:t>
      </w:r>
    </w:p>
    <w:p w14:paraId="4E4C1D07" w14:textId="77777777" w:rsidR="00101352" w:rsidRDefault="00101352" w:rsidP="00101352">
      <w:bookmarkStart w:id="7" w:name="OLE_LINK25"/>
      <w:bookmarkStart w:id="8" w:name="OLE_LINK26"/>
      <w:r>
        <w:t xml:space="preserve">The extent to which prior adoption of the economic feasibility principle would have enhanced efficiency or reduced inequity cannot be determined based on the information disclosed, however. The selected alternative was the only one examined </w:t>
      </w:r>
      <w:bookmarkEnd w:id="7"/>
      <w:bookmarkEnd w:id="8"/>
      <w:r>
        <w:t xml:space="preserve">in the economic analysis </w:t>
      </w:r>
      <w:r>
        <w:rPr>
          <w:noProof/>
        </w:rPr>
        <w:t>(USEPA 1998f, p. 6-3)</w:t>
      </w:r>
      <w:r>
        <w:t xml:space="preserve"> </w:t>
      </w:r>
      <w:bookmarkStart w:id="9" w:name="OLE_LINK27"/>
      <w:bookmarkStart w:id="10" w:name="OLE_LINK28"/>
      <w:r>
        <w:t>and only nationwide estimates of benefits and costs were reported, without disaggregation by system size, region, or other key factors</w:t>
      </w:r>
      <w:bookmarkEnd w:id="9"/>
      <w:bookmarkEnd w:id="10"/>
      <w:r>
        <w:t xml:space="preserve">. However, if USEPA had adopted the economic feasibility principle </w:t>
      </w:r>
      <w:r>
        <w:rPr>
          <w:i/>
        </w:rPr>
        <w:t xml:space="preserve">and </w:t>
      </w:r>
      <w:r>
        <w:t xml:space="preserve">followed the risk- and economic analysis </w:t>
      </w:r>
      <w:r>
        <w:lastRenderedPageBreak/>
        <w:t>requirements in SDWA 1996, the Agency would have either adopted less stringent standards or declined to modify existing standards.</w:t>
      </w:r>
    </w:p>
    <w:p w14:paraId="5902821D" w14:textId="77777777" w:rsidR="00101352" w:rsidRDefault="00101352" w:rsidP="00101352">
      <w:pPr>
        <w:pStyle w:val="Heading3"/>
      </w:pPr>
      <w:bookmarkStart w:id="11" w:name="OLE_LINK31"/>
      <w:bookmarkStart w:id="12" w:name="OLE_LINK32"/>
      <w:bookmarkStart w:id="13" w:name="OLE_LINK35"/>
      <w:r>
        <w:t>I</w:t>
      </w:r>
      <w:r w:rsidRPr="00C77964">
        <w:t>nterim Enhanced Surface Water Treatment Rule (IESWTR)</w:t>
      </w:r>
    </w:p>
    <w:bookmarkEnd w:id="11"/>
    <w:bookmarkEnd w:id="12"/>
    <w:bookmarkEnd w:id="13"/>
    <w:p w14:paraId="504673F1" w14:textId="77777777" w:rsidR="00101352" w:rsidRDefault="00101352" w:rsidP="00101352">
      <w:r>
        <w:t xml:space="preserve">The IESWTR </w:t>
      </w:r>
      <w:r>
        <w:rPr>
          <w:noProof/>
        </w:rPr>
        <w:t>(USEPA 1998d)</w:t>
      </w:r>
      <w:r>
        <w:t xml:space="preserve"> was a response to the 1993 cryptosporidiosis outbreak in Milwaukee, which was attributed to a sudden increase in </w:t>
      </w:r>
      <w:r w:rsidRPr="00B36CDC">
        <w:rPr>
          <w:i/>
        </w:rPr>
        <w:t>Cryptosporidium</w:t>
      </w:r>
      <w:r>
        <w:rPr>
          <w:i/>
        </w:rPr>
        <w:t xml:space="preserve"> </w:t>
      </w:r>
      <w:r>
        <w:t xml:space="preserve">in source water at the intake for the treatment plant on the city’s south side combined with treatment failure </w:t>
      </w:r>
      <w:r>
        <w:rPr>
          <w:noProof/>
        </w:rPr>
        <w:t>(Fox and Lytle 1996)</w:t>
      </w:r>
      <w:r>
        <w:t xml:space="preserve">. Turbidity (a measure of suspended particulates, and thus a proxy for </w:t>
      </w:r>
      <w:r w:rsidRPr="00B36CDC">
        <w:rPr>
          <w:i/>
        </w:rPr>
        <w:t>Cryptosporidium</w:t>
      </w:r>
      <w:r>
        <w:t xml:space="preserve">) in finished water increased from about 0.4 nephelometric turbidity unit (NTU) to a peak of 2.7 NTUs at the height of the crisis </w:t>
      </w:r>
      <w:r>
        <w:rPr>
          <w:noProof/>
        </w:rPr>
        <w:t>(Fox and Lytle 1996, p. 92 and Figure 2)</w:t>
      </w:r>
      <w:r>
        <w:t xml:space="preserve">.  Turbidity is an imperfect indicator of </w:t>
      </w:r>
      <w:r w:rsidRPr="00B36CDC">
        <w:rPr>
          <w:i/>
        </w:rPr>
        <w:t>Cryptosporidium</w:t>
      </w:r>
      <w:r>
        <w:t xml:space="preserve">; other water systems utilizing Lake Michigan also experienced increases in turbidity but did not have a cryptosporidiosis outbreak </w:t>
      </w:r>
      <w:r>
        <w:rPr>
          <w:noProof/>
        </w:rPr>
        <w:t>(Fox and Lytle 1996, p. 94 and Table 1)</w:t>
      </w:r>
      <w:r>
        <w:t xml:space="preserve">.  </w:t>
      </w:r>
    </w:p>
    <w:p w14:paraId="39DAC37C" w14:textId="77777777" w:rsidR="00101352" w:rsidRDefault="00101352" w:rsidP="00101352">
      <w:r>
        <w:t xml:space="preserve">Using a RDD telephone survey, </w:t>
      </w:r>
      <w:r>
        <w:rPr>
          <w:noProof/>
        </w:rPr>
        <w:t>Mac Kenzie et al. (1994)</w:t>
      </w:r>
      <w:r>
        <w:t xml:space="preserve"> estimated more than 400,000 persons were “affected” by the outbreak; cryptosporidiosis was clinically confirmed in more than 600 people. Cryptosporidiosis can be “unrelenting and fatal” in those who are immunocompromised </w:t>
      </w:r>
      <w:r>
        <w:rPr>
          <w:noProof/>
        </w:rPr>
        <w:t>(p. 161)</w:t>
      </w:r>
      <w:r>
        <w:t xml:space="preserve">. </w:t>
      </w:r>
      <w:r>
        <w:rPr>
          <w:noProof/>
        </w:rPr>
        <w:t xml:space="preserve">Hoxie et al. (1997) report that </w:t>
      </w:r>
      <w:r>
        <w:t xml:space="preserve">AIDS was the underlying cause of death recorded in 46 (85%) of the 54 cryptosporidiosis-associated fatalities. AIDS mortality declined for about 18 months thereafter, then resumed its previous upward trend. </w:t>
      </w:r>
      <w:r>
        <w:rPr>
          <w:noProof/>
        </w:rPr>
        <w:t>Hlavsa et al. (2005)</w:t>
      </w:r>
      <w:r>
        <w:t xml:space="preserve"> reported that cryptosporidiosis-associated fatalities among HIV-infected subpopulations decreased substantially after the Milwaukee outbreak due to the contemporaneous introduction of effective antiretroviral therapy.</w:t>
      </w:r>
    </w:p>
    <w:p w14:paraId="188A4B35" w14:textId="77777777" w:rsidR="00101352" w:rsidRDefault="00101352" w:rsidP="00101352">
      <w:pPr>
        <w:rPr>
          <w:bCs/>
        </w:rPr>
      </w:pPr>
      <w:r>
        <w:t xml:space="preserve">IESWTR required water systems serving at least 10,000 persons that relied on surface water sources to use a treatment technique in lieu of achieving an MCL, and meet other </w:t>
      </w:r>
      <w:r>
        <w:lastRenderedPageBreak/>
        <w:t xml:space="preserve">regulatory controls </w:t>
      </w:r>
      <w:r>
        <w:rPr>
          <w:noProof/>
        </w:rPr>
        <w:t>(USEPA 1998d)</w:t>
      </w:r>
      <w:r>
        <w:t xml:space="preserve">. Increasing the stringency of turbidity control was assumed to reduce </w:t>
      </w:r>
      <w:r>
        <w:rPr>
          <w:i/>
        </w:rPr>
        <w:t xml:space="preserve">Cryptosporidium </w:t>
      </w:r>
      <w:r>
        <w:t xml:space="preserve">and </w:t>
      </w:r>
      <w:r>
        <w:rPr>
          <w:i/>
        </w:rPr>
        <w:t xml:space="preserve">Giardia </w:t>
      </w:r>
      <w:r>
        <w:t xml:space="preserve">in finished water. </w:t>
      </w:r>
      <w:r>
        <w:rPr>
          <w:bCs/>
        </w:rPr>
        <w:t xml:space="preserve">The Agency asserted that the regulation’s benefits justified the costs </w:t>
      </w:r>
      <w:r>
        <w:rPr>
          <w:bCs/>
          <w:noProof/>
        </w:rPr>
        <w:t>(USEPA 1998d, pp. 69499, 69509)</w:t>
      </w:r>
      <w:r>
        <w:rPr>
          <w:bCs/>
        </w:rPr>
        <w:t>, so the rule is potentially susceptible to economic feasibility analysis.</w:t>
      </w:r>
    </w:p>
    <w:p w14:paraId="0C73FDF5" w14:textId="77777777" w:rsidR="00101352" w:rsidRDefault="00101352" w:rsidP="00101352">
      <w:r>
        <w:t xml:space="preserve">For benefit estimation, USEPA relied on health risk-precautionary risk assessment methods and data from the Milwaukee outbreak </w:t>
      </w:r>
      <w:r>
        <w:rPr>
          <w:noProof/>
        </w:rPr>
        <w:t>(USEPA 1998e, § 4.2)</w:t>
      </w:r>
      <w:r>
        <w:t xml:space="preserve">; cost of illness (COI) valuations derived from previous survey research on giardiasis </w:t>
      </w:r>
      <w:r>
        <w:rPr>
          <w:noProof/>
        </w:rPr>
        <w:t>(Harrington et al. 1985)</w:t>
      </w:r>
      <w:r>
        <w:t xml:space="preserve">; and assumptions about the effectiveness of turbidity reduction in removing </w:t>
      </w:r>
      <w:r w:rsidRPr="00B36CDC">
        <w:rPr>
          <w:i/>
        </w:rPr>
        <w:t>Cryptosporidium</w:t>
      </w:r>
      <w:r>
        <w:rPr>
          <w:i/>
        </w:rPr>
        <w:t xml:space="preserve"> </w:t>
      </w:r>
      <w:r>
        <w:t xml:space="preserve">oocysts </w:t>
      </w:r>
      <w:r>
        <w:rPr>
          <w:noProof/>
        </w:rPr>
        <w:t>(USEPA 1998e, § 4.2.4)</w:t>
      </w:r>
      <w:r>
        <w:t xml:space="preserve">. </w:t>
      </w:r>
      <w:bookmarkStart w:id="14" w:name="OLE_LINK36"/>
      <w:bookmarkStart w:id="15" w:name="OLE_LINK37"/>
    </w:p>
    <w:p w14:paraId="58E26157" w14:textId="77777777" w:rsidR="00101352" w:rsidRPr="006E5F5D" w:rsidRDefault="00101352" w:rsidP="00101352">
      <w:r>
        <w:t>The Agency’s mid-level estimates of regulatory effectiveness were annual reductions of 432,000 illnesses and 60 deaths</w:t>
      </w:r>
      <w:bookmarkEnd w:id="14"/>
      <w:bookmarkEnd w:id="15"/>
      <w:r>
        <w:t xml:space="preserve"> </w:t>
      </w:r>
      <w:r>
        <w:rPr>
          <w:noProof/>
        </w:rPr>
        <w:t>(USEPA 1998e, Exhibits 4.12 and 4.16)</w:t>
      </w:r>
      <w:r>
        <w:t xml:space="preserve">. However, the number of illnesses and deaths reported from all pathways in 1998 was 3,111 and zero, respectively </w:t>
      </w:r>
      <w:r>
        <w:rPr>
          <w:noProof/>
        </w:rPr>
        <w:t>(Centers for Disease Control and Prevention 2018a)</w:t>
      </w:r>
      <w:r>
        <w:t xml:space="preserve">. Fewer than two deaths per year were reported for 1999-2017 </w:t>
      </w:r>
      <w:r>
        <w:rPr>
          <w:noProof/>
        </w:rPr>
        <w:t>(Centers for Disease Control and Prevention 2018b)</w:t>
      </w:r>
      <w:r>
        <w:t xml:space="preserve">. USEPA’s risk model did </w:t>
      </w:r>
      <w:r w:rsidRPr="000A79B1">
        <w:t>not account for reductions in mortality</w:t>
      </w:r>
      <w:r>
        <w:t xml:space="preserve"> </w:t>
      </w:r>
      <w:r w:rsidRPr="000A79B1">
        <w:t>among immunocompromised individuals result</w:t>
      </w:r>
      <w:r>
        <w:t xml:space="preserve">ing </w:t>
      </w:r>
      <w:r w:rsidRPr="000A79B1">
        <w:t xml:space="preserve">from the inexpensive implementation of </w:t>
      </w:r>
      <w:r>
        <w:t xml:space="preserve">certain </w:t>
      </w:r>
      <w:r w:rsidRPr="000A79B1">
        <w:t xml:space="preserve">best practices (e.g., bottled water) or </w:t>
      </w:r>
      <w:r>
        <w:t>anti</w:t>
      </w:r>
      <w:r w:rsidRPr="000A79B1">
        <w:t>retroviral therapy</w:t>
      </w:r>
      <w:r>
        <w:t xml:space="preserve"> for AIDS</w:t>
      </w:r>
      <w:r w:rsidRPr="000A79B1">
        <w:t xml:space="preserve">. </w:t>
      </w:r>
      <w:r>
        <w:t>E</w:t>
      </w:r>
      <w:r w:rsidRPr="000A79B1">
        <w:t>ven before the ISESTWR was promulgated</w:t>
      </w:r>
      <w:r>
        <w:t>,</w:t>
      </w:r>
      <w:r w:rsidRPr="000A79B1">
        <w:t xml:space="preserve"> it was suspected that the underlying cause of the Milwaukee outbreak was </w:t>
      </w:r>
      <w:r>
        <w:t xml:space="preserve">a failure in </w:t>
      </w:r>
      <w:r w:rsidRPr="000A79B1">
        <w:t xml:space="preserve">sewage treatment </w:t>
      </w:r>
      <w:r>
        <w:t xml:space="preserve">upstream of the drinking water intake </w:t>
      </w:r>
      <w:r>
        <w:rPr>
          <w:noProof/>
        </w:rPr>
        <w:t>(Peng et al. 1997)</w:t>
      </w:r>
      <w:r w:rsidRPr="000A79B1">
        <w:t xml:space="preserve">. </w:t>
      </w:r>
    </w:p>
    <w:p w14:paraId="7FBD2F6D" w14:textId="77777777" w:rsidR="00101352" w:rsidRDefault="00101352" w:rsidP="00101352">
      <w:bookmarkStart w:id="16" w:name="OLE_LINK38"/>
      <w:bookmarkStart w:id="17" w:name="OLE_LINK39"/>
      <w:r w:rsidRPr="003D17F6">
        <w:t xml:space="preserve">USEPA reported </w:t>
      </w:r>
      <w:r>
        <w:t>estimated aggregate annualized expenditures of $596 million for disinfection and $189 million for turbidity reduction (both $1998, 7%), the latter expenditure substantially varying by system size</w:t>
      </w:r>
      <w:bookmarkEnd w:id="16"/>
      <w:bookmarkEnd w:id="17"/>
      <w:r>
        <w:t xml:space="preserve"> </w:t>
      </w:r>
      <w:r>
        <w:rPr>
          <w:noProof/>
        </w:rPr>
        <w:t>(USEPA 1998e, Tables V.1 and V.2)</w:t>
      </w:r>
      <w:r>
        <w:t xml:space="preserve">. USEPA’s affordability doctrine figured implicitly in the Agency’s household-level expenditures, which </w:t>
      </w:r>
      <w:r>
        <w:lastRenderedPageBreak/>
        <w:t xml:space="preserve">were $12 or less per year for 92% of households; $12–60 per year for 7% of households; and “approximately $100 per year” for the remaining 1% of households </w:t>
      </w:r>
      <w:r>
        <w:rPr>
          <w:noProof/>
        </w:rPr>
        <w:t>(USEPA 1998e, Figure V.1; 1998e, p. 5-25)</w:t>
      </w:r>
      <w:r>
        <w:t xml:space="preserve">. No further breakdown by system size was provided. The economic </w:t>
      </w:r>
      <w:bookmarkStart w:id="18" w:name="OLE_LINK40"/>
      <w:bookmarkStart w:id="19" w:name="OLE_LINK41"/>
      <w:r>
        <w:t xml:space="preserve">analysis included a brief, qualitative opportunity-cost justification of the lower-end of these estimated household-level expenditures </w:t>
      </w:r>
      <w:bookmarkEnd w:id="18"/>
      <w:bookmarkEnd w:id="19"/>
      <w:r>
        <w:rPr>
          <w:noProof/>
        </w:rPr>
        <w:t>(USEPA 1998e, ES-6)</w:t>
      </w:r>
      <w:r>
        <w:t xml:space="preserve">. Aggregate expenditure estimates were reported to span ± 30% </w:t>
      </w:r>
      <w:r>
        <w:rPr>
          <w:noProof/>
        </w:rPr>
        <w:t>(USEPA 1998d, p. 69437)</w:t>
      </w:r>
      <w:r>
        <w:t xml:space="preserve">. </w:t>
      </w:r>
    </w:p>
    <w:p w14:paraId="17D16D39" w14:textId="77777777" w:rsidR="00101352" w:rsidRDefault="00101352" w:rsidP="00101352">
      <w:r>
        <w:t>T</w:t>
      </w:r>
      <w:r w:rsidRPr="003D17F6">
        <w:t xml:space="preserve">he Agency reported </w:t>
      </w:r>
      <w:r>
        <w:t>opportunity-cost based</w:t>
      </w:r>
      <w:r w:rsidRPr="003D17F6">
        <w:t xml:space="preserve"> </w:t>
      </w:r>
      <w:r>
        <w:t xml:space="preserve">benefit </w:t>
      </w:r>
      <w:r w:rsidRPr="003D17F6">
        <w:t>estimate</w:t>
      </w:r>
      <w:r>
        <w:t xml:space="preserve">s that varied depending on the assumed number of illnesses and mortalities avoided, and the level of </w:t>
      </w:r>
      <w:r>
        <w:rPr>
          <w:i/>
        </w:rPr>
        <w:t xml:space="preserve">Cryptosporidium </w:t>
      </w:r>
      <w:r>
        <w:t xml:space="preserve">removal </w:t>
      </w:r>
      <w:r>
        <w:rPr>
          <w:noProof/>
        </w:rPr>
        <w:t>(USEPA 1998e, Table V.4)</w:t>
      </w:r>
      <w:r>
        <w:t xml:space="preserve">. Regulatory effectiveness was acknowledged to be highly uncertain. The number of illnesses estimated by USEPA to be prevented ranged from zero to 1.029 million, and the estimated number of fatalities prevented ranged from zero to 129. Illnesses were valued at $2,000/each using COI methods. Premature mortalities, concentrated among immunocompromised persons, were valued using the then-applicable VSL </w:t>
      </w:r>
      <w:r>
        <w:rPr>
          <w:noProof/>
        </w:rPr>
        <w:t>(USEPA 1998e, ES-4)</w:t>
      </w:r>
      <w:r>
        <w:t xml:space="preserve">. </w:t>
      </w:r>
    </w:p>
    <w:p w14:paraId="5857EAAA" w14:textId="77777777" w:rsidR="00101352" w:rsidRDefault="00101352" w:rsidP="00101352">
      <w:r>
        <w:t xml:space="preserve">Several potential unquantified benefits also were mentioned </w:t>
      </w:r>
      <w:r>
        <w:rPr>
          <w:noProof/>
        </w:rPr>
        <w:t>(USEPA 1998d, p. 69501)</w:t>
      </w:r>
      <w:r>
        <w:t>. Unquantified costs were not discussed and o</w:t>
      </w:r>
      <w:r w:rsidRPr="003D17F6">
        <w:t>pportunity costs</w:t>
      </w:r>
      <w:r>
        <w:t xml:space="preserve"> were not estimated, however</w:t>
      </w:r>
      <w:r w:rsidRPr="003D17F6">
        <w:t>.</w:t>
      </w:r>
      <w:r>
        <w:t xml:space="preserve"> Thus, </w:t>
      </w:r>
      <w:bookmarkStart w:id="20" w:name="OLE_LINK42"/>
      <w:bookmarkStart w:id="21" w:name="OLE_LINK43"/>
      <w:r>
        <w:t xml:space="preserve">to conclude that </w:t>
      </w:r>
      <w:r w:rsidRPr="003714BA">
        <w:t>benefits justified costs</w:t>
      </w:r>
      <w:r>
        <w:t>,</w:t>
      </w:r>
      <w:r w:rsidRPr="003714BA">
        <w:t xml:space="preserve"> </w:t>
      </w:r>
      <w:r>
        <w:t xml:space="preserve">USEPA relied on a range of </w:t>
      </w:r>
      <w:r w:rsidRPr="00D77483">
        <w:rPr>
          <w:i/>
        </w:rPr>
        <w:t>opportunity-cost derived</w:t>
      </w:r>
      <w:r>
        <w:t xml:space="preserve"> benefit estimates ($0–$2.7 billion) encompassing a point estimate of annualized </w:t>
      </w:r>
      <w:r w:rsidRPr="00D77483">
        <w:rPr>
          <w:i/>
        </w:rPr>
        <w:t>compliance</w:t>
      </w:r>
      <w:r>
        <w:t xml:space="preserve"> expenditures ($633 million) </w:t>
      </w:r>
      <w:bookmarkEnd w:id="20"/>
      <w:bookmarkEnd w:id="21"/>
      <w:r>
        <w:rPr>
          <w:noProof/>
        </w:rPr>
        <w:t>(USEPA 1998d, p. 64509; 1998e, pp. ES-7). The relative probabilities of these estimates were not taken into account.</w:t>
      </w:r>
    </w:p>
    <w:p w14:paraId="3FD2561F" w14:textId="77777777" w:rsidR="00101352" w:rsidRDefault="00101352" w:rsidP="00101352">
      <w:r>
        <w:t xml:space="preserve">Like in the case of the Stage 1 DBPR, </w:t>
      </w:r>
      <w:bookmarkStart w:id="22" w:name="OLE_LINK44"/>
      <w:bookmarkStart w:id="23" w:name="OLE_LINK45"/>
      <w:r>
        <w:t>savings from prior adoption of the economic feasibility principle cannot be determined based on the information disclosed</w:t>
      </w:r>
      <w:bookmarkEnd w:id="22"/>
      <w:bookmarkEnd w:id="23"/>
      <w:r>
        <w:t xml:space="preserve">. Moreover, </w:t>
      </w:r>
      <w:r w:rsidRPr="005C276A">
        <w:t xml:space="preserve">USEPA’s </w:t>
      </w:r>
      <w:r>
        <w:t xml:space="preserve">decision appears to have been driven by its </w:t>
      </w:r>
      <w:r w:rsidRPr="005C276A">
        <w:t>internal policy preference</w:t>
      </w:r>
      <w:r>
        <w:t>s</w:t>
      </w:r>
      <w:r w:rsidRPr="005C276A">
        <w:t xml:space="preserve"> for precaution </w:t>
      </w:r>
      <w:r>
        <w:lastRenderedPageBreak/>
        <w:t>with respect to uncertain risks (but not certain costs) and quantity-based equity</w:t>
      </w:r>
      <w:r w:rsidRPr="005C276A">
        <w:t>.</w:t>
      </w:r>
      <w:r>
        <w:t xml:space="preserve"> Finally, as discussed in </w:t>
      </w:r>
      <w:fldSimple w:instr=" REF _Ref536527629 \w \p ">
        <w:r>
          <w:t>7.a.8 below</w:t>
        </w:r>
      </w:fldSimple>
      <w:r>
        <w:t>, USEPA’s estimated numbers of illnesses and deaths from cryptosporidiosis prevented significantly exceed estimates of baseline illnesses and deaths reported by CDC.</w:t>
      </w:r>
    </w:p>
    <w:p w14:paraId="033EBF5A" w14:textId="77777777" w:rsidR="00101352" w:rsidRDefault="00101352" w:rsidP="00101352">
      <w:pPr>
        <w:pStyle w:val="Heading3"/>
      </w:pPr>
      <w:bookmarkStart w:id="24" w:name="OLE_LINK46"/>
      <w:bookmarkStart w:id="25" w:name="OLE_LINK47"/>
      <w:r w:rsidRPr="00C77964">
        <w:t>Filter Backwash Recycling Rule</w:t>
      </w:r>
      <w:r>
        <w:t xml:space="preserve"> (FBRR)</w:t>
      </w:r>
    </w:p>
    <w:bookmarkEnd w:id="24"/>
    <w:bookmarkEnd w:id="25"/>
    <w:p w14:paraId="193F9C3D" w14:textId="77777777" w:rsidR="00101352" w:rsidRDefault="00101352" w:rsidP="00101352">
      <w:r>
        <w:t xml:space="preserve">During the consideration of SDWA, Congress became aware of concerns that the routine recycling of filter backwash water could inadvertently result in recontamination of finished water.  SDWA 1996 § 1412(b)(14) directed USEPA to manage this risk, which it did via the FBRR </w:t>
      </w:r>
      <w:r>
        <w:rPr>
          <w:noProof/>
        </w:rPr>
        <w:t>(USEPA 2001b)</w:t>
      </w:r>
      <w:r>
        <w:t xml:space="preserve">. Annualized costs were estimated at about $7 million ($2000, 7%) </w:t>
      </w:r>
      <w:r>
        <w:rPr>
          <w:noProof/>
        </w:rPr>
        <w:t>(Exhibit 6-5)</w:t>
      </w:r>
      <w:r>
        <w:t xml:space="preserve">. </w:t>
      </w:r>
      <w:r>
        <w:rPr>
          <w:noProof/>
        </w:rPr>
        <w:t>Raucher and Cromwell (2004)</w:t>
      </w:r>
      <w:r>
        <w:t xml:space="preserve"> note that post-promulgation cost estimates were considerably higher. Potential benefits were described qualitatively, so the Agency’s determination that benefits justified costs was qualitative as well </w:t>
      </w:r>
      <w:r>
        <w:rPr>
          <w:noProof/>
        </w:rPr>
        <w:t>(USEPA 2001d, p. 31096; 2000b, p. 8-2)</w:t>
      </w:r>
      <w:r>
        <w:t>. The potential effects of having relied on the economic feasibility principle cannot be estimated without quantitative benefit estimates.</w:t>
      </w:r>
    </w:p>
    <w:p w14:paraId="3859A103" w14:textId="77777777" w:rsidR="00101352" w:rsidRDefault="00101352" w:rsidP="00101352">
      <w:pPr>
        <w:pStyle w:val="Heading3"/>
      </w:pPr>
      <w:bookmarkStart w:id="26" w:name="OLE_LINK48"/>
      <w:bookmarkStart w:id="27" w:name="OLE_LINK49"/>
      <w:r w:rsidRPr="00C77964">
        <w:t>Long Term 1 Enhanced Surface Water Treatment Rule</w:t>
      </w:r>
      <w:r>
        <w:t xml:space="preserve"> (LT1ESWTR)</w:t>
      </w:r>
    </w:p>
    <w:bookmarkEnd w:id="26"/>
    <w:bookmarkEnd w:id="27"/>
    <w:p w14:paraId="6182BA31" w14:textId="77777777" w:rsidR="00101352" w:rsidRDefault="00101352" w:rsidP="00101352">
      <w:pPr>
        <w:rPr>
          <w:bCs/>
        </w:rPr>
      </w:pPr>
      <w:r>
        <w:t xml:space="preserve">This regulation extended the </w:t>
      </w:r>
      <w:r w:rsidRPr="0026333C">
        <w:t>IESWTR</w:t>
      </w:r>
      <w:r>
        <w:t xml:space="preserve"> to systems serving fewer than 10,000 persons </w:t>
      </w:r>
      <w:r>
        <w:rPr>
          <w:noProof/>
        </w:rPr>
        <w:t>(USEPA 2002b)</w:t>
      </w:r>
      <w:r>
        <w:t xml:space="preserve">. The Agency determined that the benefits of the regulation justified the costs </w:t>
      </w:r>
      <w:r>
        <w:rPr>
          <w:noProof/>
        </w:rPr>
        <w:t>(USEPA 2002b, p. 1827)</w:t>
      </w:r>
      <w:r>
        <w:t xml:space="preserve">, </w:t>
      </w:r>
      <w:r w:rsidRPr="00944DFB">
        <w:rPr>
          <w:bCs/>
        </w:rPr>
        <w:t>making this rule potentially susceptible to economic feasibility analysis.</w:t>
      </w:r>
      <w:r>
        <w:rPr>
          <w:bCs/>
        </w:rPr>
        <w:t xml:space="preserve"> </w:t>
      </w:r>
    </w:p>
    <w:p w14:paraId="6F2DDC4A" w14:textId="77777777" w:rsidR="00101352" w:rsidRDefault="00101352" w:rsidP="00101352">
      <w:r>
        <w:t xml:space="preserve">USEPA estimated combined annualized system and State compliance expenditures at $44.8 million ($1999, 7%) </w:t>
      </w:r>
      <w:r>
        <w:rPr>
          <w:noProof/>
        </w:rPr>
        <w:t>(USEPA 2002b. p. 1822)</w:t>
      </w:r>
      <w:r>
        <w:t xml:space="preserve">. Key expenditures (e.g., for land acquisition) and opportunity costs generally (e.g., the value of owned land newly committed to </w:t>
      </w:r>
      <w:r>
        <w:lastRenderedPageBreak/>
        <w:t>treatment) were not estimated. System-level expenditures were assumed to be passed through to households. Annual expenditures per household were estimated at $6.24 (mean), $15.00 (90</w:t>
      </w:r>
      <w:r w:rsidRPr="00A17ACC">
        <w:rPr>
          <w:vertAlign w:val="superscript"/>
        </w:rPr>
        <w:t>th</w:t>
      </w:r>
      <w:r>
        <w:t xml:space="preserve"> percentile), $15–$120 (91</w:t>
      </w:r>
      <w:r w:rsidRPr="00A17ACC">
        <w:rPr>
          <w:vertAlign w:val="superscript"/>
        </w:rPr>
        <w:t>st</w:t>
      </w:r>
      <w:r>
        <w:t xml:space="preserve"> to 98</w:t>
      </w:r>
      <w:r w:rsidRPr="00A17ACC">
        <w:rPr>
          <w:vertAlign w:val="superscript"/>
        </w:rPr>
        <w:t>th</w:t>
      </w:r>
      <w:r>
        <w:t xml:space="preserve"> percentile), and over $120 for the 99</w:t>
      </w:r>
      <w:r w:rsidRPr="00A17ACC">
        <w:rPr>
          <w:vertAlign w:val="superscript"/>
        </w:rPr>
        <w:t>th</w:t>
      </w:r>
      <w:r>
        <w:t xml:space="preserve"> percentile. Expenditures were estimated to exceed $240 per year for 5,600 households. USEPA reported having estimated benefits for three assumed risk levels and two baseline assumption for pre-regulation cryptosporidium removal.  Illness cases were valued at </w:t>
      </w:r>
      <w:r w:rsidRPr="00722AD8">
        <w:t>$796</w:t>
      </w:r>
      <w:r>
        <w:t>–</w:t>
      </w:r>
      <w:r w:rsidRPr="00722AD8">
        <w:t>$1,411</w:t>
      </w:r>
      <w:r>
        <w:t xml:space="preserve"> per case based on the cost of treating giardiasis (an illness of longer duration), and mortalities were valued at the then-applicable VSL.</w:t>
      </w:r>
    </w:p>
    <w:p w14:paraId="4D68F1B4" w14:textId="77777777" w:rsidR="00101352" w:rsidRDefault="00101352" w:rsidP="00101352">
      <w:pPr>
        <w:ind w:firstLine="0"/>
      </w:pPr>
      <w:r>
        <w:tab/>
      </w:r>
      <w:bookmarkStart w:id="28" w:name="OLE_LINK52"/>
      <w:bookmarkStart w:id="29" w:name="OLE_LINK53"/>
      <w:r>
        <w:t>USEPA’s reported net benefit calculations subtract a point estimate for annualized expenditures ($44.8 million) from a range of opportunity-cost based benefits ($18.9–$90.9 million) (both $1999). The extent to which adoption of the economic feasibility principle would have reduced costs or increased net benefits cannot be determined from the information made public</w:t>
      </w:r>
      <w:r w:rsidRPr="0091323C">
        <w:rPr>
          <w:bCs/>
        </w:rPr>
        <w:t xml:space="preserve"> </w:t>
      </w:r>
      <w:r>
        <w:rPr>
          <w:bCs/>
        </w:rPr>
        <w:t xml:space="preserve">because </w:t>
      </w:r>
      <w:r>
        <w:t xml:space="preserve">key analytic documents </w:t>
      </w:r>
      <w:r>
        <w:rPr>
          <w:noProof/>
        </w:rPr>
        <w:t>(USEPA 2000g, 2001a)</w:t>
      </w:r>
      <w:r>
        <w:t xml:space="preserve"> referenced in the preamble to the final rule were not included in the docket and are not electronically available to the public</w:t>
      </w:r>
      <w:bookmarkEnd w:id="28"/>
      <w:bookmarkEnd w:id="29"/>
      <w:r>
        <w:t xml:space="preserve"> despite an aggressive Google search. Finally, as noted in Section </w:t>
      </w:r>
      <w:fldSimple w:instr=" REF _Ref536527629 \w \p ">
        <w:r>
          <w:t>7.a.8 below</w:t>
        </w:r>
      </w:fldSimple>
      <w:r>
        <w:t>, USEPA’s estimated numbers of illnesses and deaths from cryptosporidiosis prevented  significantly exceed the numbers of illnesses and deaths from all pathways reported by CDC.</w:t>
      </w:r>
    </w:p>
    <w:p w14:paraId="4E0D52BE" w14:textId="77777777" w:rsidR="00101352" w:rsidRDefault="00101352" w:rsidP="00101352">
      <w:pPr>
        <w:pStyle w:val="Heading3"/>
      </w:pPr>
      <w:bookmarkStart w:id="30" w:name="OLE_LINK54"/>
      <w:bookmarkStart w:id="31" w:name="OLE_LINK55"/>
      <w:r w:rsidRPr="00C77964">
        <w:t>Stage 2 Disinfectants and Disinfection Byproducts Rule</w:t>
      </w:r>
      <w:r>
        <w:t xml:space="preserve"> (Stage 2 DBPR)</w:t>
      </w:r>
      <w:bookmarkEnd w:id="30"/>
      <w:bookmarkEnd w:id="31"/>
    </w:p>
    <w:p w14:paraId="702C2062" w14:textId="77777777" w:rsidR="00101352" w:rsidRDefault="00101352" w:rsidP="00101352">
      <w:r>
        <w:t xml:space="preserve">This regulation expanded upon the Stage 1 DBPR, </w:t>
      </w:r>
      <w:bookmarkStart w:id="32" w:name="OLE_LINK56"/>
      <w:bookmarkStart w:id="33" w:name="OLE_LINK57"/>
      <w:r>
        <w:t>targeting systems in compliance but with peak concentrations greater than Stage 1 MCLs</w:t>
      </w:r>
      <w:bookmarkEnd w:id="32"/>
      <w:bookmarkEnd w:id="33"/>
      <w:r>
        <w:t xml:space="preserve"> </w:t>
      </w:r>
      <w:r>
        <w:rPr>
          <w:noProof/>
        </w:rPr>
        <w:t>(USEPA 2006a)</w:t>
      </w:r>
      <w:r>
        <w:t xml:space="preserve">.  Aggregate annualized system expenditures were estimated at $76.8 million ($2003, 7%) for nine system-size categories </w:t>
      </w:r>
      <w:r>
        <w:rPr>
          <w:noProof/>
        </w:rPr>
        <w:t>(USEPA 2006a, p. 445)</w:t>
      </w:r>
      <w:r>
        <w:t xml:space="preserve">.  Unquantified costs were not identified </w:t>
      </w:r>
      <w:r>
        <w:rPr>
          <w:noProof/>
        </w:rPr>
        <w:t>(USEPA 2005b, p. 7-47)</w:t>
      </w:r>
      <w:r>
        <w:t xml:space="preserve">. Increases in mean household-level expenditures were estimated at $4.58 or less, depending on </w:t>
      </w:r>
      <w:r>
        <w:lastRenderedPageBreak/>
        <w:t xml:space="preserve">system size </w:t>
      </w:r>
      <w:r>
        <w:rPr>
          <w:noProof/>
        </w:rPr>
        <w:t>(USEPA 2006a, Table VI.E-1)</w:t>
      </w:r>
      <w:r>
        <w:t>, and appear to be consistent with the affordability doctrine. Opportunity costs to systems or their customers were not estimated.</w:t>
      </w:r>
    </w:p>
    <w:p w14:paraId="67E335E0" w14:textId="77777777" w:rsidR="00101352" w:rsidRDefault="00101352" w:rsidP="00101352">
      <w:r>
        <w:t>Annualized benefit estimates consist of the value of “</w:t>
      </w:r>
      <w:r w:rsidRPr="0072794A">
        <w:t>reasonable estimate</w:t>
      </w:r>
      <w:r>
        <w:t>[s]</w:t>
      </w:r>
      <w:r w:rsidRPr="0072794A">
        <w:t xml:space="preserve"> of the</w:t>
      </w:r>
      <w:r>
        <w:t xml:space="preserve"> </w:t>
      </w:r>
      <w:r w:rsidRPr="0072794A">
        <w:t>range of potential</w:t>
      </w:r>
      <w:r>
        <w:t xml:space="preserve"> [bladder cancer]</w:t>
      </w:r>
      <w:r w:rsidRPr="0072794A">
        <w:t xml:space="preserve"> risks</w:t>
      </w:r>
      <w:r>
        <w:t>” from peak DBP exposure, acknowledging that “</w:t>
      </w:r>
      <w:r w:rsidRPr="0072794A">
        <w:t>the existing epidemiological evidence</w:t>
      </w:r>
      <w:r>
        <w:t xml:space="preserve"> </w:t>
      </w:r>
      <w:r w:rsidRPr="0072794A">
        <w:t>has not conclusively established</w:t>
      </w:r>
      <w:r>
        <w:t xml:space="preserve"> </w:t>
      </w:r>
      <w:r w:rsidRPr="0072794A">
        <w:t>causality between DBP exposure and</w:t>
      </w:r>
      <w:r>
        <w:t xml:space="preserve"> </w:t>
      </w:r>
      <w:r w:rsidRPr="0072794A">
        <w:t>any health risk endpoints</w:t>
      </w:r>
      <w:r>
        <w:t>.” USEPA acknowledged that “</w:t>
      </w:r>
      <w:r w:rsidRPr="0072794A">
        <w:t>potential risks may be as low</w:t>
      </w:r>
      <w:r>
        <w:t xml:space="preserve"> </w:t>
      </w:r>
      <w:r w:rsidRPr="0072794A">
        <w:t>as zero</w:t>
      </w:r>
      <w:r>
        <w:t xml:space="preserve">” but nevertheless assumed causality. The Agency attributed 2–17% of baseline bladder cancer cases to DBPs </w:t>
      </w:r>
      <w:r>
        <w:rPr>
          <w:noProof/>
        </w:rPr>
        <w:t xml:space="preserve">(USEPA 2006a, p. 444). </w:t>
      </w:r>
      <w:r>
        <w:t xml:space="preserve">Depending on the risk model used (all of which excluded zero risk), the estimated number of cancers prevented ranged from 61 to 610 </w:t>
      </w:r>
      <w:r>
        <w:rPr>
          <w:noProof/>
        </w:rPr>
        <w:t>(USEPA 2006b, Table VI.C-1)</w:t>
      </w:r>
      <w:r>
        <w:t xml:space="preserve">. </w:t>
      </w:r>
    </w:p>
    <w:p w14:paraId="1296D055" w14:textId="77777777" w:rsidR="00101352" w:rsidRDefault="00101352" w:rsidP="00101352">
      <w:r>
        <w:t>Unquantified benefits are discussed, notably reproductive and developmental risks derived from “</w:t>
      </w:r>
      <w:r w:rsidRPr="00934728">
        <w:t>possible</w:t>
      </w:r>
      <w:r>
        <w:t xml:space="preserve"> </w:t>
      </w:r>
      <w:r w:rsidRPr="00934728">
        <w:t>associations</w:t>
      </w:r>
      <w:r>
        <w:t xml:space="preserve">” reported in certain epidemiological studies described as having “mixed” results </w:t>
      </w:r>
      <w:r>
        <w:rPr>
          <w:noProof/>
        </w:rPr>
        <w:t>(USEPA 2006a, p. 391)</w:t>
      </w:r>
      <w:r>
        <w:t>.  USEPA further asserted that the rule might provide these additional benefits because “</w:t>
      </w:r>
      <w:r w:rsidRPr="008D54AE">
        <w:t>a weight of evidence evaluation of the health effects data suggests a potential</w:t>
      </w:r>
      <w:r>
        <w:t xml:space="preserve"> </w:t>
      </w:r>
      <w:r w:rsidRPr="008D54AE">
        <w:t>association</w:t>
      </w:r>
      <w:r>
        <w:t xml:space="preserve">” </w:t>
      </w:r>
      <w:r>
        <w:rPr>
          <w:noProof/>
        </w:rPr>
        <w:t>(USEPA 2005b, p. ES-11)</w:t>
      </w:r>
      <w:r>
        <w:t xml:space="preserve">. USEPA’s net benefit calculation was positive (Table VI.F-1), but as before was obtained by subtracting </w:t>
      </w:r>
      <w:r w:rsidRPr="0091323C">
        <w:rPr>
          <w:i/>
        </w:rPr>
        <w:t>virtually certain expenditures</w:t>
      </w:r>
      <w:r>
        <w:t xml:space="preserve"> from the value of </w:t>
      </w:r>
      <w:r w:rsidRPr="000F1F01">
        <w:rPr>
          <w:i/>
        </w:rPr>
        <w:t>potential benefits</w:t>
      </w:r>
      <w:r>
        <w:t>. The number of cancers that must be prevented to cover annualized opportunity costs cannot be calculated because opportunity costs were not estimated.</w:t>
      </w:r>
    </w:p>
    <w:p w14:paraId="3EC30D51" w14:textId="77777777" w:rsidR="00101352" w:rsidRPr="00FE572B" w:rsidRDefault="00101352" w:rsidP="00101352">
      <w:pPr>
        <w:rPr>
          <w:noProof/>
        </w:rPr>
      </w:pPr>
      <w:r>
        <w:t xml:space="preserve">Adoption of the economic feasibility principle may have yielded a substantially different decision because risk and benefit per person are assumed to be linear while expenditures per person vary greatly by broad system size category, as shown in </w:t>
      </w:r>
      <w:r w:rsidRPr="004E355D">
        <w:fldChar w:fldCharType="begin"/>
      </w:r>
      <w:r w:rsidRPr="004E355D">
        <w:instrText xml:space="preserve"> REF _Ref536528166 </w:instrText>
      </w:r>
      <w:r>
        <w:instrText xml:space="preserve"> \* MERGEFORMAT </w:instrText>
      </w:r>
      <w:r w:rsidRPr="004E355D">
        <w:fldChar w:fldCharType="separate"/>
      </w:r>
    </w:p>
    <w:p w14:paraId="5BE2BE5B" w14:textId="77777777" w:rsidR="00101352" w:rsidRPr="00FE572B" w:rsidRDefault="00101352" w:rsidP="00101352">
      <w:pPr>
        <w:rPr>
          <w:noProof/>
        </w:rPr>
      </w:pPr>
      <w:r>
        <w:br w:type="page"/>
      </w:r>
    </w:p>
    <w:p w14:paraId="24AD9269" w14:textId="77777777" w:rsidR="00101352" w:rsidRDefault="00101352" w:rsidP="00101352">
      <w:r w:rsidRPr="008813B1">
        <w:lastRenderedPageBreak/>
        <w:t xml:space="preserve">Table </w:t>
      </w:r>
      <w:r>
        <w:rPr>
          <w:noProof/>
        </w:rPr>
        <w:t>7</w:t>
      </w:r>
      <w:r w:rsidRPr="008813B1">
        <w:rPr>
          <w:noProof/>
        </w:rPr>
        <w:noBreakHyphen/>
      </w:r>
      <w:r>
        <w:rPr>
          <w:noProof/>
        </w:rPr>
        <w:t>1</w:t>
      </w:r>
      <w:r w:rsidRPr="004E355D">
        <w:fldChar w:fldCharType="end"/>
      </w:r>
      <w:r>
        <w:t xml:space="preserve"> below.</w:t>
      </w:r>
      <w:r>
        <w:rPr>
          <w:rStyle w:val="FootnoteReference"/>
        </w:rPr>
        <w:footnoteReference w:id="2"/>
      </w:r>
      <w:r>
        <w:t xml:space="preserve"> Mean annualized expenditures per household range from $2.83 to $49.69 per year, a span of more than 17x, depending on system size. At the 90</w:t>
      </w:r>
      <w:r w:rsidRPr="00AA6F62">
        <w:rPr>
          <w:vertAlign w:val="superscript"/>
        </w:rPr>
        <w:t>th</w:t>
      </w:r>
      <w:r>
        <w:t xml:space="preserve"> percentile, estimated household expenditures range from $6.98 to $173.53, a factor of 25x. Detailed results by system size are reported in an appendix to </w:t>
      </w:r>
      <w:r>
        <w:rPr>
          <w:noProof/>
        </w:rPr>
        <w:t>USEPA (2005b)</w:t>
      </w:r>
      <w:r>
        <w:t xml:space="preserve"> that is not publicly available, however. </w:t>
      </w:r>
    </w:p>
    <w:p w14:paraId="31D68875" w14:textId="77777777" w:rsidR="00101352" w:rsidRDefault="00101352" w:rsidP="00101352">
      <w:r>
        <w:t>USEPA acknowledged that the scope of potential exposure (&gt; 260 million persons) “</w:t>
      </w:r>
      <w:r w:rsidRPr="00934728">
        <w:t>played a</w:t>
      </w:r>
      <w:r>
        <w:t xml:space="preserve"> </w:t>
      </w:r>
      <w:r w:rsidRPr="00934728">
        <w:t>significant role</w:t>
      </w:r>
      <w:r>
        <w:t>” in its decision to promulgate the Stage 2 DBPR, not the strength of evidence for risk. USEPA also described the rule as necessary to ensure “</w:t>
      </w:r>
      <w:r w:rsidRPr="00214F9F">
        <w:t>more consistent, equitable protection</w:t>
      </w:r>
      <w:r>
        <w:t xml:space="preserve"> </w:t>
      </w:r>
      <w:r w:rsidRPr="00214F9F">
        <w:t>from DBPs</w:t>
      </w:r>
      <w:r>
        <w:t xml:space="preserve">” </w:t>
      </w:r>
      <w:r>
        <w:rPr>
          <w:noProof/>
        </w:rPr>
        <w:t>(USEPA 2006a, p. 391)</w:t>
      </w:r>
      <w:r>
        <w:t xml:space="preserve">, thus indicating that achieving quantity-based equity was a significant consideration. </w:t>
      </w:r>
    </w:p>
    <w:p w14:paraId="0E3DC0D5" w14:textId="77777777" w:rsidR="00101352" w:rsidRDefault="00101352" w:rsidP="00101352">
      <w:pPr>
        <w:spacing w:line="240" w:lineRule="auto"/>
        <w:ind w:firstLine="0"/>
        <w:rPr>
          <w:iCs/>
          <w:color w:val="000000" w:themeColor="text1"/>
          <w:szCs w:val="18"/>
        </w:rPr>
      </w:pPr>
      <w:bookmarkStart w:id="34" w:name="_Ref536528166"/>
    </w:p>
    <w:p w14:paraId="721B5410" w14:textId="77777777" w:rsidR="00101352" w:rsidRDefault="00101352" w:rsidP="00101352">
      <w:pPr>
        <w:spacing w:line="240" w:lineRule="auto"/>
        <w:ind w:firstLine="0"/>
        <w:rPr>
          <w:iCs/>
          <w:color w:val="000000" w:themeColor="text1"/>
          <w:szCs w:val="18"/>
        </w:rPr>
      </w:pPr>
      <w:r>
        <w:br w:type="page"/>
      </w:r>
    </w:p>
    <w:p w14:paraId="1D74DBDB" w14:textId="77777777" w:rsidR="00101352" w:rsidRDefault="00101352" w:rsidP="00101352">
      <w:pPr>
        <w:pStyle w:val="Caption"/>
        <w:keepNext/>
        <w:ind w:left="900" w:hanging="900"/>
      </w:pPr>
      <w:r w:rsidRPr="008813B1">
        <w:lastRenderedPageBreak/>
        <w:t xml:space="preserve">Table </w:t>
      </w:r>
      <w:fldSimple w:instr=" STYLEREF 1 \s ">
        <w:r>
          <w:rPr>
            <w:noProof/>
          </w:rPr>
          <w:t>7</w:t>
        </w:r>
      </w:fldSimple>
      <w:r w:rsidRPr="008813B1">
        <w:noBreakHyphen/>
      </w:r>
      <w:fldSimple w:instr=" SEQ Table \* ARABIC \s 1 ">
        <w:r>
          <w:rPr>
            <w:noProof/>
          </w:rPr>
          <w:t>1</w:t>
        </w:r>
      </w:fldSimple>
      <w:bookmarkEnd w:id="34"/>
      <w:r w:rsidRPr="008813B1">
        <w:t>: Stage 2 DBPR: Annualized Expenditure Increases per Household</w:t>
      </w:r>
      <w:r>
        <w:t xml:space="preserve">, Breakeven Annualized Cancer Cases per household, and </w:t>
      </w:r>
      <w:r w:rsidRPr="008813B1">
        <w:t>Breakeven Minimum</w:t>
      </w:r>
      <w:r>
        <w:t xml:space="preserve"> Households per Cancer Case Avoided</w:t>
      </w:r>
    </w:p>
    <w:tbl>
      <w:tblPr>
        <w:tblW w:w="9360"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761"/>
        <w:gridCol w:w="2208"/>
        <w:gridCol w:w="2110"/>
        <w:gridCol w:w="2266"/>
        <w:gridCol w:w="15"/>
      </w:tblGrid>
      <w:tr w:rsidR="00101352" w:rsidRPr="006107A3" w14:paraId="00EFCB56" w14:textId="77777777" w:rsidTr="005553E8">
        <w:trPr>
          <w:trHeight w:val="1360"/>
        </w:trPr>
        <w:tc>
          <w:tcPr>
            <w:tcW w:w="2761" w:type="dxa"/>
            <w:tcBorders>
              <w:top w:val="double" w:sz="4" w:space="0" w:color="auto"/>
              <w:bottom w:val="double" w:sz="4" w:space="0" w:color="auto"/>
            </w:tcBorders>
            <w:shd w:val="clear" w:color="auto" w:fill="auto"/>
            <w:vAlign w:val="center"/>
            <w:hideMark/>
          </w:tcPr>
          <w:p w14:paraId="272325B8" w14:textId="77777777" w:rsidR="00101352" w:rsidRDefault="00101352" w:rsidP="005553E8">
            <w:pPr>
              <w:keepLines/>
              <w:spacing w:line="240" w:lineRule="auto"/>
              <w:ind w:firstLine="0"/>
              <w:jc w:val="center"/>
            </w:pPr>
            <w:r w:rsidRPr="006107A3">
              <w:t>Annualized</w:t>
            </w:r>
            <w:r>
              <w:br/>
            </w:r>
            <w:r w:rsidRPr="006107A3">
              <w:t>Expenditure/</w:t>
            </w:r>
          </w:p>
          <w:p w14:paraId="0A6AD06D" w14:textId="77777777" w:rsidR="00101352" w:rsidRPr="006107A3" w:rsidRDefault="00101352" w:rsidP="005553E8">
            <w:pPr>
              <w:keepLines/>
              <w:spacing w:line="240" w:lineRule="auto"/>
              <w:ind w:firstLine="0"/>
              <w:jc w:val="center"/>
            </w:pPr>
            <w:r w:rsidRPr="006107A3">
              <w:t>Household</w:t>
            </w:r>
          </w:p>
        </w:tc>
        <w:tc>
          <w:tcPr>
            <w:tcW w:w="2208" w:type="dxa"/>
            <w:tcBorders>
              <w:top w:val="double" w:sz="4" w:space="0" w:color="auto"/>
              <w:bottom w:val="double" w:sz="4" w:space="0" w:color="auto"/>
            </w:tcBorders>
            <w:vAlign w:val="center"/>
          </w:tcPr>
          <w:p w14:paraId="3ECA8B23" w14:textId="77777777" w:rsidR="00101352" w:rsidRPr="006107A3" w:rsidRDefault="00101352" w:rsidP="005553E8">
            <w:pPr>
              <w:keepLines/>
              <w:spacing w:line="240" w:lineRule="auto"/>
              <w:ind w:firstLine="0"/>
              <w:jc w:val="center"/>
            </w:pPr>
            <w:r>
              <w:t>System</w:t>
            </w:r>
            <w:r>
              <w:br/>
              <w:t>Category</w:t>
            </w:r>
          </w:p>
        </w:tc>
        <w:tc>
          <w:tcPr>
            <w:tcW w:w="2110" w:type="dxa"/>
            <w:tcBorders>
              <w:top w:val="double" w:sz="4" w:space="0" w:color="auto"/>
              <w:bottom w:val="double" w:sz="4" w:space="0" w:color="auto"/>
            </w:tcBorders>
            <w:shd w:val="clear" w:color="auto" w:fill="auto"/>
            <w:vAlign w:val="center"/>
            <w:hideMark/>
          </w:tcPr>
          <w:p w14:paraId="7B4897A0" w14:textId="77777777" w:rsidR="00101352" w:rsidRPr="006107A3" w:rsidRDefault="00101352" w:rsidP="005553E8">
            <w:pPr>
              <w:keepLines/>
              <w:spacing w:line="240" w:lineRule="auto"/>
              <w:ind w:firstLine="0"/>
              <w:jc w:val="center"/>
            </w:pPr>
            <w:r>
              <w:t xml:space="preserve">Breakeven </w:t>
            </w:r>
            <w:r w:rsidRPr="006107A3">
              <w:t xml:space="preserve">Minimum Annualized </w:t>
            </w:r>
            <w:r>
              <w:t xml:space="preserve">Cancer </w:t>
            </w:r>
            <w:r w:rsidRPr="006107A3">
              <w:t>Cases</w:t>
            </w:r>
            <w:r>
              <w:t xml:space="preserve"> per Household</w:t>
            </w:r>
          </w:p>
        </w:tc>
        <w:tc>
          <w:tcPr>
            <w:tcW w:w="2281" w:type="dxa"/>
            <w:gridSpan w:val="2"/>
            <w:tcBorders>
              <w:top w:val="double" w:sz="4" w:space="0" w:color="auto"/>
              <w:bottom w:val="double" w:sz="4" w:space="0" w:color="auto"/>
            </w:tcBorders>
            <w:shd w:val="clear" w:color="auto" w:fill="auto"/>
            <w:vAlign w:val="center"/>
            <w:hideMark/>
          </w:tcPr>
          <w:p w14:paraId="2AEDD421" w14:textId="77777777" w:rsidR="00101352" w:rsidRPr="006107A3" w:rsidRDefault="00101352" w:rsidP="005553E8">
            <w:pPr>
              <w:keepLines/>
              <w:spacing w:line="240" w:lineRule="auto"/>
              <w:ind w:right="-123" w:firstLine="0"/>
              <w:jc w:val="center"/>
            </w:pPr>
            <w:r>
              <w:t xml:space="preserve">Breakeven Minimum </w:t>
            </w:r>
            <w:r w:rsidRPr="006107A3">
              <w:t xml:space="preserve"> Households </w:t>
            </w:r>
            <w:r>
              <w:t xml:space="preserve">per Cancer </w:t>
            </w:r>
            <w:r w:rsidRPr="006107A3">
              <w:t>Case</w:t>
            </w:r>
            <w:r>
              <w:t xml:space="preserve"> Avoided</w:t>
            </w:r>
          </w:p>
        </w:tc>
      </w:tr>
      <w:tr w:rsidR="00101352" w:rsidRPr="006107A3" w14:paraId="79396CE3" w14:textId="77777777" w:rsidTr="005553E8">
        <w:trPr>
          <w:gridAfter w:val="1"/>
          <w:wAfter w:w="15" w:type="dxa"/>
          <w:trHeight w:val="320"/>
        </w:trPr>
        <w:tc>
          <w:tcPr>
            <w:tcW w:w="9345" w:type="dxa"/>
            <w:gridSpan w:val="4"/>
            <w:vAlign w:val="center"/>
          </w:tcPr>
          <w:p w14:paraId="0A585173" w14:textId="77777777" w:rsidR="00101352" w:rsidRPr="006107A3" w:rsidRDefault="00101352" w:rsidP="005553E8">
            <w:pPr>
              <w:keepLines/>
              <w:spacing w:line="240" w:lineRule="auto"/>
              <w:ind w:firstLine="0"/>
              <w:jc w:val="both"/>
            </w:pPr>
            <w:r>
              <w:t>AVERAGE</w:t>
            </w:r>
          </w:p>
        </w:tc>
      </w:tr>
      <w:tr w:rsidR="00101352" w:rsidRPr="006107A3" w14:paraId="702969A6" w14:textId="77777777" w:rsidTr="005553E8">
        <w:trPr>
          <w:trHeight w:val="320"/>
        </w:trPr>
        <w:tc>
          <w:tcPr>
            <w:tcW w:w="2761" w:type="dxa"/>
            <w:tcBorders>
              <w:top w:val="double" w:sz="4" w:space="0" w:color="auto"/>
              <w:bottom w:val="nil"/>
            </w:tcBorders>
            <w:shd w:val="clear" w:color="auto" w:fill="auto"/>
            <w:noWrap/>
            <w:vAlign w:val="center"/>
            <w:hideMark/>
          </w:tcPr>
          <w:p w14:paraId="2B132A14" w14:textId="77777777" w:rsidR="00101352" w:rsidRPr="006107A3" w:rsidRDefault="00101352" w:rsidP="005553E8">
            <w:pPr>
              <w:keepLines/>
              <w:spacing w:line="240" w:lineRule="auto"/>
              <w:ind w:firstLine="0"/>
              <w:jc w:val="right"/>
            </w:pPr>
            <w:r w:rsidRPr="006107A3">
              <w:t xml:space="preserve"> $         2.83 </w:t>
            </w:r>
          </w:p>
        </w:tc>
        <w:tc>
          <w:tcPr>
            <w:tcW w:w="2208" w:type="dxa"/>
            <w:tcBorders>
              <w:top w:val="double" w:sz="4" w:space="0" w:color="auto"/>
              <w:bottom w:val="nil"/>
            </w:tcBorders>
            <w:vAlign w:val="center"/>
          </w:tcPr>
          <w:p w14:paraId="194208D3" w14:textId="77777777" w:rsidR="00101352" w:rsidRPr="006107A3" w:rsidRDefault="00101352" w:rsidP="005553E8">
            <w:pPr>
              <w:keepLines/>
              <w:spacing w:line="240" w:lineRule="auto"/>
              <w:ind w:firstLine="0"/>
              <w:jc w:val="right"/>
            </w:pPr>
            <w:r>
              <w:t>SW &gt; 10k</w:t>
            </w:r>
          </w:p>
        </w:tc>
        <w:tc>
          <w:tcPr>
            <w:tcW w:w="2110" w:type="dxa"/>
            <w:tcBorders>
              <w:top w:val="double" w:sz="4" w:space="0" w:color="auto"/>
              <w:bottom w:val="nil"/>
            </w:tcBorders>
            <w:shd w:val="clear" w:color="auto" w:fill="auto"/>
            <w:noWrap/>
            <w:vAlign w:val="center"/>
            <w:hideMark/>
          </w:tcPr>
          <w:p w14:paraId="15594C0A" w14:textId="77777777" w:rsidR="00101352" w:rsidRPr="006107A3" w:rsidRDefault="00101352" w:rsidP="005553E8">
            <w:pPr>
              <w:keepLines/>
              <w:spacing w:line="240" w:lineRule="auto"/>
              <w:ind w:firstLine="0"/>
              <w:jc w:val="right"/>
            </w:pPr>
            <w:r w:rsidRPr="006107A3">
              <w:t>2.53</w:t>
            </w:r>
            <w:r>
              <w:t xml:space="preserve"> </w:t>
            </w:r>
            <w:r>
              <w:sym w:font="Symbol" w:char="F0B4"/>
            </w:r>
            <w:r>
              <w:t xml:space="preserve"> 10</w:t>
            </w:r>
            <w:r w:rsidRPr="00891FA7">
              <w:rPr>
                <w:vertAlign w:val="superscript"/>
              </w:rPr>
              <w:t>-</w:t>
            </w:r>
            <w:r w:rsidRPr="006107A3">
              <w:rPr>
                <w:vertAlign w:val="superscript"/>
              </w:rPr>
              <w:t>6</w:t>
            </w:r>
          </w:p>
        </w:tc>
        <w:tc>
          <w:tcPr>
            <w:tcW w:w="2281" w:type="dxa"/>
            <w:gridSpan w:val="2"/>
            <w:tcBorders>
              <w:top w:val="double" w:sz="4" w:space="0" w:color="auto"/>
              <w:bottom w:val="nil"/>
            </w:tcBorders>
            <w:shd w:val="clear" w:color="auto" w:fill="auto"/>
            <w:noWrap/>
            <w:vAlign w:val="center"/>
            <w:hideMark/>
          </w:tcPr>
          <w:p w14:paraId="1DC6D6C1" w14:textId="77777777" w:rsidR="00101352" w:rsidRPr="006107A3" w:rsidRDefault="00101352" w:rsidP="005553E8">
            <w:pPr>
              <w:keepLines/>
              <w:spacing w:line="240" w:lineRule="auto"/>
              <w:ind w:firstLine="0"/>
              <w:jc w:val="right"/>
            </w:pPr>
            <w:r w:rsidRPr="006107A3">
              <w:t xml:space="preserve">        395,505 </w:t>
            </w:r>
          </w:p>
        </w:tc>
      </w:tr>
      <w:tr w:rsidR="00101352" w:rsidRPr="006107A3" w14:paraId="01E74BD5" w14:textId="77777777" w:rsidTr="005553E8">
        <w:trPr>
          <w:trHeight w:val="320"/>
        </w:trPr>
        <w:tc>
          <w:tcPr>
            <w:tcW w:w="2761" w:type="dxa"/>
            <w:tcBorders>
              <w:top w:val="nil"/>
              <w:bottom w:val="double" w:sz="4" w:space="0" w:color="auto"/>
            </w:tcBorders>
            <w:shd w:val="clear" w:color="auto" w:fill="auto"/>
            <w:noWrap/>
            <w:vAlign w:val="center"/>
            <w:hideMark/>
          </w:tcPr>
          <w:p w14:paraId="7FC706B4" w14:textId="77777777" w:rsidR="00101352" w:rsidRPr="006107A3" w:rsidRDefault="00101352" w:rsidP="005553E8">
            <w:pPr>
              <w:keepLines/>
              <w:spacing w:line="240" w:lineRule="auto"/>
              <w:ind w:firstLine="0"/>
              <w:jc w:val="right"/>
            </w:pPr>
            <w:r w:rsidRPr="006107A3">
              <w:t xml:space="preserve"> $       49.69 </w:t>
            </w:r>
          </w:p>
        </w:tc>
        <w:tc>
          <w:tcPr>
            <w:tcW w:w="2208" w:type="dxa"/>
            <w:tcBorders>
              <w:top w:val="nil"/>
              <w:bottom w:val="double" w:sz="4" w:space="0" w:color="auto"/>
            </w:tcBorders>
            <w:vAlign w:val="center"/>
          </w:tcPr>
          <w:p w14:paraId="11591BE8" w14:textId="77777777" w:rsidR="00101352" w:rsidRPr="006107A3" w:rsidRDefault="00101352" w:rsidP="005553E8">
            <w:pPr>
              <w:keepLines/>
              <w:spacing w:line="240" w:lineRule="auto"/>
              <w:ind w:firstLine="0"/>
              <w:jc w:val="right"/>
            </w:pPr>
            <w:r>
              <w:t>GW &lt; 10k</w:t>
            </w:r>
          </w:p>
        </w:tc>
        <w:tc>
          <w:tcPr>
            <w:tcW w:w="2110" w:type="dxa"/>
            <w:tcBorders>
              <w:top w:val="nil"/>
              <w:bottom w:val="double" w:sz="4" w:space="0" w:color="auto"/>
            </w:tcBorders>
            <w:shd w:val="clear" w:color="auto" w:fill="auto"/>
            <w:noWrap/>
            <w:vAlign w:val="center"/>
            <w:hideMark/>
          </w:tcPr>
          <w:p w14:paraId="22905824" w14:textId="77777777" w:rsidR="00101352" w:rsidRPr="006107A3" w:rsidRDefault="00101352" w:rsidP="005553E8">
            <w:pPr>
              <w:keepLines/>
              <w:spacing w:line="240" w:lineRule="auto"/>
              <w:ind w:firstLine="0"/>
              <w:jc w:val="right"/>
            </w:pPr>
            <w:r w:rsidRPr="006107A3">
              <w:t>4.44</w:t>
            </w:r>
            <w:r>
              <w:t xml:space="preserve"> </w:t>
            </w:r>
            <w:r>
              <w:sym w:font="Symbol" w:char="F0B4"/>
            </w:r>
            <w:r>
              <w:t xml:space="preserve"> 10</w:t>
            </w:r>
            <w:r w:rsidRPr="00891FA7">
              <w:rPr>
                <w:vertAlign w:val="superscript"/>
              </w:rPr>
              <w:t>-</w:t>
            </w:r>
            <w:r>
              <w:rPr>
                <w:vertAlign w:val="superscript"/>
              </w:rPr>
              <w:t>5</w:t>
            </w:r>
          </w:p>
        </w:tc>
        <w:tc>
          <w:tcPr>
            <w:tcW w:w="2281" w:type="dxa"/>
            <w:gridSpan w:val="2"/>
            <w:tcBorders>
              <w:top w:val="nil"/>
              <w:bottom w:val="double" w:sz="4" w:space="0" w:color="auto"/>
            </w:tcBorders>
            <w:shd w:val="clear" w:color="auto" w:fill="auto"/>
            <w:noWrap/>
            <w:vAlign w:val="center"/>
            <w:hideMark/>
          </w:tcPr>
          <w:p w14:paraId="16923426" w14:textId="77777777" w:rsidR="00101352" w:rsidRPr="006107A3" w:rsidRDefault="00101352" w:rsidP="005553E8">
            <w:pPr>
              <w:keepLines/>
              <w:spacing w:line="240" w:lineRule="auto"/>
              <w:ind w:firstLine="0"/>
              <w:jc w:val="right"/>
            </w:pPr>
            <w:r w:rsidRPr="006107A3">
              <w:t xml:space="preserve">          22,525 </w:t>
            </w:r>
          </w:p>
        </w:tc>
      </w:tr>
      <w:tr w:rsidR="00101352" w:rsidRPr="006107A3" w14:paraId="4F994EB0" w14:textId="77777777" w:rsidTr="005553E8">
        <w:trPr>
          <w:gridAfter w:val="1"/>
          <w:wAfter w:w="15" w:type="dxa"/>
          <w:trHeight w:val="320"/>
        </w:trPr>
        <w:tc>
          <w:tcPr>
            <w:tcW w:w="9345" w:type="dxa"/>
            <w:gridSpan w:val="4"/>
            <w:tcBorders>
              <w:top w:val="double" w:sz="4" w:space="0" w:color="auto"/>
              <w:bottom w:val="double" w:sz="4" w:space="0" w:color="auto"/>
            </w:tcBorders>
            <w:vAlign w:val="center"/>
          </w:tcPr>
          <w:p w14:paraId="2154DC6F" w14:textId="77777777" w:rsidR="00101352" w:rsidRPr="006107A3" w:rsidRDefault="00101352" w:rsidP="005553E8">
            <w:pPr>
              <w:keepLines/>
              <w:spacing w:line="240" w:lineRule="auto"/>
              <w:ind w:firstLine="0"/>
            </w:pPr>
            <w:r w:rsidRPr="006107A3">
              <w:t>90</w:t>
            </w:r>
            <w:r w:rsidRPr="00C2697A">
              <w:rPr>
                <w:vertAlign w:val="superscript"/>
              </w:rPr>
              <w:t>th</w:t>
            </w:r>
            <w:r>
              <w:t xml:space="preserve"> </w:t>
            </w:r>
            <w:r w:rsidRPr="006107A3">
              <w:t>PERCENTILE</w:t>
            </w:r>
            <w:r>
              <w:t xml:space="preserve"> </w:t>
            </w:r>
          </w:p>
        </w:tc>
      </w:tr>
      <w:tr w:rsidR="00101352" w:rsidRPr="006107A3" w14:paraId="787DA620" w14:textId="77777777" w:rsidTr="005553E8">
        <w:trPr>
          <w:trHeight w:val="320"/>
        </w:trPr>
        <w:tc>
          <w:tcPr>
            <w:tcW w:w="2761" w:type="dxa"/>
            <w:shd w:val="clear" w:color="auto" w:fill="auto"/>
            <w:noWrap/>
            <w:vAlign w:val="center"/>
            <w:hideMark/>
          </w:tcPr>
          <w:p w14:paraId="476CA7E7" w14:textId="77777777" w:rsidR="00101352" w:rsidRPr="006107A3" w:rsidRDefault="00101352" w:rsidP="005553E8">
            <w:pPr>
              <w:keepLines/>
              <w:spacing w:line="240" w:lineRule="auto"/>
              <w:ind w:firstLine="0"/>
              <w:jc w:val="right"/>
            </w:pPr>
            <w:r w:rsidRPr="006107A3">
              <w:t xml:space="preserve"> $         6.98 </w:t>
            </w:r>
          </w:p>
        </w:tc>
        <w:tc>
          <w:tcPr>
            <w:tcW w:w="2208" w:type="dxa"/>
            <w:vAlign w:val="center"/>
          </w:tcPr>
          <w:p w14:paraId="2E722D53" w14:textId="77777777" w:rsidR="00101352" w:rsidRPr="006107A3" w:rsidRDefault="00101352" w:rsidP="005553E8">
            <w:pPr>
              <w:keepLines/>
              <w:spacing w:line="240" w:lineRule="auto"/>
              <w:ind w:firstLine="0"/>
              <w:jc w:val="right"/>
            </w:pPr>
            <w:r>
              <w:t>SW &gt; 10k</w:t>
            </w:r>
          </w:p>
        </w:tc>
        <w:tc>
          <w:tcPr>
            <w:tcW w:w="2110" w:type="dxa"/>
            <w:shd w:val="clear" w:color="auto" w:fill="auto"/>
            <w:noWrap/>
            <w:vAlign w:val="center"/>
            <w:hideMark/>
          </w:tcPr>
          <w:p w14:paraId="6D418BE9" w14:textId="77777777" w:rsidR="00101352" w:rsidRPr="006107A3" w:rsidRDefault="00101352" w:rsidP="005553E8">
            <w:pPr>
              <w:keepLines/>
              <w:spacing w:line="240" w:lineRule="auto"/>
              <w:ind w:firstLine="0"/>
              <w:jc w:val="right"/>
            </w:pPr>
            <w:r w:rsidRPr="006107A3">
              <w:t>6.24</w:t>
            </w:r>
            <w:r>
              <w:t xml:space="preserve"> </w:t>
            </w:r>
            <w:r>
              <w:sym w:font="Symbol" w:char="F0B4"/>
            </w:r>
            <w:r>
              <w:t xml:space="preserve"> 10</w:t>
            </w:r>
            <w:r w:rsidRPr="00891FA7">
              <w:rPr>
                <w:vertAlign w:val="superscript"/>
              </w:rPr>
              <w:t>-</w:t>
            </w:r>
            <w:r w:rsidRPr="006107A3">
              <w:rPr>
                <w:vertAlign w:val="superscript"/>
              </w:rPr>
              <w:t>6</w:t>
            </w:r>
          </w:p>
        </w:tc>
        <w:tc>
          <w:tcPr>
            <w:tcW w:w="2281" w:type="dxa"/>
            <w:gridSpan w:val="2"/>
            <w:shd w:val="clear" w:color="auto" w:fill="auto"/>
            <w:noWrap/>
            <w:vAlign w:val="center"/>
            <w:hideMark/>
          </w:tcPr>
          <w:p w14:paraId="06A163C8" w14:textId="77777777" w:rsidR="00101352" w:rsidRPr="006107A3" w:rsidRDefault="00101352" w:rsidP="005553E8">
            <w:pPr>
              <w:keepLines/>
              <w:spacing w:line="240" w:lineRule="auto"/>
              <w:ind w:firstLine="0"/>
              <w:jc w:val="right"/>
            </w:pPr>
            <w:r w:rsidRPr="006107A3">
              <w:t xml:space="preserve">        160,355 </w:t>
            </w:r>
          </w:p>
        </w:tc>
      </w:tr>
      <w:tr w:rsidR="00101352" w:rsidRPr="006107A3" w14:paraId="07280826" w14:textId="77777777" w:rsidTr="005553E8">
        <w:trPr>
          <w:trHeight w:val="320"/>
        </w:trPr>
        <w:tc>
          <w:tcPr>
            <w:tcW w:w="2761" w:type="dxa"/>
            <w:tcBorders>
              <w:bottom w:val="double" w:sz="4" w:space="0" w:color="auto"/>
            </w:tcBorders>
            <w:shd w:val="clear" w:color="auto" w:fill="auto"/>
            <w:noWrap/>
            <w:vAlign w:val="center"/>
            <w:hideMark/>
          </w:tcPr>
          <w:p w14:paraId="075B1BDB" w14:textId="77777777" w:rsidR="00101352" w:rsidRPr="006107A3" w:rsidRDefault="00101352" w:rsidP="005553E8">
            <w:pPr>
              <w:keepLines/>
              <w:spacing w:line="240" w:lineRule="auto"/>
              <w:ind w:firstLine="0"/>
              <w:jc w:val="right"/>
            </w:pPr>
            <w:r w:rsidRPr="006107A3">
              <w:t xml:space="preserve"> $     173.53 </w:t>
            </w:r>
          </w:p>
        </w:tc>
        <w:tc>
          <w:tcPr>
            <w:tcW w:w="2208" w:type="dxa"/>
            <w:tcBorders>
              <w:bottom w:val="double" w:sz="4" w:space="0" w:color="auto"/>
            </w:tcBorders>
            <w:vAlign w:val="center"/>
          </w:tcPr>
          <w:p w14:paraId="4D484858" w14:textId="77777777" w:rsidR="00101352" w:rsidRPr="006107A3" w:rsidRDefault="00101352" w:rsidP="005553E8">
            <w:pPr>
              <w:keepLines/>
              <w:spacing w:line="240" w:lineRule="auto"/>
              <w:ind w:firstLine="0"/>
              <w:jc w:val="right"/>
            </w:pPr>
            <w:r>
              <w:t>SW &lt; 10k</w:t>
            </w:r>
          </w:p>
        </w:tc>
        <w:tc>
          <w:tcPr>
            <w:tcW w:w="2110" w:type="dxa"/>
            <w:tcBorders>
              <w:bottom w:val="double" w:sz="4" w:space="0" w:color="auto"/>
            </w:tcBorders>
            <w:shd w:val="clear" w:color="auto" w:fill="auto"/>
            <w:noWrap/>
            <w:vAlign w:val="center"/>
            <w:hideMark/>
          </w:tcPr>
          <w:p w14:paraId="690C431D" w14:textId="77777777" w:rsidR="00101352" w:rsidRPr="006107A3" w:rsidRDefault="00101352" w:rsidP="005553E8">
            <w:pPr>
              <w:keepLines/>
              <w:spacing w:line="240" w:lineRule="auto"/>
              <w:ind w:firstLine="0"/>
              <w:jc w:val="right"/>
            </w:pPr>
            <w:r w:rsidRPr="006107A3">
              <w:t>1.55</w:t>
            </w:r>
            <w:r>
              <w:t xml:space="preserve"> </w:t>
            </w:r>
            <w:r>
              <w:sym w:font="Symbol" w:char="F0B4"/>
            </w:r>
            <w:r>
              <w:t xml:space="preserve"> 10</w:t>
            </w:r>
            <w:r w:rsidRPr="00891FA7">
              <w:rPr>
                <w:vertAlign w:val="superscript"/>
              </w:rPr>
              <w:t>-</w:t>
            </w:r>
            <w:r w:rsidRPr="006107A3">
              <w:rPr>
                <w:vertAlign w:val="superscript"/>
              </w:rPr>
              <w:t>4</w:t>
            </w:r>
          </w:p>
        </w:tc>
        <w:tc>
          <w:tcPr>
            <w:tcW w:w="2281" w:type="dxa"/>
            <w:gridSpan w:val="2"/>
            <w:tcBorders>
              <w:bottom w:val="double" w:sz="4" w:space="0" w:color="auto"/>
            </w:tcBorders>
            <w:shd w:val="clear" w:color="auto" w:fill="auto"/>
            <w:noWrap/>
            <w:vAlign w:val="center"/>
            <w:hideMark/>
          </w:tcPr>
          <w:p w14:paraId="1677A600" w14:textId="77777777" w:rsidR="00101352" w:rsidRPr="006107A3" w:rsidRDefault="00101352" w:rsidP="005553E8">
            <w:pPr>
              <w:keepLines/>
              <w:spacing w:line="240" w:lineRule="auto"/>
              <w:ind w:firstLine="0"/>
              <w:jc w:val="right"/>
            </w:pPr>
            <w:r w:rsidRPr="006107A3">
              <w:t xml:space="preserve">            6,450 </w:t>
            </w:r>
          </w:p>
        </w:tc>
      </w:tr>
      <w:tr w:rsidR="00101352" w:rsidRPr="006107A3" w14:paraId="4FD597EE" w14:textId="77777777" w:rsidTr="005553E8">
        <w:trPr>
          <w:trHeight w:val="320"/>
        </w:trPr>
        <w:tc>
          <w:tcPr>
            <w:tcW w:w="9360" w:type="dxa"/>
            <w:gridSpan w:val="5"/>
            <w:tcBorders>
              <w:top w:val="double" w:sz="4" w:space="0" w:color="auto"/>
              <w:bottom w:val="double" w:sz="4" w:space="0" w:color="auto"/>
            </w:tcBorders>
            <w:shd w:val="clear" w:color="auto" w:fill="auto"/>
            <w:noWrap/>
            <w:vAlign w:val="center"/>
          </w:tcPr>
          <w:p w14:paraId="25CD4B7C" w14:textId="77777777" w:rsidR="00101352" w:rsidRPr="006107A3" w:rsidRDefault="00101352" w:rsidP="005553E8">
            <w:pPr>
              <w:keepLines/>
              <w:spacing w:line="240" w:lineRule="auto"/>
              <w:ind w:firstLine="0"/>
            </w:pPr>
            <w:r>
              <w:t xml:space="preserve">Derived from </w:t>
            </w:r>
            <w:r>
              <w:rPr>
                <w:noProof/>
              </w:rPr>
              <w:t>USEPA (2005a)</w:t>
            </w:r>
            <w:r>
              <w:t>. Value of prevented fatal and nonfatal bladder cancer = $2.028 million and $0.8 million, respectively. Proportion of bladder cancers assumed fatal = 26%.</w:t>
            </w:r>
          </w:p>
        </w:tc>
      </w:tr>
    </w:tbl>
    <w:p w14:paraId="50327507" w14:textId="77777777" w:rsidR="00101352" w:rsidRPr="009F1FB6" w:rsidRDefault="00101352" w:rsidP="00101352">
      <w:pPr>
        <w:ind w:firstLine="0"/>
      </w:pPr>
    </w:p>
    <w:p w14:paraId="3AC07924" w14:textId="77777777" w:rsidR="00101352" w:rsidRDefault="00101352" w:rsidP="00101352">
      <w:pPr>
        <w:spacing w:line="240" w:lineRule="auto"/>
        <w:ind w:firstLine="0"/>
        <w:rPr>
          <w:rFonts w:eastAsiaTheme="majorEastAsia" w:cstheme="majorBidi"/>
          <w:color w:val="000000" w:themeColor="text1"/>
          <w:u w:val="single"/>
        </w:rPr>
      </w:pPr>
      <w:bookmarkStart w:id="35" w:name="OLE_LINK58"/>
      <w:bookmarkStart w:id="36" w:name="OLE_LINK59"/>
      <w:r>
        <w:br w:type="page"/>
      </w:r>
    </w:p>
    <w:p w14:paraId="04F42DA1" w14:textId="77777777" w:rsidR="00101352" w:rsidRDefault="00101352" w:rsidP="00101352">
      <w:pPr>
        <w:pStyle w:val="Heading3"/>
      </w:pPr>
      <w:r w:rsidRPr="00C77964">
        <w:lastRenderedPageBreak/>
        <w:t>Long Term 2 Enhanced Surface Water Treatment Rule</w:t>
      </w:r>
      <w:r>
        <w:t xml:space="preserve"> (LT2ESWTR</w:t>
      </w:r>
      <w:bookmarkEnd w:id="35"/>
      <w:bookmarkEnd w:id="36"/>
      <w:r>
        <w:t>)</w:t>
      </w:r>
    </w:p>
    <w:p w14:paraId="26871AE8" w14:textId="77777777" w:rsidR="00101352" w:rsidRDefault="00101352" w:rsidP="00101352">
      <w:r>
        <w:t xml:space="preserve">This regulation expanded regulatory requirements for the treatment of surface waters used for drinking water for the control of </w:t>
      </w:r>
      <w:r w:rsidRPr="004E49F7">
        <w:rPr>
          <w:i/>
        </w:rPr>
        <w:t>Cryptosporidium</w:t>
      </w:r>
      <w:r>
        <w:t xml:space="preserve"> and other microbial pathogens resistant to disinfection </w:t>
      </w:r>
      <w:r>
        <w:rPr>
          <w:noProof/>
        </w:rPr>
        <w:t>(USEPA 2006b)</w:t>
      </w:r>
      <w:r>
        <w:t xml:space="preserve">.  </w:t>
      </w:r>
      <w:bookmarkStart w:id="37" w:name="OLE_LINK60"/>
      <w:bookmarkStart w:id="38" w:name="OLE_LINK61"/>
      <w:r>
        <w:t>The rule targeted systems that rely on surface waters with unusually high</w:t>
      </w:r>
      <w:r w:rsidRPr="00FA028A">
        <w:rPr>
          <w:i/>
        </w:rPr>
        <w:t xml:space="preserve"> </w:t>
      </w:r>
      <w:r w:rsidRPr="004E49F7">
        <w:rPr>
          <w:i/>
        </w:rPr>
        <w:t>Cryptosporidium</w:t>
      </w:r>
      <w:r>
        <w:t xml:space="preserve"> occurrence (not concentration) rates; subjected to treatment requirements systems that previously were not required to filter; and required existing finished water storage reservoirs to be covered. </w:t>
      </w:r>
      <w:bookmarkEnd w:id="37"/>
      <w:bookmarkEnd w:id="38"/>
      <w:r>
        <w:t xml:space="preserve">USEPA determined that benefits justified the costs </w:t>
      </w:r>
      <w:r>
        <w:rPr>
          <w:noProof/>
        </w:rPr>
        <w:t>(USEPA 2006b, p. 748)</w:t>
      </w:r>
      <w:r>
        <w:t>, thus making the rule potentially susceptible to economic feasibility analysis.</w:t>
      </w:r>
    </w:p>
    <w:p w14:paraId="28201092" w14:textId="77777777" w:rsidR="00101352" w:rsidRDefault="00101352" w:rsidP="00101352">
      <w:r>
        <w:t xml:space="preserve">USEPA examined three alternatives besides the Agency’s preferred alternative (A3) </w:t>
      </w:r>
      <w:r>
        <w:rPr>
          <w:noProof/>
        </w:rPr>
        <w:t>(USEPA 2005a, Chapter 3)</w:t>
      </w:r>
      <w:r>
        <w:t xml:space="preserve">, which the Agency described as “the most cost-effective and [] deliver[ing] the best value” </w:t>
      </w:r>
      <w:r>
        <w:rPr>
          <w:noProof/>
        </w:rPr>
        <w:t>(USEPA 2005a, p. 3-3)</w:t>
      </w:r>
      <w:r>
        <w:t xml:space="preserve">. These alternatives vary principally by monitoring frequency, with resulting treatment expenditures determined by monitoring results. No formal alternatives were examined with respect to provisions that were agreed upon through the Stage 2 M-DBP Reg Neg. </w:t>
      </w:r>
      <w:bookmarkStart w:id="39" w:name="OLE_LINK62"/>
      <w:bookmarkStart w:id="40" w:name="OLE_LINK63"/>
      <w:r>
        <w:t>Compliance with the LT1ESWTR was assumed in the analytic baseline.</w:t>
      </w:r>
      <w:bookmarkEnd w:id="39"/>
      <w:bookmarkEnd w:id="40"/>
    </w:p>
    <w:p w14:paraId="71288628" w14:textId="77777777" w:rsidR="00101352" w:rsidRDefault="00101352" w:rsidP="00101352">
      <w:r>
        <w:t xml:space="preserve">Selected point estimates for aggregate compliance expenditures (not opportunity cost) are provided in </w:t>
      </w:r>
      <w:fldSimple w:instr=" REF _Ref275944 ">
        <w:r>
          <w:t xml:space="preserve">Table </w:t>
        </w:r>
        <w:r>
          <w:rPr>
            <w:noProof/>
          </w:rPr>
          <w:t>7</w:t>
        </w:r>
        <w:r>
          <w:noBreakHyphen/>
        </w:r>
        <w:r>
          <w:rPr>
            <w:noProof/>
          </w:rPr>
          <w:t>2</w:t>
        </w:r>
      </w:fldSimple>
      <w:r>
        <w:t xml:space="preserve">. Estimates of annualized household-level expenditures generally were not clearly inconsistent with the affordability doctrine, though expenditures for households at the upper end might not have been affordable </w:t>
      </w:r>
      <w:r>
        <w:rPr>
          <w:noProof/>
        </w:rPr>
        <w:t>(USEPA 2005a, Exhibit ES.8-3)</w:t>
      </w:r>
      <w:r>
        <w:t xml:space="preserve">. Unquantified costs were briefly discussed but not otherwise accounted for </w:t>
      </w:r>
      <w:r>
        <w:rPr>
          <w:noProof/>
        </w:rPr>
        <w:t>(USEPA 2005a, pp. 6-33 to 6-34)</w:t>
      </w:r>
      <w:r>
        <w:t>.</w:t>
      </w:r>
    </w:p>
    <w:p w14:paraId="3AAF938F" w14:textId="77777777" w:rsidR="00101352" w:rsidRDefault="00101352" w:rsidP="00101352">
      <w:r>
        <w:t xml:space="preserve">Quantified benefits consist of estimated averted illnesses and deaths, which were valued at $844 and $7.4 million per case ($2003), respectively, for three different data sets that the </w:t>
      </w:r>
      <w:r>
        <w:lastRenderedPageBreak/>
        <w:t>Agency said were “</w:t>
      </w:r>
      <w:r w:rsidRPr="005B1E58">
        <w:t>equally likely to</w:t>
      </w:r>
      <w:r>
        <w:t xml:space="preserve"> </w:t>
      </w:r>
      <w:r w:rsidRPr="005B1E58">
        <w:t xml:space="preserve">represent the true distribution of </w:t>
      </w:r>
      <w:r w:rsidRPr="005B1E58">
        <w:rPr>
          <w:i/>
        </w:rPr>
        <w:t>Cryptosporidium</w:t>
      </w:r>
      <w:r w:rsidRPr="005B1E58">
        <w:t xml:space="preserve"> in source waters for all systems</w:t>
      </w:r>
      <w:r>
        <w:t xml:space="preserve">” </w:t>
      </w:r>
      <w:r>
        <w:rPr>
          <w:noProof/>
        </w:rPr>
        <w:t>(USEPA 2005a, ES-8)</w:t>
      </w:r>
      <w:r w:rsidRPr="005B1E58">
        <w:t xml:space="preserve">. </w:t>
      </w:r>
      <w:r>
        <w:t xml:space="preserve"> Depending on the data set, estimated annual cases</w:t>
      </w:r>
      <w:r w:rsidRPr="003F0F6D">
        <w:t xml:space="preserve"> </w:t>
      </w:r>
      <w:r>
        <w:t xml:space="preserve">(deaths) averted ranged from 146k to 500k (38 to 130), a range of 3.4x. </w:t>
      </w:r>
      <w:r>
        <w:rPr>
          <w:noProof/>
        </w:rPr>
        <w:t>(USEPA 2005a, Exhibits 5.16 and 5.17)</w:t>
      </w:r>
      <w:r>
        <w:t xml:space="preserve">. Risk was estimated using a simulation model </w:t>
      </w:r>
      <w:r>
        <w:rPr>
          <w:noProof/>
        </w:rPr>
        <w:t>(USEPA 2005a, § 5.2)</w:t>
      </w:r>
      <w:r>
        <w:t xml:space="preserve">. Certain forms of variability and uncertainty (e.g., exposure via drinking water) were captured by stochastic distributions. Uncertainty about morbidity subsequent to exposure and mortality subsequent to infection are modeled as assumptions. Thus, estimated benefits critically depend on the accuracy of these embedded assumptions. As noted in Section </w:t>
      </w:r>
      <w:fldSimple w:instr=" REF _Ref536527629 \w \p ">
        <w:r>
          <w:t>7.a.8 below</w:t>
        </w:r>
      </w:fldSimple>
      <w:r>
        <w:t>, all model outputs of illnesses and deaths prevented significantly exceed the numbers of cases and deaths from all pathways reported by CDC.</w:t>
      </w:r>
    </w:p>
    <w:p w14:paraId="7CBCA57E" w14:textId="77777777" w:rsidR="00101352" w:rsidRDefault="00101352" w:rsidP="00101352">
      <w:r>
        <w:t xml:space="preserve">Morbidity and mortality were valued using cost of illness (COI) methods and WTP, respectively, under multiple scenarios reflecting substantial uncertainty about hazard, dose-response, exposure, risk model structure, and limited data </w:t>
      </w:r>
      <w:r>
        <w:rPr>
          <w:noProof/>
        </w:rPr>
        <w:t>(USEPA 2005a, Chapter 5)</w:t>
      </w:r>
      <w:r>
        <w:t xml:space="preserve">. The estimated numbers of illnesses averted were reported with up to seven significant figures, ranging from 363,328 to 1,501,445, depending on risk model and regulatory alternative/data set combination </w:t>
      </w:r>
      <w:r>
        <w:rPr>
          <w:noProof/>
        </w:rPr>
        <w:t>(USEPA 2005a, Exhibit 5.5)</w:t>
      </w:r>
      <w:r>
        <w:t xml:space="preserve">. The Agency modeled illness risk from </w:t>
      </w:r>
      <w:r>
        <w:rPr>
          <w:i/>
        </w:rPr>
        <w:t>Cryptosporidiosis</w:t>
      </w:r>
      <w:r>
        <w:t xml:space="preserve"> exposure as a triangular distribution (30%, 50%, 70%), and further assumed that the probability of mortality given illness was 24.07 per 100,000 illnesses among AIDS patients served by unfiltered systems, 14.56 per 100,000 illnesses for AIDS patients served by filtered systems, and 1.98 </w:t>
      </w:r>
      <w:r w:rsidRPr="006C33BF">
        <w:t>deaths</w:t>
      </w:r>
      <w:r>
        <w:t xml:space="preserve"> per </w:t>
      </w:r>
      <w:r w:rsidRPr="006C33BF">
        <w:t xml:space="preserve">100,000 </w:t>
      </w:r>
      <w:r>
        <w:t xml:space="preserve">for all others, with no uncertainty </w:t>
      </w:r>
      <w:r>
        <w:rPr>
          <w:noProof/>
        </w:rPr>
        <w:t>(USEPA 2005a, p. 5-22)</w:t>
      </w:r>
      <w:r>
        <w:t xml:space="preserve">.   </w:t>
      </w:r>
    </w:p>
    <w:p w14:paraId="6C25DD17" w14:textId="77777777" w:rsidR="00101352" w:rsidRDefault="00101352" w:rsidP="00101352">
      <w:r>
        <w:t xml:space="preserve">Risk and benefit estimates were disaggregated to reflect variability by system type and size, baseline filtration, and </w:t>
      </w:r>
      <w:r w:rsidRPr="00945473">
        <w:rPr>
          <w:i/>
        </w:rPr>
        <w:t>Cryptosporidium</w:t>
      </w:r>
      <w:r>
        <w:t xml:space="preserve"> occurrence. The Agency also provided an </w:t>
      </w:r>
      <w:r>
        <w:lastRenderedPageBreak/>
        <w:t xml:space="preserve">extensive discussion of potential unquantified benefits. Mean net benefits were calculated by subtracting expenditures from opportunity-based benefit estimates, and were positive for most scenarios using both conventional and “enhanced” COI methods </w:t>
      </w:r>
      <w:r>
        <w:rPr>
          <w:noProof/>
        </w:rPr>
        <w:t>(USEPA 2005a, Exhibit 8.12a, b)</w:t>
      </w:r>
      <w:r>
        <w:t>. The reported dominant uniform regulatory alternative depends on the choice of data set and discount rate (3% and 7% were examined), but u</w:t>
      </w:r>
      <w:r w:rsidRPr="00875238">
        <w:t>ncertainty in the illness risk component of the model clearly dominates</w:t>
      </w:r>
      <w:r>
        <w:t xml:space="preserve"> both data set choice and discount rate</w:t>
      </w:r>
      <w:r w:rsidRPr="00875238">
        <w:t xml:space="preserve">. Small changes in the parameters of the triangular distribution would swamp </w:t>
      </w:r>
      <w:r>
        <w:t xml:space="preserve">estimated reductions. Moreover, any validity that might have attached to USEPA’s results was vitiated by the assumption that qualitative benefits were five times as great as quantified benefits </w:t>
      </w:r>
      <w:r>
        <w:rPr>
          <w:noProof/>
        </w:rPr>
        <w:t>(USEPA 2006b, Table VI.C-1; 2005a, p. 8-21)</w:t>
      </w:r>
      <w:r>
        <w:t>.</w:t>
      </w:r>
    </w:p>
    <w:p w14:paraId="039FA130" w14:textId="77777777" w:rsidR="00101352" w:rsidRDefault="00101352" w:rsidP="00101352">
      <w:r>
        <w:t>The likely effect of the economic feasibility principle is difficult to ascertain because the Agency’s analysis was structured in ways that made estimated net benefits more likely. In addition, detailed estimates are needed by system size to determine where to draw the line between covered and exempt systems.  USEPA analyzed benefits and costs by system-size categories but only reported aggregate estimates in the main analysis. Twenty-one appendices to the economic analysis contained, among other things, the Agency’s analysis of small-system impacts. They are not publicly available.</w:t>
      </w:r>
    </w:p>
    <w:p w14:paraId="1DF75C39" w14:textId="77777777" w:rsidR="00101352" w:rsidRDefault="00101352" w:rsidP="00101352">
      <w:pPr>
        <w:spacing w:line="240" w:lineRule="auto"/>
        <w:ind w:firstLine="0"/>
      </w:pPr>
      <w:r>
        <w:br w:type="page"/>
      </w:r>
    </w:p>
    <w:p w14:paraId="3599A982" w14:textId="77777777" w:rsidR="00101352" w:rsidRDefault="00101352" w:rsidP="00101352">
      <w:pPr>
        <w:pStyle w:val="Caption"/>
        <w:keepNext/>
      </w:pPr>
      <w:bookmarkStart w:id="41" w:name="_Ref275944"/>
      <w:bookmarkStart w:id="42" w:name="_Ref275890"/>
      <w:r>
        <w:lastRenderedPageBreak/>
        <w:t xml:space="preserve">Table </w:t>
      </w:r>
      <w:fldSimple w:instr=" STYLEREF 1 \s ">
        <w:r>
          <w:rPr>
            <w:noProof/>
          </w:rPr>
          <w:t>7</w:t>
        </w:r>
      </w:fldSimple>
      <w:r>
        <w:noBreakHyphen/>
      </w:r>
      <w:fldSimple w:instr=" SEQ Table \* ARABIC \s 1 ">
        <w:r>
          <w:rPr>
            <w:noProof/>
          </w:rPr>
          <w:t>2</w:t>
        </w:r>
      </w:fldSimple>
      <w:bookmarkEnd w:id="41"/>
      <w:r>
        <w:t>: USEPA-estimated Aggregate Annualized Expenditures for LT2ESWTR</w:t>
      </w:r>
      <w:bookmarkEnd w:id="42"/>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333"/>
        <w:gridCol w:w="1332"/>
        <w:gridCol w:w="1333"/>
        <w:gridCol w:w="1333"/>
        <w:gridCol w:w="1333"/>
        <w:gridCol w:w="1333"/>
        <w:gridCol w:w="1333"/>
      </w:tblGrid>
      <w:tr w:rsidR="00101352" w14:paraId="3FF995C0" w14:textId="77777777" w:rsidTr="005553E8">
        <w:trPr>
          <w:cantSplit/>
        </w:trPr>
        <w:tc>
          <w:tcPr>
            <w:tcW w:w="1335" w:type="dxa"/>
            <w:vMerge w:val="restart"/>
            <w:vAlign w:val="center"/>
          </w:tcPr>
          <w:p w14:paraId="6308BFE8" w14:textId="77777777" w:rsidR="00101352" w:rsidRDefault="00101352" w:rsidP="005553E8">
            <w:pPr>
              <w:spacing w:line="240" w:lineRule="auto"/>
              <w:ind w:firstLine="0"/>
            </w:pPr>
            <w:r>
              <w:t xml:space="preserve">Data Set </w:t>
            </w:r>
            <w:r w:rsidRPr="00A62648">
              <w:rPr>
                <w:vertAlign w:val="superscript"/>
              </w:rPr>
              <w:t>a</w:t>
            </w:r>
          </w:p>
        </w:tc>
        <w:tc>
          <w:tcPr>
            <w:tcW w:w="4007" w:type="dxa"/>
            <w:gridSpan w:val="3"/>
            <w:vAlign w:val="center"/>
          </w:tcPr>
          <w:p w14:paraId="61B725C2" w14:textId="77777777" w:rsidR="00101352" w:rsidRDefault="00101352" w:rsidP="005553E8">
            <w:pPr>
              <w:spacing w:line="240" w:lineRule="auto"/>
              <w:ind w:firstLine="0"/>
              <w:jc w:val="center"/>
            </w:pPr>
            <w:r>
              <w:t>Total Annualized Costs $M (3%)</w:t>
            </w:r>
          </w:p>
        </w:tc>
        <w:tc>
          <w:tcPr>
            <w:tcW w:w="4008" w:type="dxa"/>
            <w:gridSpan w:val="3"/>
            <w:vAlign w:val="center"/>
          </w:tcPr>
          <w:p w14:paraId="4A3074B1" w14:textId="77777777" w:rsidR="00101352" w:rsidRDefault="00101352" w:rsidP="005553E8">
            <w:pPr>
              <w:spacing w:line="240" w:lineRule="auto"/>
              <w:ind w:firstLine="0"/>
              <w:jc w:val="center"/>
            </w:pPr>
            <w:r>
              <w:t>Total Annualized Costs $M (7%)</w:t>
            </w:r>
          </w:p>
        </w:tc>
      </w:tr>
      <w:tr w:rsidR="00101352" w14:paraId="794E940E" w14:textId="77777777" w:rsidTr="005553E8">
        <w:trPr>
          <w:cantSplit/>
        </w:trPr>
        <w:tc>
          <w:tcPr>
            <w:tcW w:w="1335" w:type="dxa"/>
            <w:vMerge/>
            <w:vAlign w:val="center"/>
          </w:tcPr>
          <w:p w14:paraId="64F2AC5B" w14:textId="77777777" w:rsidR="00101352" w:rsidRDefault="00101352" w:rsidP="005553E8">
            <w:pPr>
              <w:spacing w:line="240" w:lineRule="auto"/>
              <w:ind w:firstLine="0"/>
            </w:pPr>
          </w:p>
        </w:tc>
        <w:tc>
          <w:tcPr>
            <w:tcW w:w="1335" w:type="dxa"/>
            <w:vAlign w:val="center"/>
          </w:tcPr>
          <w:p w14:paraId="4CCB1572" w14:textId="77777777" w:rsidR="00101352" w:rsidRDefault="00101352" w:rsidP="005553E8">
            <w:pPr>
              <w:spacing w:line="240" w:lineRule="auto"/>
              <w:ind w:firstLine="0"/>
            </w:pPr>
          </w:p>
        </w:tc>
        <w:tc>
          <w:tcPr>
            <w:tcW w:w="2672" w:type="dxa"/>
            <w:gridSpan w:val="2"/>
            <w:vAlign w:val="center"/>
          </w:tcPr>
          <w:p w14:paraId="26028FF5" w14:textId="77777777" w:rsidR="00101352" w:rsidRDefault="00101352" w:rsidP="005553E8">
            <w:pPr>
              <w:spacing w:line="240" w:lineRule="auto"/>
              <w:ind w:firstLine="0"/>
              <w:jc w:val="center"/>
            </w:pPr>
            <w:bookmarkStart w:id="43" w:name="OLE_LINK74"/>
            <w:bookmarkStart w:id="44" w:name="OLE_LINK75"/>
            <w:r>
              <w:t>90% Confidence Bound</w:t>
            </w:r>
            <w:bookmarkEnd w:id="43"/>
            <w:bookmarkEnd w:id="44"/>
            <w:r>
              <w:t xml:space="preserve"> </w:t>
            </w:r>
            <w:bookmarkStart w:id="45" w:name="OLE_LINK76"/>
            <w:bookmarkStart w:id="46" w:name="OLE_LINK77"/>
            <w:r w:rsidRPr="00A62648">
              <w:rPr>
                <w:vertAlign w:val="superscript"/>
              </w:rPr>
              <w:t>b</w:t>
            </w:r>
            <w:bookmarkEnd w:id="45"/>
            <w:bookmarkEnd w:id="46"/>
          </w:p>
        </w:tc>
        <w:tc>
          <w:tcPr>
            <w:tcW w:w="1336" w:type="dxa"/>
            <w:vAlign w:val="center"/>
          </w:tcPr>
          <w:p w14:paraId="4B595FCD" w14:textId="77777777" w:rsidR="00101352" w:rsidRDefault="00101352" w:rsidP="005553E8">
            <w:pPr>
              <w:spacing w:line="240" w:lineRule="auto"/>
              <w:ind w:firstLine="0"/>
            </w:pPr>
          </w:p>
        </w:tc>
        <w:tc>
          <w:tcPr>
            <w:tcW w:w="2672" w:type="dxa"/>
            <w:gridSpan w:val="2"/>
            <w:vAlign w:val="center"/>
          </w:tcPr>
          <w:p w14:paraId="3EBD2559" w14:textId="77777777" w:rsidR="00101352" w:rsidRDefault="00101352" w:rsidP="005553E8">
            <w:pPr>
              <w:spacing w:line="240" w:lineRule="auto"/>
              <w:ind w:firstLine="0"/>
              <w:jc w:val="center"/>
            </w:pPr>
            <w:r>
              <w:t xml:space="preserve">90% Confidence Bound </w:t>
            </w:r>
            <w:r w:rsidRPr="00A62648">
              <w:rPr>
                <w:vertAlign w:val="superscript"/>
              </w:rPr>
              <w:t>b</w:t>
            </w:r>
          </w:p>
        </w:tc>
      </w:tr>
      <w:tr w:rsidR="00101352" w14:paraId="405AEAA2" w14:textId="77777777" w:rsidTr="005553E8">
        <w:trPr>
          <w:cantSplit/>
        </w:trPr>
        <w:tc>
          <w:tcPr>
            <w:tcW w:w="1335" w:type="dxa"/>
            <w:vMerge/>
            <w:tcBorders>
              <w:bottom w:val="double" w:sz="4" w:space="0" w:color="auto"/>
            </w:tcBorders>
            <w:vAlign w:val="center"/>
          </w:tcPr>
          <w:p w14:paraId="5692DD4A" w14:textId="77777777" w:rsidR="00101352" w:rsidRDefault="00101352" w:rsidP="005553E8">
            <w:pPr>
              <w:spacing w:line="240" w:lineRule="auto"/>
              <w:ind w:firstLine="0"/>
            </w:pPr>
            <w:bookmarkStart w:id="47" w:name="_Hlk536799557"/>
          </w:p>
        </w:tc>
        <w:tc>
          <w:tcPr>
            <w:tcW w:w="1335" w:type="dxa"/>
            <w:tcBorders>
              <w:bottom w:val="double" w:sz="4" w:space="0" w:color="auto"/>
            </w:tcBorders>
            <w:vAlign w:val="center"/>
          </w:tcPr>
          <w:p w14:paraId="5B4031A1" w14:textId="77777777" w:rsidR="00101352" w:rsidRDefault="00101352" w:rsidP="005553E8">
            <w:pPr>
              <w:spacing w:line="240" w:lineRule="auto"/>
              <w:ind w:firstLine="0"/>
              <w:jc w:val="center"/>
            </w:pPr>
            <w:r>
              <w:t>Mean</w:t>
            </w:r>
          </w:p>
        </w:tc>
        <w:tc>
          <w:tcPr>
            <w:tcW w:w="1336" w:type="dxa"/>
            <w:tcBorders>
              <w:bottom w:val="double" w:sz="4" w:space="0" w:color="auto"/>
            </w:tcBorders>
            <w:vAlign w:val="center"/>
          </w:tcPr>
          <w:p w14:paraId="48BCCDD9" w14:textId="77777777" w:rsidR="00101352" w:rsidRDefault="00101352" w:rsidP="005553E8">
            <w:pPr>
              <w:spacing w:line="240" w:lineRule="auto"/>
              <w:ind w:firstLine="0"/>
              <w:jc w:val="center"/>
            </w:pPr>
            <w:r>
              <w:t>Lower</w:t>
            </w:r>
            <w:r>
              <w:br/>
              <w:t>(5</w:t>
            </w:r>
            <w:r w:rsidRPr="00A62648">
              <w:rPr>
                <w:vertAlign w:val="superscript"/>
              </w:rPr>
              <w:t>th</w:t>
            </w:r>
            <w:r>
              <w:rPr>
                <w:vertAlign w:val="superscript"/>
              </w:rPr>
              <w:t xml:space="preserve"> </w:t>
            </w:r>
            <w:r>
              <w:t>%ile)</w:t>
            </w:r>
            <w:r w:rsidRPr="00A62648">
              <w:rPr>
                <w:vertAlign w:val="superscript"/>
              </w:rPr>
              <w:t>b</w:t>
            </w:r>
          </w:p>
        </w:tc>
        <w:tc>
          <w:tcPr>
            <w:tcW w:w="1336" w:type="dxa"/>
            <w:tcBorders>
              <w:bottom w:val="double" w:sz="4" w:space="0" w:color="auto"/>
            </w:tcBorders>
            <w:vAlign w:val="center"/>
          </w:tcPr>
          <w:p w14:paraId="0E31C7F1" w14:textId="77777777" w:rsidR="00101352" w:rsidRDefault="00101352" w:rsidP="005553E8">
            <w:pPr>
              <w:spacing w:line="240" w:lineRule="auto"/>
              <w:ind w:firstLine="0"/>
              <w:jc w:val="center"/>
            </w:pPr>
            <w:r>
              <w:t>Upper</w:t>
            </w:r>
            <w:r>
              <w:br/>
              <w:t>(95</w:t>
            </w:r>
            <w:r w:rsidRPr="00A62648">
              <w:rPr>
                <w:vertAlign w:val="superscript"/>
              </w:rPr>
              <w:t>th</w:t>
            </w:r>
            <w:r>
              <w:rPr>
                <w:vertAlign w:val="superscript"/>
              </w:rPr>
              <w:t xml:space="preserve"> </w:t>
            </w:r>
            <w:r>
              <w:t>%ile)</w:t>
            </w:r>
            <w:r w:rsidRPr="00A62648">
              <w:rPr>
                <w:vertAlign w:val="superscript"/>
              </w:rPr>
              <w:t>b</w:t>
            </w:r>
          </w:p>
        </w:tc>
        <w:tc>
          <w:tcPr>
            <w:tcW w:w="1336" w:type="dxa"/>
            <w:tcBorders>
              <w:bottom w:val="double" w:sz="4" w:space="0" w:color="auto"/>
            </w:tcBorders>
            <w:vAlign w:val="center"/>
          </w:tcPr>
          <w:p w14:paraId="26D00E51" w14:textId="77777777" w:rsidR="00101352" w:rsidRDefault="00101352" w:rsidP="005553E8">
            <w:pPr>
              <w:spacing w:line="240" w:lineRule="auto"/>
              <w:ind w:firstLine="0"/>
              <w:jc w:val="center"/>
            </w:pPr>
            <w:r>
              <w:t>Mean</w:t>
            </w:r>
          </w:p>
        </w:tc>
        <w:tc>
          <w:tcPr>
            <w:tcW w:w="1336" w:type="dxa"/>
            <w:tcBorders>
              <w:bottom w:val="double" w:sz="4" w:space="0" w:color="auto"/>
            </w:tcBorders>
            <w:vAlign w:val="center"/>
          </w:tcPr>
          <w:p w14:paraId="16C201E2" w14:textId="77777777" w:rsidR="00101352" w:rsidRDefault="00101352" w:rsidP="005553E8">
            <w:pPr>
              <w:spacing w:line="240" w:lineRule="auto"/>
              <w:ind w:firstLine="0"/>
              <w:jc w:val="center"/>
            </w:pPr>
            <w:r>
              <w:t>Lower</w:t>
            </w:r>
            <w:r>
              <w:br/>
              <w:t>(5</w:t>
            </w:r>
            <w:r w:rsidRPr="00A62648">
              <w:rPr>
                <w:vertAlign w:val="superscript"/>
              </w:rPr>
              <w:t>th</w:t>
            </w:r>
            <w:r>
              <w:rPr>
                <w:vertAlign w:val="superscript"/>
              </w:rPr>
              <w:t xml:space="preserve"> </w:t>
            </w:r>
            <w:r>
              <w:t>%ile)</w:t>
            </w:r>
            <w:r w:rsidRPr="00A62648">
              <w:rPr>
                <w:vertAlign w:val="superscript"/>
              </w:rPr>
              <w:t>b</w:t>
            </w:r>
          </w:p>
        </w:tc>
        <w:tc>
          <w:tcPr>
            <w:tcW w:w="1336" w:type="dxa"/>
            <w:tcBorders>
              <w:bottom w:val="double" w:sz="4" w:space="0" w:color="auto"/>
            </w:tcBorders>
            <w:vAlign w:val="center"/>
          </w:tcPr>
          <w:p w14:paraId="2BCF0761" w14:textId="77777777" w:rsidR="00101352" w:rsidRDefault="00101352" w:rsidP="005553E8">
            <w:pPr>
              <w:spacing w:line="240" w:lineRule="auto"/>
              <w:ind w:firstLine="0"/>
              <w:jc w:val="center"/>
            </w:pPr>
            <w:r>
              <w:t>Upper</w:t>
            </w:r>
            <w:r>
              <w:br/>
              <w:t>(95</w:t>
            </w:r>
            <w:r w:rsidRPr="00A62648">
              <w:rPr>
                <w:vertAlign w:val="superscript"/>
              </w:rPr>
              <w:t>th</w:t>
            </w:r>
            <w:r>
              <w:t xml:space="preserve"> %ile)</w:t>
            </w:r>
            <w:r w:rsidRPr="00A62648">
              <w:rPr>
                <w:vertAlign w:val="superscript"/>
              </w:rPr>
              <w:t>b</w:t>
            </w:r>
          </w:p>
        </w:tc>
      </w:tr>
      <w:bookmarkEnd w:id="47"/>
      <w:tr w:rsidR="00101352" w14:paraId="38C45736" w14:textId="77777777" w:rsidTr="005553E8">
        <w:trPr>
          <w:cantSplit/>
        </w:trPr>
        <w:tc>
          <w:tcPr>
            <w:tcW w:w="1335" w:type="dxa"/>
            <w:tcBorders>
              <w:top w:val="double" w:sz="4" w:space="0" w:color="auto"/>
              <w:bottom w:val="single" w:sz="4" w:space="0" w:color="auto"/>
            </w:tcBorders>
          </w:tcPr>
          <w:p w14:paraId="7AE80CE2" w14:textId="77777777" w:rsidR="00101352" w:rsidRDefault="00101352" w:rsidP="005553E8">
            <w:pPr>
              <w:spacing w:line="240" w:lineRule="auto"/>
              <w:ind w:firstLine="0"/>
            </w:pPr>
            <w:r>
              <w:t>ICR</w:t>
            </w:r>
          </w:p>
        </w:tc>
        <w:tc>
          <w:tcPr>
            <w:tcW w:w="1335" w:type="dxa"/>
            <w:tcBorders>
              <w:top w:val="double" w:sz="4" w:space="0" w:color="auto"/>
              <w:bottom w:val="single" w:sz="4" w:space="0" w:color="auto"/>
            </w:tcBorders>
          </w:tcPr>
          <w:p w14:paraId="3343379C" w14:textId="77777777" w:rsidR="00101352" w:rsidRDefault="00101352" w:rsidP="005553E8">
            <w:pPr>
              <w:spacing w:line="240" w:lineRule="auto"/>
              <w:ind w:firstLine="0"/>
              <w:jc w:val="right"/>
            </w:pPr>
            <w:r>
              <w:t>$133</w:t>
            </w:r>
          </w:p>
        </w:tc>
        <w:tc>
          <w:tcPr>
            <w:tcW w:w="1336" w:type="dxa"/>
            <w:tcBorders>
              <w:top w:val="double" w:sz="4" w:space="0" w:color="auto"/>
              <w:bottom w:val="single" w:sz="4" w:space="0" w:color="auto"/>
            </w:tcBorders>
          </w:tcPr>
          <w:p w14:paraId="34B918BD" w14:textId="77777777" w:rsidR="00101352" w:rsidRDefault="00101352" w:rsidP="005553E8">
            <w:pPr>
              <w:spacing w:line="240" w:lineRule="auto"/>
              <w:ind w:firstLine="0"/>
              <w:jc w:val="right"/>
            </w:pPr>
            <w:r>
              <w:t>$111</w:t>
            </w:r>
          </w:p>
        </w:tc>
        <w:tc>
          <w:tcPr>
            <w:tcW w:w="1336" w:type="dxa"/>
            <w:tcBorders>
              <w:top w:val="double" w:sz="4" w:space="0" w:color="auto"/>
              <w:bottom w:val="single" w:sz="4" w:space="0" w:color="auto"/>
            </w:tcBorders>
          </w:tcPr>
          <w:p w14:paraId="3BF6E5EC" w14:textId="77777777" w:rsidR="00101352" w:rsidRDefault="00101352" w:rsidP="005553E8">
            <w:pPr>
              <w:spacing w:line="240" w:lineRule="auto"/>
              <w:ind w:firstLine="0"/>
              <w:jc w:val="right"/>
            </w:pPr>
            <w:r>
              <w:t>$160</w:t>
            </w:r>
          </w:p>
        </w:tc>
        <w:tc>
          <w:tcPr>
            <w:tcW w:w="1336" w:type="dxa"/>
            <w:tcBorders>
              <w:top w:val="double" w:sz="4" w:space="0" w:color="auto"/>
              <w:bottom w:val="single" w:sz="4" w:space="0" w:color="auto"/>
            </w:tcBorders>
          </w:tcPr>
          <w:p w14:paraId="09DF71B8" w14:textId="77777777" w:rsidR="00101352" w:rsidRDefault="00101352" w:rsidP="005553E8">
            <w:pPr>
              <w:spacing w:line="240" w:lineRule="auto"/>
              <w:ind w:firstLine="0"/>
              <w:jc w:val="right"/>
            </w:pPr>
            <w:r>
              <w:t>$150</w:t>
            </w:r>
          </w:p>
        </w:tc>
        <w:tc>
          <w:tcPr>
            <w:tcW w:w="1336" w:type="dxa"/>
            <w:tcBorders>
              <w:top w:val="double" w:sz="4" w:space="0" w:color="auto"/>
              <w:bottom w:val="single" w:sz="4" w:space="0" w:color="auto"/>
            </w:tcBorders>
          </w:tcPr>
          <w:p w14:paraId="5C1A514C" w14:textId="77777777" w:rsidR="00101352" w:rsidRDefault="00101352" w:rsidP="005553E8">
            <w:pPr>
              <w:spacing w:line="240" w:lineRule="auto"/>
              <w:ind w:firstLine="0"/>
              <w:jc w:val="right"/>
            </w:pPr>
            <w:r>
              <w:t>$125</w:t>
            </w:r>
          </w:p>
        </w:tc>
        <w:tc>
          <w:tcPr>
            <w:tcW w:w="1336" w:type="dxa"/>
            <w:tcBorders>
              <w:top w:val="double" w:sz="4" w:space="0" w:color="auto"/>
              <w:bottom w:val="single" w:sz="4" w:space="0" w:color="auto"/>
            </w:tcBorders>
          </w:tcPr>
          <w:p w14:paraId="78ADA5F3" w14:textId="77777777" w:rsidR="00101352" w:rsidRDefault="00101352" w:rsidP="005553E8">
            <w:pPr>
              <w:spacing w:line="240" w:lineRule="auto"/>
              <w:ind w:firstLine="0"/>
              <w:jc w:val="right"/>
            </w:pPr>
            <w:r>
              <w:t>$181</w:t>
            </w:r>
          </w:p>
        </w:tc>
      </w:tr>
      <w:tr w:rsidR="00101352" w14:paraId="318EFB64" w14:textId="77777777" w:rsidTr="005553E8">
        <w:trPr>
          <w:cantSplit/>
        </w:trPr>
        <w:tc>
          <w:tcPr>
            <w:tcW w:w="1335" w:type="dxa"/>
            <w:tcBorders>
              <w:top w:val="single" w:sz="4" w:space="0" w:color="auto"/>
            </w:tcBorders>
          </w:tcPr>
          <w:p w14:paraId="5F5276E0" w14:textId="77777777" w:rsidR="00101352" w:rsidRPr="00283912" w:rsidRDefault="00101352" w:rsidP="005553E8">
            <w:pPr>
              <w:spacing w:line="240" w:lineRule="auto"/>
              <w:ind w:firstLine="0"/>
            </w:pPr>
            <w:r>
              <w:t>ICRSSL</w:t>
            </w:r>
          </w:p>
        </w:tc>
        <w:tc>
          <w:tcPr>
            <w:tcW w:w="1335" w:type="dxa"/>
            <w:tcBorders>
              <w:top w:val="single" w:sz="4" w:space="0" w:color="auto"/>
            </w:tcBorders>
          </w:tcPr>
          <w:p w14:paraId="79A75B6B" w14:textId="77777777" w:rsidR="00101352" w:rsidRDefault="00101352" w:rsidP="005553E8">
            <w:pPr>
              <w:spacing w:line="240" w:lineRule="auto"/>
              <w:ind w:firstLine="0"/>
              <w:jc w:val="right"/>
            </w:pPr>
            <w:r>
              <w:t>93</w:t>
            </w:r>
          </w:p>
        </w:tc>
        <w:tc>
          <w:tcPr>
            <w:tcW w:w="1336" w:type="dxa"/>
            <w:tcBorders>
              <w:top w:val="single" w:sz="4" w:space="0" w:color="auto"/>
            </w:tcBorders>
          </w:tcPr>
          <w:p w14:paraId="246B153A" w14:textId="77777777" w:rsidR="00101352" w:rsidRDefault="00101352" w:rsidP="005553E8">
            <w:pPr>
              <w:spacing w:line="240" w:lineRule="auto"/>
              <w:ind w:firstLine="0"/>
              <w:jc w:val="right"/>
            </w:pPr>
            <w:r>
              <w:t>72</w:t>
            </w:r>
          </w:p>
        </w:tc>
        <w:tc>
          <w:tcPr>
            <w:tcW w:w="1336" w:type="dxa"/>
            <w:tcBorders>
              <w:top w:val="single" w:sz="4" w:space="0" w:color="auto"/>
            </w:tcBorders>
          </w:tcPr>
          <w:p w14:paraId="3B1A2790" w14:textId="77777777" w:rsidR="00101352" w:rsidRDefault="00101352" w:rsidP="005553E8">
            <w:pPr>
              <w:spacing w:line="240" w:lineRule="auto"/>
              <w:ind w:firstLine="0"/>
              <w:jc w:val="right"/>
            </w:pPr>
            <w:r>
              <w:t>112</w:t>
            </w:r>
          </w:p>
        </w:tc>
        <w:tc>
          <w:tcPr>
            <w:tcW w:w="1336" w:type="dxa"/>
            <w:tcBorders>
              <w:top w:val="single" w:sz="4" w:space="0" w:color="auto"/>
            </w:tcBorders>
          </w:tcPr>
          <w:p w14:paraId="756CA2D0" w14:textId="77777777" w:rsidR="00101352" w:rsidRDefault="00101352" w:rsidP="005553E8">
            <w:pPr>
              <w:spacing w:line="240" w:lineRule="auto"/>
              <w:ind w:firstLine="0"/>
              <w:jc w:val="right"/>
            </w:pPr>
            <w:r>
              <w:t>107</w:t>
            </w:r>
          </w:p>
        </w:tc>
        <w:tc>
          <w:tcPr>
            <w:tcW w:w="1336" w:type="dxa"/>
            <w:tcBorders>
              <w:top w:val="single" w:sz="4" w:space="0" w:color="auto"/>
            </w:tcBorders>
          </w:tcPr>
          <w:p w14:paraId="63AF0E28" w14:textId="77777777" w:rsidR="00101352" w:rsidRDefault="00101352" w:rsidP="005553E8">
            <w:pPr>
              <w:spacing w:line="240" w:lineRule="auto"/>
              <w:ind w:firstLine="0"/>
              <w:jc w:val="right"/>
            </w:pPr>
            <w:r>
              <w:t>83</w:t>
            </w:r>
          </w:p>
        </w:tc>
        <w:tc>
          <w:tcPr>
            <w:tcW w:w="1336" w:type="dxa"/>
            <w:tcBorders>
              <w:top w:val="single" w:sz="4" w:space="0" w:color="auto"/>
            </w:tcBorders>
          </w:tcPr>
          <w:p w14:paraId="4DBEF377" w14:textId="77777777" w:rsidR="00101352" w:rsidRDefault="00101352" w:rsidP="005553E8">
            <w:pPr>
              <w:spacing w:line="240" w:lineRule="auto"/>
              <w:ind w:firstLine="0"/>
              <w:jc w:val="right"/>
            </w:pPr>
            <w:r>
              <w:t>129</w:t>
            </w:r>
          </w:p>
        </w:tc>
      </w:tr>
      <w:tr w:rsidR="00101352" w14:paraId="22DEDB49" w14:textId="77777777" w:rsidTr="005553E8">
        <w:trPr>
          <w:cantSplit/>
        </w:trPr>
        <w:tc>
          <w:tcPr>
            <w:tcW w:w="1335" w:type="dxa"/>
            <w:tcBorders>
              <w:bottom w:val="double" w:sz="4" w:space="0" w:color="auto"/>
            </w:tcBorders>
          </w:tcPr>
          <w:p w14:paraId="554EF907" w14:textId="77777777" w:rsidR="00101352" w:rsidRPr="00283912" w:rsidRDefault="00101352" w:rsidP="005553E8">
            <w:pPr>
              <w:spacing w:line="240" w:lineRule="auto"/>
              <w:ind w:firstLine="0"/>
            </w:pPr>
            <w:r>
              <w:t>ICRSSM</w:t>
            </w:r>
          </w:p>
        </w:tc>
        <w:tc>
          <w:tcPr>
            <w:tcW w:w="1335" w:type="dxa"/>
            <w:tcBorders>
              <w:bottom w:val="double" w:sz="4" w:space="0" w:color="auto"/>
            </w:tcBorders>
          </w:tcPr>
          <w:p w14:paraId="51B4693E" w14:textId="77777777" w:rsidR="00101352" w:rsidRDefault="00101352" w:rsidP="005553E8">
            <w:pPr>
              <w:spacing w:line="240" w:lineRule="auto"/>
              <w:ind w:firstLine="0"/>
              <w:jc w:val="right"/>
            </w:pPr>
            <w:r>
              <w:t>106</w:t>
            </w:r>
          </w:p>
        </w:tc>
        <w:tc>
          <w:tcPr>
            <w:tcW w:w="1336" w:type="dxa"/>
            <w:tcBorders>
              <w:bottom w:val="double" w:sz="4" w:space="0" w:color="auto"/>
            </w:tcBorders>
          </w:tcPr>
          <w:p w14:paraId="1136585A" w14:textId="77777777" w:rsidR="00101352" w:rsidRDefault="00101352" w:rsidP="005553E8">
            <w:pPr>
              <w:spacing w:line="240" w:lineRule="auto"/>
              <w:ind w:firstLine="0"/>
              <w:jc w:val="right"/>
            </w:pPr>
            <w:r>
              <w:t>86</w:t>
            </w:r>
          </w:p>
        </w:tc>
        <w:tc>
          <w:tcPr>
            <w:tcW w:w="1336" w:type="dxa"/>
            <w:tcBorders>
              <w:bottom w:val="double" w:sz="4" w:space="0" w:color="auto"/>
            </w:tcBorders>
          </w:tcPr>
          <w:p w14:paraId="6CE82C97" w14:textId="77777777" w:rsidR="00101352" w:rsidRDefault="00101352" w:rsidP="005553E8">
            <w:pPr>
              <w:spacing w:line="240" w:lineRule="auto"/>
              <w:ind w:firstLine="0"/>
              <w:jc w:val="right"/>
            </w:pPr>
            <w:r>
              <w:t>126</w:t>
            </w:r>
          </w:p>
        </w:tc>
        <w:tc>
          <w:tcPr>
            <w:tcW w:w="1336" w:type="dxa"/>
            <w:tcBorders>
              <w:bottom w:val="double" w:sz="4" w:space="0" w:color="auto"/>
            </w:tcBorders>
          </w:tcPr>
          <w:p w14:paraId="22038A07" w14:textId="77777777" w:rsidR="00101352" w:rsidRDefault="00101352" w:rsidP="005553E8">
            <w:pPr>
              <w:spacing w:line="240" w:lineRule="auto"/>
              <w:ind w:firstLine="0"/>
              <w:jc w:val="right"/>
            </w:pPr>
            <w:r>
              <w:t>121</w:t>
            </w:r>
          </w:p>
        </w:tc>
        <w:tc>
          <w:tcPr>
            <w:tcW w:w="1336" w:type="dxa"/>
            <w:tcBorders>
              <w:bottom w:val="double" w:sz="4" w:space="0" w:color="auto"/>
            </w:tcBorders>
          </w:tcPr>
          <w:p w14:paraId="7CD2FB0B" w14:textId="77777777" w:rsidR="00101352" w:rsidRDefault="00101352" w:rsidP="005553E8">
            <w:pPr>
              <w:spacing w:line="240" w:lineRule="auto"/>
              <w:ind w:firstLine="0"/>
              <w:jc w:val="right"/>
            </w:pPr>
            <w:r>
              <w:t>99</w:t>
            </w:r>
          </w:p>
        </w:tc>
        <w:tc>
          <w:tcPr>
            <w:tcW w:w="1336" w:type="dxa"/>
            <w:tcBorders>
              <w:bottom w:val="double" w:sz="4" w:space="0" w:color="auto"/>
            </w:tcBorders>
          </w:tcPr>
          <w:p w14:paraId="44F5C04B" w14:textId="77777777" w:rsidR="00101352" w:rsidRDefault="00101352" w:rsidP="005553E8">
            <w:pPr>
              <w:spacing w:line="240" w:lineRule="auto"/>
              <w:ind w:firstLine="0"/>
              <w:jc w:val="right"/>
            </w:pPr>
            <w:r>
              <w:t>144</w:t>
            </w:r>
          </w:p>
        </w:tc>
      </w:tr>
      <w:tr w:rsidR="00101352" w14:paraId="31BADE53" w14:textId="77777777" w:rsidTr="005553E8">
        <w:trPr>
          <w:cantSplit/>
        </w:trPr>
        <w:tc>
          <w:tcPr>
            <w:tcW w:w="9350" w:type="dxa"/>
            <w:gridSpan w:val="7"/>
            <w:tcBorders>
              <w:top w:val="double" w:sz="4" w:space="0" w:color="auto"/>
              <w:bottom w:val="double" w:sz="4" w:space="0" w:color="auto"/>
            </w:tcBorders>
          </w:tcPr>
          <w:p w14:paraId="5A8F316C" w14:textId="77777777" w:rsidR="00101352" w:rsidRPr="00DE446B" w:rsidRDefault="00101352" w:rsidP="005553E8">
            <w:pPr>
              <w:spacing w:line="240" w:lineRule="auto"/>
              <w:ind w:firstLine="0"/>
              <w:rPr>
                <w:sz w:val="20"/>
                <w:szCs w:val="20"/>
              </w:rPr>
            </w:pPr>
            <w:r w:rsidRPr="00DE446B">
              <w:rPr>
                <w:sz w:val="20"/>
                <w:szCs w:val="20"/>
              </w:rPr>
              <w:t xml:space="preserve">Source: </w:t>
            </w:r>
            <w:r>
              <w:rPr>
                <w:noProof/>
                <w:sz w:val="20"/>
                <w:szCs w:val="20"/>
              </w:rPr>
              <w:t>(USEPA 2005a, Exhibit 8.5])</w:t>
            </w:r>
            <w:r w:rsidRPr="00DE446B">
              <w:rPr>
                <w:sz w:val="20"/>
                <w:szCs w:val="20"/>
              </w:rPr>
              <w:t>.</w:t>
            </w:r>
          </w:p>
          <w:p w14:paraId="4267D506" w14:textId="77777777" w:rsidR="00101352" w:rsidRPr="00DE446B" w:rsidRDefault="00101352" w:rsidP="005553E8">
            <w:pPr>
              <w:spacing w:line="240" w:lineRule="auto"/>
              <w:ind w:firstLine="0"/>
              <w:rPr>
                <w:sz w:val="20"/>
                <w:szCs w:val="20"/>
              </w:rPr>
            </w:pPr>
            <w:r w:rsidRPr="00DE446B">
              <w:rPr>
                <w:sz w:val="20"/>
                <w:szCs w:val="20"/>
                <w:vertAlign w:val="superscript"/>
              </w:rPr>
              <w:t>a</w:t>
            </w:r>
            <w:r w:rsidRPr="00DE446B">
              <w:rPr>
                <w:sz w:val="20"/>
                <w:szCs w:val="20"/>
              </w:rPr>
              <w:t xml:space="preserve"> ICR = 1996 Information Collection Rule; ICRSSL = ICR Supplemental Surveys (Large Systems); ICRSSM = ICR Supplemental Surveys (Medium-Size Systems).</w:t>
            </w:r>
          </w:p>
          <w:p w14:paraId="24642A63" w14:textId="77777777" w:rsidR="00101352" w:rsidRDefault="00101352" w:rsidP="005553E8">
            <w:pPr>
              <w:spacing w:line="240" w:lineRule="auto"/>
              <w:ind w:firstLine="0"/>
            </w:pPr>
            <w:r w:rsidRPr="00DE446B">
              <w:rPr>
                <w:sz w:val="20"/>
                <w:szCs w:val="20"/>
                <w:vertAlign w:val="superscript"/>
              </w:rPr>
              <w:t>b</w:t>
            </w:r>
            <w:r w:rsidRPr="00DE446B">
              <w:rPr>
                <w:sz w:val="20"/>
                <w:szCs w:val="20"/>
              </w:rPr>
              <w:t xml:space="preserve"> Meaning of 5</w:t>
            </w:r>
            <w:r w:rsidRPr="00DE446B">
              <w:rPr>
                <w:sz w:val="20"/>
                <w:szCs w:val="20"/>
                <w:vertAlign w:val="superscript"/>
              </w:rPr>
              <w:t>th</w:t>
            </w:r>
            <w:r w:rsidRPr="00DE446B">
              <w:rPr>
                <w:sz w:val="20"/>
                <w:szCs w:val="20"/>
              </w:rPr>
              <w:t xml:space="preserve"> and 95</w:t>
            </w:r>
            <w:r w:rsidRPr="00DE446B">
              <w:rPr>
                <w:sz w:val="20"/>
                <w:szCs w:val="20"/>
                <w:vertAlign w:val="superscript"/>
              </w:rPr>
              <w:t>th</w:t>
            </w:r>
            <w:r w:rsidRPr="00DE446B">
              <w:rPr>
                <w:sz w:val="20"/>
                <w:szCs w:val="20"/>
              </w:rPr>
              <w:t xml:space="preserve"> percentiles with 90% confidence bounds is not explained.</w:t>
            </w:r>
          </w:p>
        </w:tc>
      </w:tr>
    </w:tbl>
    <w:p w14:paraId="68EFDF21" w14:textId="77777777" w:rsidR="00101352" w:rsidRDefault="00101352" w:rsidP="00101352">
      <w:pPr>
        <w:spacing w:line="240" w:lineRule="auto"/>
        <w:ind w:firstLine="0"/>
      </w:pPr>
    </w:p>
    <w:p w14:paraId="554FF20B" w14:textId="77777777" w:rsidR="00101352" w:rsidRDefault="00101352" w:rsidP="00101352">
      <w:pPr>
        <w:spacing w:line="240" w:lineRule="auto"/>
        <w:ind w:firstLine="0"/>
      </w:pPr>
    </w:p>
    <w:p w14:paraId="77056FE7" w14:textId="77777777" w:rsidR="00101352" w:rsidRDefault="00101352" w:rsidP="00101352">
      <w:pPr>
        <w:pStyle w:val="Caption"/>
        <w:keepNext/>
      </w:pPr>
      <w:r>
        <w:t xml:space="preserve">Table </w:t>
      </w:r>
      <w:fldSimple w:instr=" STYLEREF 1 \s ">
        <w:r>
          <w:rPr>
            <w:noProof/>
          </w:rPr>
          <w:t>7</w:t>
        </w:r>
      </w:fldSimple>
      <w:r>
        <w:noBreakHyphen/>
      </w:r>
      <w:fldSimple w:instr=" SEQ Table \* ARABIC \s 1 ">
        <w:r>
          <w:rPr>
            <w:noProof/>
          </w:rPr>
          <w:t>3</w:t>
        </w:r>
      </w:fldSimple>
      <w:r>
        <w:t>: LT2ESWTR: USEPA-estimated Annual Illnesses and Deaths Avoided</w:t>
      </w:r>
    </w:p>
    <w:tbl>
      <w:tblPr>
        <w:tblStyle w:val="TableGrid"/>
        <w:tblW w:w="935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435"/>
        <w:gridCol w:w="1260"/>
        <w:gridCol w:w="1440"/>
        <w:gridCol w:w="1260"/>
        <w:gridCol w:w="1260"/>
        <w:gridCol w:w="1440"/>
        <w:gridCol w:w="1260"/>
      </w:tblGrid>
      <w:tr w:rsidR="00101352" w14:paraId="363F5F30" w14:textId="77777777" w:rsidTr="005553E8">
        <w:trPr>
          <w:cantSplit/>
        </w:trPr>
        <w:tc>
          <w:tcPr>
            <w:tcW w:w="1435" w:type="dxa"/>
            <w:vMerge w:val="restart"/>
            <w:vAlign w:val="center"/>
          </w:tcPr>
          <w:p w14:paraId="26A2DDF1" w14:textId="77777777" w:rsidR="00101352" w:rsidRPr="004A2049" w:rsidRDefault="00101352" w:rsidP="005553E8">
            <w:pPr>
              <w:spacing w:line="240" w:lineRule="auto"/>
              <w:ind w:firstLine="0"/>
            </w:pPr>
            <w:r>
              <w:t xml:space="preserve">Data Set </w:t>
            </w:r>
            <w:r>
              <w:rPr>
                <w:vertAlign w:val="superscript"/>
              </w:rPr>
              <w:t>a</w:t>
            </w:r>
          </w:p>
        </w:tc>
        <w:tc>
          <w:tcPr>
            <w:tcW w:w="3960" w:type="dxa"/>
            <w:gridSpan w:val="3"/>
            <w:vAlign w:val="center"/>
          </w:tcPr>
          <w:p w14:paraId="5129251D" w14:textId="77777777" w:rsidR="00101352" w:rsidRDefault="00101352" w:rsidP="005553E8">
            <w:pPr>
              <w:spacing w:line="240" w:lineRule="auto"/>
              <w:ind w:firstLine="0"/>
              <w:jc w:val="center"/>
            </w:pPr>
            <w:r>
              <w:t>Annual Illnesses Avoided</w:t>
            </w:r>
          </w:p>
        </w:tc>
        <w:tc>
          <w:tcPr>
            <w:tcW w:w="3960" w:type="dxa"/>
            <w:gridSpan w:val="3"/>
            <w:vAlign w:val="center"/>
          </w:tcPr>
          <w:p w14:paraId="3281BD13" w14:textId="77777777" w:rsidR="00101352" w:rsidRDefault="00101352" w:rsidP="005553E8">
            <w:pPr>
              <w:spacing w:line="240" w:lineRule="auto"/>
              <w:ind w:firstLine="0"/>
              <w:jc w:val="center"/>
            </w:pPr>
            <w:r>
              <w:t>Annual Deaths Avoided</w:t>
            </w:r>
          </w:p>
        </w:tc>
      </w:tr>
      <w:tr w:rsidR="00101352" w14:paraId="21FDFBE9" w14:textId="77777777" w:rsidTr="005553E8">
        <w:trPr>
          <w:cantSplit/>
        </w:trPr>
        <w:tc>
          <w:tcPr>
            <w:tcW w:w="1435" w:type="dxa"/>
            <w:vMerge/>
            <w:vAlign w:val="center"/>
          </w:tcPr>
          <w:p w14:paraId="383393BF" w14:textId="77777777" w:rsidR="00101352" w:rsidRDefault="00101352" w:rsidP="005553E8">
            <w:pPr>
              <w:spacing w:line="240" w:lineRule="auto"/>
              <w:ind w:firstLine="0"/>
            </w:pPr>
          </w:p>
        </w:tc>
        <w:tc>
          <w:tcPr>
            <w:tcW w:w="1260" w:type="dxa"/>
            <w:vAlign w:val="center"/>
          </w:tcPr>
          <w:p w14:paraId="2DB7E207" w14:textId="77777777" w:rsidR="00101352" w:rsidRDefault="00101352" w:rsidP="005553E8">
            <w:pPr>
              <w:spacing w:line="240" w:lineRule="auto"/>
              <w:ind w:firstLine="0"/>
              <w:jc w:val="center"/>
            </w:pPr>
          </w:p>
        </w:tc>
        <w:tc>
          <w:tcPr>
            <w:tcW w:w="2700" w:type="dxa"/>
            <w:gridSpan w:val="2"/>
            <w:vAlign w:val="center"/>
          </w:tcPr>
          <w:p w14:paraId="0266DFA4" w14:textId="77777777" w:rsidR="00101352" w:rsidRDefault="00101352" w:rsidP="005553E8">
            <w:pPr>
              <w:spacing w:line="240" w:lineRule="auto"/>
              <w:ind w:firstLine="0"/>
              <w:jc w:val="center"/>
            </w:pPr>
            <w:r>
              <w:t xml:space="preserve">90% Confidence Bound </w:t>
            </w:r>
            <w:r w:rsidRPr="00A62648">
              <w:rPr>
                <w:vertAlign w:val="superscript"/>
              </w:rPr>
              <w:t>b</w:t>
            </w:r>
          </w:p>
        </w:tc>
        <w:tc>
          <w:tcPr>
            <w:tcW w:w="1260" w:type="dxa"/>
            <w:vAlign w:val="center"/>
          </w:tcPr>
          <w:p w14:paraId="3F9E59CA" w14:textId="77777777" w:rsidR="00101352" w:rsidRDefault="00101352" w:rsidP="005553E8">
            <w:pPr>
              <w:spacing w:line="240" w:lineRule="auto"/>
              <w:ind w:firstLine="0"/>
              <w:jc w:val="center"/>
            </w:pPr>
          </w:p>
        </w:tc>
        <w:tc>
          <w:tcPr>
            <w:tcW w:w="2700" w:type="dxa"/>
            <w:gridSpan w:val="2"/>
            <w:vAlign w:val="center"/>
          </w:tcPr>
          <w:p w14:paraId="38E7719A" w14:textId="77777777" w:rsidR="00101352" w:rsidRDefault="00101352" w:rsidP="005553E8">
            <w:pPr>
              <w:spacing w:line="240" w:lineRule="auto"/>
              <w:ind w:firstLine="0"/>
              <w:jc w:val="center"/>
            </w:pPr>
            <w:r>
              <w:t xml:space="preserve">90% Confidence Bound </w:t>
            </w:r>
            <w:r w:rsidRPr="00A62648">
              <w:rPr>
                <w:vertAlign w:val="superscript"/>
              </w:rPr>
              <w:t>b</w:t>
            </w:r>
          </w:p>
        </w:tc>
      </w:tr>
      <w:tr w:rsidR="00101352" w14:paraId="0EB18BCE" w14:textId="77777777" w:rsidTr="005553E8">
        <w:trPr>
          <w:cantSplit/>
        </w:trPr>
        <w:tc>
          <w:tcPr>
            <w:tcW w:w="1435" w:type="dxa"/>
            <w:vMerge/>
            <w:tcBorders>
              <w:bottom w:val="double" w:sz="4" w:space="0" w:color="auto"/>
            </w:tcBorders>
            <w:vAlign w:val="center"/>
          </w:tcPr>
          <w:p w14:paraId="27B5E0C1" w14:textId="77777777" w:rsidR="00101352" w:rsidRDefault="00101352" w:rsidP="005553E8">
            <w:pPr>
              <w:spacing w:line="240" w:lineRule="auto"/>
              <w:ind w:firstLine="0"/>
            </w:pPr>
          </w:p>
        </w:tc>
        <w:tc>
          <w:tcPr>
            <w:tcW w:w="1260" w:type="dxa"/>
            <w:tcBorders>
              <w:bottom w:val="double" w:sz="4" w:space="0" w:color="auto"/>
            </w:tcBorders>
            <w:vAlign w:val="center"/>
          </w:tcPr>
          <w:p w14:paraId="077C0E0E" w14:textId="77777777" w:rsidR="00101352" w:rsidRDefault="00101352" w:rsidP="005553E8">
            <w:pPr>
              <w:spacing w:line="240" w:lineRule="auto"/>
              <w:ind w:firstLine="0"/>
              <w:jc w:val="center"/>
            </w:pPr>
            <w:r>
              <w:t>Mean</w:t>
            </w:r>
          </w:p>
        </w:tc>
        <w:tc>
          <w:tcPr>
            <w:tcW w:w="1440" w:type="dxa"/>
            <w:tcBorders>
              <w:bottom w:val="double" w:sz="4" w:space="0" w:color="auto"/>
            </w:tcBorders>
            <w:vAlign w:val="center"/>
          </w:tcPr>
          <w:p w14:paraId="3D33DC91" w14:textId="77777777" w:rsidR="00101352" w:rsidRDefault="00101352" w:rsidP="005553E8">
            <w:pPr>
              <w:spacing w:line="240" w:lineRule="auto"/>
              <w:ind w:firstLine="0"/>
              <w:jc w:val="center"/>
            </w:pPr>
            <w:r>
              <w:t>Lower</w:t>
            </w:r>
            <w:r>
              <w:br/>
              <w:t>(5</w:t>
            </w:r>
            <w:r w:rsidRPr="00A62648">
              <w:rPr>
                <w:vertAlign w:val="superscript"/>
              </w:rPr>
              <w:t>th</w:t>
            </w:r>
            <w:r>
              <w:rPr>
                <w:vertAlign w:val="superscript"/>
              </w:rPr>
              <w:t xml:space="preserve"> </w:t>
            </w:r>
            <w:r>
              <w:t>%ile)</w:t>
            </w:r>
            <w:r w:rsidRPr="00A62648">
              <w:rPr>
                <w:vertAlign w:val="superscript"/>
              </w:rPr>
              <w:t>b</w:t>
            </w:r>
          </w:p>
        </w:tc>
        <w:tc>
          <w:tcPr>
            <w:tcW w:w="1260" w:type="dxa"/>
            <w:tcBorders>
              <w:bottom w:val="double" w:sz="4" w:space="0" w:color="auto"/>
            </w:tcBorders>
            <w:vAlign w:val="center"/>
          </w:tcPr>
          <w:p w14:paraId="09A18A56" w14:textId="77777777" w:rsidR="00101352" w:rsidRDefault="00101352" w:rsidP="005553E8">
            <w:pPr>
              <w:spacing w:line="240" w:lineRule="auto"/>
              <w:ind w:firstLine="0"/>
              <w:jc w:val="center"/>
            </w:pPr>
            <w:r>
              <w:t>Upper</w:t>
            </w:r>
            <w:r>
              <w:br/>
              <w:t>(95</w:t>
            </w:r>
            <w:r w:rsidRPr="00A62648">
              <w:rPr>
                <w:vertAlign w:val="superscript"/>
              </w:rPr>
              <w:t>th</w:t>
            </w:r>
            <w:r>
              <w:rPr>
                <w:vertAlign w:val="superscript"/>
              </w:rPr>
              <w:t xml:space="preserve"> </w:t>
            </w:r>
            <w:r>
              <w:t>ile)</w:t>
            </w:r>
            <w:r w:rsidRPr="00A62648">
              <w:rPr>
                <w:vertAlign w:val="superscript"/>
              </w:rPr>
              <w:t>b</w:t>
            </w:r>
          </w:p>
        </w:tc>
        <w:tc>
          <w:tcPr>
            <w:tcW w:w="1260" w:type="dxa"/>
            <w:tcBorders>
              <w:bottom w:val="double" w:sz="4" w:space="0" w:color="auto"/>
            </w:tcBorders>
            <w:vAlign w:val="center"/>
          </w:tcPr>
          <w:p w14:paraId="1544A8B0" w14:textId="77777777" w:rsidR="00101352" w:rsidRDefault="00101352" w:rsidP="005553E8">
            <w:pPr>
              <w:spacing w:line="240" w:lineRule="auto"/>
              <w:ind w:firstLine="0"/>
              <w:jc w:val="center"/>
            </w:pPr>
            <w:r>
              <w:t>Mean</w:t>
            </w:r>
          </w:p>
        </w:tc>
        <w:tc>
          <w:tcPr>
            <w:tcW w:w="1440" w:type="dxa"/>
            <w:tcBorders>
              <w:bottom w:val="double" w:sz="4" w:space="0" w:color="auto"/>
            </w:tcBorders>
            <w:vAlign w:val="center"/>
          </w:tcPr>
          <w:p w14:paraId="06081832" w14:textId="77777777" w:rsidR="00101352" w:rsidRDefault="00101352" w:rsidP="005553E8">
            <w:pPr>
              <w:spacing w:line="240" w:lineRule="auto"/>
              <w:ind w:firstLine="0"/>
              <w:jc w:val="center"/>
            </w:pPr>
            <w:r>
              <w:t>Lower</w:t>
            </w:r>
            <w:r>
              <w:br/>
              <w:t>(5</w:t>
            </w:r>
            <w:r w:rsidRPr="00A62648">
              <w:rPr>
                <w:vertAlign w:val="superscript"/>
              </w:rPr>
              <w:t>th</w:t>
            </w:r>
            <w:r>
              <w:rPr>
                <w:vertAlign w:val="superscript"/>
              </w:rPr>
              <w:t xml:space="preserve"> </w:t>
            </w:r>
            <w:r>
              <w:t>%ile)</w:t>
            </w:r>
            <w:r w:rsidRPr="00A62648">
              <w:rPr>
                <w:vertAlign w:val="superscript"/>
              </w:rPr>
              <w:t>b</w:t>
            </w:r>
          </w:p>
        </w:tc>
        <w:tc>
          <w:tcPr>
            <w:tcW w:w="1260" w:type="dxa"/>
            <w:tcBorders>
              <w:bottom w:val="double" w:sz="4" w:space="0" w:color="auto"/>
            </w:tcBorders>
            <w:vAlign w:val="center"/>
          </w:tcPr>
          <w:p w14:paraId="7F94E8BD" w14:textId="77777777" w:rsidR="00101352" w:rsidRDefault="00101352" w:rsidP="005553E8">
            <w:pPr>
              <w:spacing w:line="240" w:lineRule="auto"/>
              <w:ind w:firstLine="0"/>
              <w:jc w:val="center"/>
            </w:pPr>
            <w:r>
              <w:t>Upper</w:t>
            </w:r>
            <w:r>
              <w:br/>
              <w:t>(95</w:t>
            </w:r>
            <w:r w:rsidRPr="00A62648">
              <w:rPr>
                <w:vertAlign w:val="superscript"/>
              </w:rPr>
              <w:t>th</w:t>
            </w:r>
            <w:r>
              <w:t xml:space="preserve"> ile)</w:t>
            </w:r>
            <w:r w:rsidRPr="00A62648">
              <w:rPr>
                <w:vertAlign w:val="superscript"/>
              </w:rPr>
              <w:t>b</w:t>
            </w:r>
          </w:p>
        </w:tc>
      </w:tr>
      <w:tr w:rsidR="00101352" w14:paraId="453BE91D" w14:textId="77777777" w:rsidTr="005553E8">
        <w:trPr>
          <w:cantSplit/>
        </w:trPr>
        <w:tc>
          <w:tcPr>
            <w:tcW w:w="9355" w:type="dxa"/>
            <w:gridSpan w:val="7"/>
            <w:tcBorders>
              <w:top w:val="double" w:sz="4" w:space="0" w:color="auto"/>
              <w:bottom w:val="double" w:sz="4" w:space="0" w:color="auto"/>
            </w:tcBorders>
          </w:tcPr>
          <w:p w14:paraId="4C4D1C1A" w14:textId="77777777" w:rsidR="00101352" w:rsidRDefault="00101352" w:rsidP="005553E8">
            <w:pPr>
              <w:spacing w:line="240" w:lineRule="auto"/>
              <w:ind w:firstLine="0"/>
              <w:jc w:val="center"/>
            </w:pPr>
            <w:r>
              <w:t>Annual Total after Full implementation</w:t>
            </w:r>
          </w:p>
        </w:tc>
      </w:tr>
      <w:tr w:rsidR="00101352" w14:paraId="6EB2ED9A" w14:textId="77777777" w:rsidTr="005553E8">
        <w:trPr>
          <w:cantSplit/>
        </w:trPr>
        <w:tc>
          <w:tcPr>
            <w:tcW w:w="1435" w:type="dxa"/>
            <w:tcBorders>
              <w:top w:val="double" w:sz="4" w:space="0" w:color="auto"/>
            </w:tcBorders>
          </w:tcPr>
          <w:p w14:paraId="266AC4F2" w14:textId="77777777" w:rsidR="00101352" w:rsidRDefault="00101352" w:rsidP="005553E8">
            <w:pPr>
              <w:spacing w:line="240" w:lineRule="auto"/>
              <w:ind w:firstLine="0"/>
            </w:pPr>
            <w:r>
              <w:t>ICR</w:t>
            </w:r>
          </w:p>
        </w:tc>
        <w:tc>
          <w:tcPr>
            <w:tcW w:w="1260" w:type="dxa"/>
            <w:tcBorders>
              <w:top w:val="double" w:sz="4" w:space="0" w:color="auto"/>
            </w:tcBorders>
          </w:tcPr>
          <w:p w14:paraId="69122F5C" w14:textId="77777777" w:rsidR="00101352" w:rsidRDefault="00101352" w:rsidP="005553E8">
            <w:pPr>
              <w:spacing w:line="240" w:lineRule="auto"/>
              <w:ind w:firstLine="0"/>
              <w:jc w:val="right"/>
            </w:pPr>
            <w:r>
              <w:t>964,360</w:t>
            </w:r>
          </w:p>
        </w:tc>
        <w:tc>
          <w:tcPr>
            <w:tcW w:w="1440" w:type="dxa"/>
            <w:tcBorders>
              <w:top w:val="double" w:sz="4" w:space="0" w:color="auto"/>
            </w:tcBorders>
          </w:tcPr>
          <w:p w14:paraId="79AFC624" w14:textId="77777777" w:rsidR="00101352" w:rsidRDefault="00101352" w:rsidP="005553E8">
            <w:pPr>
              <w:spacing w:line="240" w:lineRule="auto"/>
              <w:ind w:firstLine="0"/>
              <w:jc w:val="right"/>
            </w:pPr>
            <w:r>
              <w:t>149,241</w:t>
            </w:r>
          </w:p>
        </w:tc>
        <w:tc>
          <w:tcPr>
            <w:tcW w:w="1260" w:type="dxa"/>
            <w:tcBorders>
              <w:top w:val="double" w:sz="4" w:space="0" w:color="auto"/>
            </w:tcBorders>
          </w:tcPr>
          <w:p w14:paraId="67515E98" w14:textId="77777777" w:rsidR="00101352" w:rsidRDefault="00101352" w:rsidP="005553E8">
            <w:pPr>
              <w:spacing w:line="240" w:lineRule="auto"/>
              <w:ind w:firstLine="0"/>
              <w:jc w:val="right"/>
            </w:pPr>
            <w:r>
              <w:t>2,277,367</w:t>
            </w:r>
          </w:p>
        </w:tc>
        <w:tc>
          <w:tcPr>
            <w:tcW w:w="1260" w:type="dxa"/>
            <w:tcBorders>
              <w:top w:val="double" w:sz="4" w:space="0" w:color="auto"/>
            </w:tcBorders>
          </w:tcPr>
          <w:p w14:paraId="37A6CF73" w14:textId="77777777" w:rsidR="00101352" w:rsidRDefault="00101352" w:rsidP="005553E8">
            <w:pPr>
              <w:spacing w:line="240" w:lineRule="auto"/>
              <w:ind w:firstLine="0"/>
              <w:jc w:val="right"/>
            </w:pPr>
            <w:r>
              <w:t>207</w:t>
            </w:r>
          </w:p>
        </w:tc>
        <w:tc>
          <w:tcPr>
            <w:tcW w:w="1440" w:type="dxa"/>
            <w:tcBorders>
              <w:top w:val="double" w:sz="4" w:space="0" w:color="auto"/>
            </w:tcBorders>
          </w:tcPr>
          <w:p w14:paraId="15714DA4" w14:textId="77777777" w:rsidR="00101352" w:rsidRDefault="00101352" w:rsidP="005553E8">
            <w:pPr>
              <w:spacing w:line="240" w:lineRule="auto"/>
              <w:ind w:firstLine="0"/>
              <w:jc w:val="right"/>
            </w:pPr>
            <w:r>
              <w:t>34</w:t>
            </w:r>
          </w:p>
        </w:tc>
        <w:tc>
          <w:tcPr>
            <w:tcW w:w="1260" w:type="dxa"/>
            <w:tcBorders>
              <w:top w:val="double" w:sz="4" w:space="0" w:color="auto"/>
            </w:tcBorders>
          </w:tcPr>
          <w:p w14:paraId="36BC3E68" w14:textId="77777777" w:rsidR="00101352" w:rsidRDefault="00101352" w:rsidP="005553E8">
            <w:pPr>
              <w:spacing w:line="240" w:lineRule="auto"/>
              <w:ind w:firstLine="0"/>
              <w:jc w:val="right"/>
            </w:pPr>
            <w:r>
              <w:t>468</w:t>
            </w:r>
          </w:p>
        </w:tc>
      </w:tr>
      <w:tr w:rsidR="00101352" w14:paraId="7D5D1934" w14:textId="77777777" w:rsidTr="005553E8">
        <w:trPr>
          <w:cantSplit/>
        </w:trPr>
        <w:tc>
          <w:tcPr>
            <w:tcW w:w="1435" w:type="dxa"/>
          </w:tcPr>
          <w:p w14:paraId="61521445" w14:textId="77777777" w:rsidR="00101352" w:rsidRDefault="00101352" w:rsidP="005553E8">
            <w:pPr>
              <w:spacing w:line="240" w:lineRule="auto"/>
              <w:ind w:firstLine="0"/>
            </w:pPr>
            <w:r>
              <w:t>ICRSSL</w:t>
            </w:r>
          </w:p>
        </w:tc>
        <w:tc>
          <w:tcPr>
            <w:tcW w:w="1260" w:type="dxa"/>
          </w:tcPr>
          <w:p w14:paraId="24E0877D" w14:textId="77777777" w:rsidR="00101352" w:rsidRDefault="00101352" w:rsidP="005553E8">
            <w:pPr>
              <w:spacing w:line="240" w:lineRule="auto"/>
              <w:ind w:firstLine="0"/>
              <w:jc w:val="right"/>
            </w:pPr>
            <w:r>
              <w:t>230,730</w:t>
            </w:r>
          </w:p>
        </w:tc>
        <w:tc>
          <w:tcPr>
            <w:tcW w:w="1440" w:type="dxa"/>
          </w:tcPr>
          <w:p w14:paraId="54BA99E1" w14:textId="77777777" w:rsidR="00101352" w:rsidRDefault="00101352" w:rsidP="005553E8">
            <w:pPr>
              <w:spacing w:line="240" w:lineRule="auto"/>
              <w:ind w:firstLine="0"/>
              <w:jc w:val="right"/>
            </w:pPr>
            <w:r>
              <w:t>38,281</w:t>
            </w:r>
          </w:p>
        </w:tc>
        <w:tc>
          <w:tcPr>
            <w:tcW w:w="1260" w:type="dxa"/>
          </w:tcPr>
          <w:p w14:paraId="15AE33EB" w14:textId="77777777" w:rsidR="00101352" w:rsidRDefault="00101352" w:rsidP="005553E8">
            <w:pPr>
              <w:spacing w:line="240" w:lineRule="auto"/>
              <w:ind w:firstLine="0"/>
              <w:jc w:val="right"/>
            </w:pPr>
            <w:r>
              <w:t>521,925</w:t>
            </w:r>
          </w:p>
        </w:tc>
        <w:tc>
          <w:tcPr>
            <w:tcW w:w="1260" w:type="dxa"/>
          </w:tcPr>
          <w:p w14:paraId="570A766B" w14:textId="77777777" w:rsidR="00101352" w:rsidRDefault="00101352" w:rsidP="005553E8">
            <w:pPr>
              <w:spacing w:line="240" w:lineRule="auto"/>
              <w:ind w:firstLine="0"/>
              <w:jc w:val="right"/>
            </w:pPr>
            <w:r>
              <w:t>52</w:t>
            </w:r>
          </w:p>
        </w:tc>
        <w:tc>
          <w:tcPr>
            <w:tcW w:w="1440" w:type="dxa"/>
          </w:tcPr>
          <w:p w14:paraId="476DBB9D" w14:textId="77777777" w:rsidR="00101352" w:rsidRDefault="00101352" w:rsidP="005553E8">
            <w:pPr>
              <w:spacing w:line="240" w:lineRule="auto"/>
              <w:ind w:firstLine="0"/>
              <w:jc w:val="right"/>
            </w:pPr>
            <w:r>
              <w:t>9</w:t>
            </w:r>
          </w:p>
        </w:tc>
        <w:tc>
          <w:tcPr>
            <w:tcW w:w="1260" w:type="dxa"/>
          </w:tcPr>
          <w:p w14:paraId="57C36095" w14:textId="77777777" w:rsidR="00101352" w:rsidRDefault="00101352" w:rsidP="005553E8">
            <w:pPr>
              <w:spacing w:line="240" w:lineRule="auto"/>
              <w:ind w:firstLine="0"/>
              <w:jc w:val="right"/>
            </w:pPr>
            <w:r>
              <w:t>113</w:t>
            </w:r>
          </w:p>
        </w:tc>
      </w:tr>
      <w:tr w:rsidR="00101352" w14:paraId="3B66B5F9" w14:textId="77777777" w:rsidTr="005553E8">
        <w:trPr>
          <w:cantSplit/>
        </w:trPr>
        <w:tc>
          <w:tcPr>
            <w:tcW w:w="1435" w:type="dxa"/>
            <w:tcBorders>
              <w:bottom w:val="double" w:sz="4" w:space="0" w:color="auto"/>
            </w:tcBorders>
          </w:tcPr>
          <w:p w14:paraId="779CE15D" w14:textId="77777777" w:rsidR="00101352" w:rsidRDefault="00101352" w:rsidP="005553E8">
            <w:pPr>
              <w:spacing w:line="240" w:lineRule="auto"/>
              <w:ind w:firstLine="0"/>
            </w:pPr>
            <w:r>
              <w:t>ICRSSM</w:t>
            </w:r>
          </w:p>
        </w:tc>
        <w:tc>
          <w:tcPr>
            <w:tcW w:w="1260" w:type="dxa"/>
            <w:tcBorders>
              <w:bottom w:val="double" w:sz="4" w:space="0" w:color="auto"/>
            </w:tcBorders>
          </w:tcPr>
          <w:p w14:paraId="587EA831" w14:textId="77777777" w:rsidR="00101352" w:rsidRDefault="00101352" w:rsidP="005553E8">
            <w:pPr>
              <w:spacing w:line="240" w:lineRule="auto"/>
              <w:ind w:firstLine="0"/>
              <w:jc w:val="right"/>
            </w:pPr>
            <w:r>
              <w:t>455,170</w:t>
            </w:r>
          </w:p>
        </w:tc>
        <w:tc>
          <w:tcPr>
            <w:tcW w:w="1440" w:type="dxa"/>
            <w:tcBorders>
              <w:bottom w:val="double" w:sz="4" w:space="0" w:color="auto"/>
            </w:tcBorders>
          </w:tcPr>
          <w:p w14:paraId="0E073FF0" w14:textId="77777777" w:rsidR="00101352" w:rsidRDefault="00101352" w:rsidP="005553E8">
            <w:pPr>
              <w:spacing w:line="240" w:lineRule="auto"/>
              <w:ind w:firstLine="0"/>
              <w:jc w:val="right"/>
            </w:pPr>
            <w:r>
              <w:t>72,128</w:t>
            </w:r>
          </w:p>
        </w:tc>
        <w:tc>
          <w:tcPr>
            <w:tcW w:w="1260" w:type="dxa"/>
            <w:tcBorders>
              <w:bottom w:val="double" w:sz="4" w:space="0" w:color="auto"/>
            </w:tcBorders>
          </w:tcPr>
          <w:p w14:paraId="472C8F63" w14:textId="77777777" w:rsidR="00101352" w:rsidRDefault="00101352" w:rsidP="005553E8">
            <w:pPr>
              <w:spacing w:line="240" w:lineRule="auto"/>
              <w:ind w:firstLine="0"/>
              <w:jc w:val="right"/>
            </w:pPr>
            <w:r>
              <w:t>1,112,374</w:t>
            </w:r>
          </w:p>
        </w:tc>
        <w:tc>
          <w:tcPr>
            <w:tcW w:w="1260" w:type="dxa"/>
            <w:tcBorders>
              <w:bottom w:val="double" w:sz="4" w:space="0" w:color="auto"/>
            </w:tcBorders>
          </w:tcPr>
          <w:p w14:paraId="1385A175" w14:textId="77777777" w:rsidR="00101352" w:rsidRDefault="00101352" w:rsidP="005553E8">
            <w:pPr>
              <w:spacing w:line="240" w:lineRule="auto"/>
              <w:ind w:firstLine="0"/>
              <w:jc w:val="right"/>
            </w:pPr>
            <w:r>
              <w:t>100</w:t>
            </w:r>
          </w:p>
        </w:tc>
        <w:tc>
          <w:tcPr>
            <w:tcW w:w="1440" w:type="dxa"/>
            <w:tcBorders>
              <w:bottom w:val="double" w:sz="4" w:space="0" w:color="auto"/>
            </w:tcBorders>
          </w:tcPr>
          <w:p w14:paraId="088FCCD7" w14:textId="77777777" w:rsidR="00101352" w:rsidRDefault="00101352" w:rsidP="005553E8">
            <w:pPr>
              <w:spacing w:line="240" w:lineRule="auto"/>
              <w:ind w:firstLine="0"/>
              <w:jc w:val="right"/>
            </w:pPr>
            <w:r>
              <w:t>17</w:t>
            </w:r>
          </w:p>
        </w:tc>
        <w:tc>
          <w:tcPr>
            <w:tcW w:w="1260" w:type="dxa"/>
            <w:tcBorders>
              <w:bottom w:val="double" w:sz="4" w:space="0" w:color="auto"/>
            </w:tcBorders>
          </w:tcPr>
          <w:p w14:paraId="0FB20496" w14:textId="77777777" w:rsidR="00101352" w:rsidRDefault="00101352" w:rsidP="005553E8">
            <w:pPr>
              <w:spacing w:line="240" w:lineRule="auto"/>
              <w:ind w:firstLine="0"/>
              <w:jc w:val="right"/>
            </w:pPr>
            <w:r>
              <w:t>230</w:t>
            </w:r>
          </w:p>
        </w:tc>
      </w:tr>
      <w:tr w:rsidR="00101352" w14:paraId="72764166" w14:textId="77777777" w:rsidTr="005553E8">
        <w:trPr>
          <w:cantSplit/>
        </w:trPr>
        <w:tc>
          <w:tcPr>
            <w:tcW w:w="9355" w:type="dxa"/>
            <w:gridSpan w:val="7"/>
            <w:tcBorders>
              <w:top w:val="double" w:sz="4" w:space="0" w:color="auto"/>
              <w:bottom w:val="double" w:sz="4" w:space="0" w:color="auto"/>
            </w:tcBorders>
          </w:tcPr>
          <w:p w14:paraId="6E5FF63C" w14:textId="77777777" w:rsidR="00101352" w:rsidRDefault="00101352" w:rsidP="005553E8">
            <w:pPr>
              <w:spacing w:line="240" w:lineRule="auto"/>
              <w:ind w:firstLine="0"/>
              <w:jc w:val="center"/>
            </w:pPr>
            <w:r>
              <w:t>Annual Average over 25 Years</w:t>
            </w:r>
          </w:p>
        </w:tc>
      </w:tr>
      <w:tr w:rsidR="00101352" w14:paraId="765CB659" w14:textId="77777777" w:rsidTr="005553E8">
        <w:trPr>
          <w:cantSplit/>
        </w:trPr>
        <w:tc>
          <w:tcPr>
            <w:tcW w:w="1435" w:type="dxa"/>
            <w:tcBorders>
              <w:top w:val="double" w:sz="4" w:space="0" w:color="auto"/>
            </w:tcBorders>
          </w:tcPr>
          <w:p w14:paraId="3DB7CB95" w14:textId="77777777" w:rsidR="00101352" w:rsidRDefault="00101352" w:rsidP="005553E8">
            <w:pPr>
              <w:spacing w:line="240" w:lineRule="auto"/>
              <w:ind w:firstLine="0"/>
            </w:pPr>
            <w:r>
              <w:t>ICR</w:t>
            </w:r>
          </w:p>
        </w:tc>
        <w:tc>
          <w:tcPr>
            <w:tcW w:w="1260" w:type="dxa"/>
            <w:tcBorders>
              <w:top w:val="double" w:sz="4" w:space="0" w:color="auto"/>
            </w:tcBorders>
          </w:tcPr>
          <w:p w14:paraId="4F09F1C3" w14:textId="77777777" w:rsidR="00101352" w:rsidRDefault="00101352" w:rsidP="005553E8">
            <w:pPr>
              <w:spacing w:line="240" w:lineRule="auto"/>
              <w:ind w:firstLine="0"/>
              <w:jc w:val="right"/>
            </w:pPr>
            <w:r>
              <w:t>712,732</w:t>
            </w:r>
          </w:p>
        </w:tc>
        <w:tc>
          <w:tcPr>
            <w:tcW w:w="1440" w:type="dxa"/>
            <w:tcBorders>
              <w:top w:val="double" w:sz="4" w:space="0" w:color="auto"/>
            </w:tcBorders>
          </w:tcPr>
          <w:p w14:paraId="4B8CAF7D" w14:textId="77777777" w:rsidR="00101352" w:rsidRDefault="00101352" w:rsidP="005553E8">
            <w:pPr>
              <w:spacing w:line="240" w:lineRule="auto"/>
              <w:ind w:firstLine="0"/>
              <w:jc w:val="right"/>
            </w:pPr>
            <w:r>
              <w:t>109,486</w:t>
            </w:r>
          </w:p>
        </w:tc>
        <w:tc>
          <w:tcPr>
            <w:tcW w:w="1260" w:type="dxa"/>
            <w:tcBorders>
              <w:top w:val="double" w:sz="4" w:space="0" w:color="auto"/>
            </w:tcBorders>
          </w:tcPr>
          <w:p w14:paraId="6F352C98" w14:textId="77777777" w:rsidR="00101352" w:rsidRDefault="00101352" w:rsidP="005553E8">
            <w:pPr>
              <w:spacing w:line="240" w:lineRule="auto"/>
              <w:ind w:firstLine="0"/>
              <w:jc w:val="right"/>
            </w:pPr>
            <w:r>
              <w:t>1,685,176</w:t>
            </w:r>
          </w:p>
        </w:tc>
        <w:tc>
          <w:tcPr>
            <w:tcW w:w="1260" w:type="dxa"/>
            <w:tcBorders>
              <w:top w:val="double" w:sz="4" w:space="0" w:color="auto"/>
            </w:tcBorders>
          </w:tcPr>
          <w:p w14:paraId="65FCA96B" w14:textId="77777777" w:rsidR="00101352" w:rsidRDefault="00101352" w:rsidP="005553E8">
            <w:pPr>
              <w:spacing w:line="240" w:lineRule="auto"/>
              <w:ind w:firstLine="0"/>
              <w:jc w:val="right"/>
            </w:pPr>
            <w:r>
              <w:t>154</w:t>
            </w:r>
          </w:p>
        </w:tc>
        <w:tc>
          <w:tcPr>
            <w:tcW w:w="1440" w:type="dxa"/>
            <w:tcBorders>
              <w:top w:val="double" w:sz="4" w:space="0" w:color="auto"/>
            </w:tcBorders>
          </w:tcPr>
          <w:p w14:paraId="28FC64C9" w14:textId="77777777" w:rsidR="00101352" w:rsidRDefault="00101352" w:rsidP="005553E8">
            <w:pPr>
              <w:spacing w:line="240" w:lineRule="auto"/>
              <w:ind w:firstLine="0"/>
              <w:jc w:val="right"/>
            </w:pPr>
            <w:r>
              <w:t>25</w:t>
            </w:r>
          </w:p>
        </w:tc>
        <w:tc>
          <w:tcPr>
            <w:tcW w:w="1260" w:type="dxa"/>
            <w:tcBorders>
              <w:top w:val="double" w:sz="4" w:space="0" w:color="auto"/>
            </w:tcBorders>
          </w:tcPr>
          <w:p w14:paraId="75B3309C" w14:textId="77777777" w:rsidR="00101352" w:rsidRDefault="00101352" w:rsidP="005553E8">
            <w:pPr>
              <w:spacing w:line="240" w:lineRule="auto"/>
              <w:ind w:firstLine="0"/>
              <w:jc w:val="right"/>
            </w:pPr>
            <w:r>
              <w:t>348</w:t>
            </w:r>
          </w:p>
        </w:tc>
      </w:tr>
      <w:tr w:rsidR="00101352" w14:paraId="5EC29DBA" w14:textId="77777777" w:rsidTr="005553E8">
        <w:trPr>
          <w:cantSplit/>
        </w:trPr>
        <w:tc>
          <w:tcPr>
            <w:tcW w:w="1435" w:type="dxa"/>
          </w:tcPr>
          <w:p w14:paraId="5DCC60E7" w14:textId="77777777" w:rsidR="00101352" w:rsidRDefault="00101352" w:rsidP="005553E8">
            <w:pPr>
              <w:spacing w:line="240" w:lineRule="auto"/>
              <w:ind w:firstLine="0"/>
            </w:pPr>
            <w:r>
              <w:t>ICRSSL</w:t>
            </w:r>
          </w:p>
        </w:tc>
        <w:tc>
          <w:tcPr>
            <w:tcW w:w="1260" w:type="dxa"/>
          </w:tcPr>
          <w:p w14:paraId="04AE5F67" w14:textId="77777777" w:rsidR="00101352" w:rsidRDefault="00101352" w:rsidP="005553E8">
            <w:pPr>
              <w:spacing w:line="240" w:lineRule="auto"/>
              <w:ind w:firstLine="0"/>
              <w:jc w:val="right"/>
            </w:pPr>
            <w:r>
              <w:t>170,977</w:t>
            </w:r>
          </w:p>
        </w:tc>
        <w:tc>
          <w:tcPr>
            <w:tcW w:w="1440" w:type="dxa"/>
          </w:tcPr>
          <w:p w14:paraId="308EB1F5" w14:textId="77777777" w:rsidR="00101352" w:rsidRDefault="00101352" w:rsidP="005553E8">
            <w:pPr>
              <w:spacing w:line="240" w:lineRule="auto"/>
              <w:ind w:firstLine="0"/>
              <w:jc w:val="right"/>
            </w:pPr>
            <w:r>
              <w:t>28,314</w:t>
            </w:r>
          </w:p>
        </w:tc>
        <w:tc>
          <w:tcPr>
            <w:tcW w:w="1260" w:type="dxa"/>
          </w:tcPr>
          <w:p w14:paraId="6D4DDF0A" w14:textId="77777777" w:rsidR="00101352" w:rsidRDefault="00101352" w:rsidP="005553E8">
            <w:pPr>
              <w:spacing w:line="240" w:lineRule="auto"/>
              <w:ind w:firstLine="0"/>
              <w:jc w:val="right"/>
            </w:pPr>
            <w:r>
              <w:t>392,979</w:t>
            </w:r>
          </w:p>
        </w:tc>
        <w:tc>
          <w:tcPr>
            <w:tcW w:w="1260" w:type="dxa"/>
          </w:tcPr>
          <w:p w14:paraId="5F727712" w14:textId="77777777" w:rsidR="00101352" w:rsidRDefault="00101352" w:rsidP="005553E8">
            <w:pPr>
              <w:spacing w:line="240" w:lineRule="auto"/>
              <w:ind w:firstLine="0"/>
              <w:jc w:val="right"/>
            </w:pPr>
            <w:r>
              <w:t>39</w:t>
            </w:r>
          </w:p>
        </w:tc>
        <w:tc>
          <w:tcPr>
            <w:tcW w:w="1440" w:type="dxa"/>
          </w:tcPr>
          <w:p w14:paraId="454ED1DE" w14:textId="77777777" w:rsidR="00101352" w:rsidRDefault="00101352" w:rsidP="005553E8">
            <w:pPr>
              <w:spacing w:line="240" w:lineRule="auto"/>
              <w:ind w:firstLine="0"/>
              <w:jc w:val="right"/>
            </w:pPr>
            <w:r>
              <w:t>7</w:t>
            </w:r>
          </w:p>
        </w:tc>
        <w:tc>
          <w:tcPr>
            <w:tcW w:w="1260" w:type="dxa"/>
          </w:tcPr>
          <w:p w14:paraId="7BD613CD" w14:textId="77777777" w:rsidR="00101352" w:rsidRDefault="00101352" w:rsidP="005553E8">
            <w:pPr>
              <w:spacing w:line="240" w:lineRule="auto"/>
              <w:ind w:firstLine="0"/>
              <w:jc w:val="right"/>
            </w:pPr>
            <w:r>
              <w:t>85</w:t>
            </w:r>
          </w:p>
        </w:tc>
      </w:tr>
      <w:tr w:rsidR="00101352" w14:paraId="04F07E69" w14:textId="77777777" w:rsidTr="005553E8">
        <w:trPr>
          <w:cantSplit/>
        </w:trPr>
        <w:tc>
          <w:tcPr>
            <w:tcW w:w="1435" w:type="dxa"/>
          </w:tcPr>
          <w:p w14:paraId="6B29C4F4" w14:textId="77777777" w:rsidR="00101352" w:rsidRDefault="00101352" w:rsidP="005553E8">
            <w:pPr>
              <w:spacing w:line="240" w:lineRule="auto"/>
              <w:ind w:firstLine="0"/>
            </w:pPr>
            <w:r>
              <w:t>ICRSSM</w:t>
            </w:r>
          </w:p>
        </w:tc>
        <w:tc>
          <w:tcPr>
            <w:tcW w:w="1260" w:type="dxa"/>
          </w:tcPr>
          <w:p w14:paraId="3C75C36B" w14:textId="77777777" w:rsidR="00101352" w:rsidRDefault="00101352" w:rsidP="005553E8">
            <w:pPr>
              <w:spacing w:line="240" w:lineRule="auto"/>
              <w:ind w:firstLine="0"/>
              <w:jc w:val="right"/>
            </w:pPr>
            <w:r>
              <w:t>336,652</w:t>
            </w:r>
          </w:p>
        </w:tc>
        <w:tc>
          <w:tcPr>
            <w:tcW w:w="1440" w:type="dxa"/>
          </w:tcPr>
          <w:p w14:paraId="0CD6C69A" w14:textId="77777777" w:rsidR="00101352" w:rsidRDefault="00101352" w:rsidP="005553E8">
            <w:pPr>
              <w:spacing w:line="240" w:lineRule="auto"/>
              <w:ind w:firstLine="0"/>
              <w:jc w:val="right"/>
            </w:pPr>
            <w:r>
              <w:t>52,763</w:t>
            </w:r>
          </w:p>
        </w:tc>
        <w:tc>
          <w:tcPr>
            <w:tcW w:w="1260" w:type="dxa"/>
          </w:tcPr>
          <w:p w14:paraId="268DB68C" w14:textId="77777777" w:rsidR="00101352" w:rsidRDefault="00101352" w:rsidP="005553E8">
            <w:pPr>
              <w:spacing w:line="240" w:lineRule="auto"/>
              <w:ind w:firstLine="0"/>
              <w:jc w:val="right"/>
            </w:pPr>
            <w:r>
              <w:t>826,004</w:t>
            </w:r>
          </w:p>
        </w:tc>
        <w:tc>
          <w:tcPr>
            <w:tcW w:w="1260" w:type="dxa"/>
          </w:tcPr>
          <w:p w14:paraId="25A0DFF8" w14:textId="77777777" w:rsidR="00101352" w:rsidRDefault="00101352" w:rsidP="005553E8">
            <w:pPr>
              <w:spacing w:line="240" w:lineRule="auto"/>
              <w:ind w:firstLine="0"/>
              <w:jc w:val="right"/>
            </w:pPr>
            <w:r>
              <w:t>74</w:t>
            </w:r>
          </w:p>
        </w:tc>
        <w:tc>
          <w:tcPr>
            <w:tcW w:w="1440" w:type="dxa"/>
          </w:tcPr>
          <w:p w14:paraId="27BCEF08" w14:textId="77777777" w:rsidR="00101352" w:rsidRDefault="00101352" w:rsidP="005553E8">
            <w:pPr>
              <w:spacing w:line="240" w:lineRule="auto"/>
              <w:ind w:firstLine="0"/>
              <w:jc w:val="right"/>
            </w:pPr>
            <w:r>
              <w:t>12</w:t>
            </w:r>
          </w:p>
        </w:tc>
        <w:tc>
          <w:tcPr>
            <w:tcW w:w="1260" w:type="dxa"/>
          </w:tcPr>
          <w:p w14:paraId="162AD9C1" w14:textId="77777777" w:rsidR="00101352" w:rsidRDefault="00101352" w:rsidP="005553E8">
            <w:pPr>
              <w:spacing w:line="240" w:lineRule="auto"/>
              <w:ind w:firstLine="0"/>
              <w:jc w:val="right"/>
            </w:pPr>
            <w:r>
              <w:t>172</w:t>
            </w:r>
          </w:p>
        </w:tc>
      </w:tr>
      <w:tr w:rsidR="00101352" w14:paraId="523A7450" w14:textId="77777777" w:rsidTr="005553E8">
        <w:trPr>
          <w:cantSplit/>
        </w:trPr>
        <w:tc>
          <w:tcPr>
            <w:tcW w:w="9355" w:type="dxa"/>
            <w:gridSpan w:val="7"/>
          </w:tcPr>
          <w:p w14:paraId="192E2597" w14:textId="77777777" w:rsidR="00101352" w:rsidRPr="00DE446B" w:rsidRDefault="00101352" w:rsidP="005553E8">
            <w:pPr>
              <w:spacing w:line="240" w:lineRule="auto"/>
              <w:ind w:firstLine="0"/>
              <w:rPr>
                <w:sz w:val="20"/>
                <w:szCs w:val="20"/>
              </w:rPr>
            </w:pPr>
            <w:r w:rsidRPr="00DE446B">
              <w:rPr>
                <w:sz w:val="20"/>
                <w:szCs w:val="20"/>
              </w:rPr>
              <w:t xml:space="preserve">Source: </w:t>
            </w:r>
            <w:r>
              <w:rPr>
                <w:noProof/>
                <w:sz w:val="20"/>
                <w:szCs w:val="20"/>
              </w:rPr>
              <w:t>(USEPA 2005a, Exhibit 8.3])</w:t>
            </w:r>
            <w:r w:rsidRPr="00DE446B">
              <w:rPr>
                <w:sz w:val="20"/>
                <w:szCs w:val="20"/>
              </w:rPr>
              <w:t>.</w:t>
            </w:r>
          </w:p>
          <w:p w14:paraId="1A64C21D" w14:textId="77777777" w:rsidR="00101352" w:rsidRPr="00DE446B" w:rsidRDefault="00101352" w:rsidP="005553E8">
            <w:pPr>
              <w:spacing w:line="240" w:lineRule="auto"/>
              <w:ind w:firstLine="0"/>
              <w:rPr>
                <w:sz w:val="20"/>
                <w:szCs w:val="20"/>
              </w:rPr>
            </w:pPr>
            <w:r w:rsidRPr="00DE446B">
              <w:rPr>
                <w:sz w:val="20"/>
                <w:szCs w:val="20"/>
                <w:vertAlign w:val="superscript"/>
              </w:rPr>
              <w:t>a</w:t>
            </w:r>
            <w:r w:rsidRPr="00DE446B">
              <w:rPr>
                <w:sz w:val="20"/>
                <w:szCs w:val="20"/>
              </w:rPr>
              <w:t xml:space="preserve"> ICR = 1996 Information Collection Rule; ICRSSL = ICR Supplemental Surveys (Large Systems); ICRSSM = ICR Supplemental Surveys (Medium-Size Systems).</w:t>
            </w:r>
          </w:p>
          <w:p w14:paraId="2677851D" w14:textId="77777777" w:rsidR="00101352" w:rsidRDefault="00101352" w:rsidP="005553E8">
            <w:pPr>
              <w:spacing w:line="240" w:lineRule="auto"/>
              <w:ind w:firstLine="0"/>
            </w:pPr>
            <w:r w:rsidRPr="00DE446B">
              <w:rPr>
                <w:sz w:val="20"/>
                <w:szCs w:val="20"/>
                <w:vertAlign w:val="superscript"/>
              </w:rPr>
              <w:t>b</w:t>
            </w:r>
            <w:r w:rsidRPr="00DE446B">
              <w:rPr>
                <w:sz w:val="20"/>
                <w:szCs w:val="20"/>
              </w:rPr>
              <w:t xml:space="preserve"> Meaning of 5</w:t>
            </w:r>
            <w:r w:rsidRPr="00DE446B">
              <w:rPr>
                <w:sz w:val="20"/>
                <w:szCs w:val="20"/>
                <w:vertAlign w:val="superscript"/>
              </w:rPr>
              <w:t>th</w:t>
            </w:r>
            <w:r w:rsidRPr="00DE446B">
              <w:rPr>
                <w:sz w:val="20"/>
                <w:szCs w:val="20"/>
              </w:rPr>
              <w:t xml:space="preserve"> and 95</w:t>
            </w:r>
            <w:r w:rsidRPr="00DE446B">
              <w:rPr>
                <w:sz w:val="20"/>
                <w:szCs w:val="20"/>
                <w:vertAlign w:val="superscript"/>
              </w:rPr>
              <w:t>th</w:t>
            </w:r>
            <w:r w:rsidRPr="00DE446B">
              <w:rPr>
                <w:sz w:val="20"/>
                <w:szCs w:val="20"/>
              </w:rPr>
              <w:t xml:space="preserve"> percentiles with 90% confidence bounds is not explained.</w:t>
            </w:r>
          </w:p>
        </w:tc>
      </w:tr>
    </w:tbl>
    <w:p w14:paraId="278D058B" w14:textId="77777777" w:rsidR="00101352" w:rsidRDefault="00101352" w:rsidP="00101352">
      <w:pPr>
        <w:spacing w:line="240" w:lineRule="auto"/>
        <w:ind w:firstLine="0"/>
      </w:pPr>
      <w:r>
        <w:br w:type="page"/>
      </w:r>
    </w:p>
    <w:p w14:paraId="681A6F39" w14:textId="77777777" w:rsidR="00101352" w:rsidRDefault="00101352" w:rsidP="00101352">
      <w:pPr>
        <w:spacing w:line="240" w:lineRule="auto"/>
        <w:ind w:firstLine="0"/>
      </w:pPr>
    </w:p>
    <w:p w14:paraId="5929D3B8" w14:textId="77777777" w:rsidR="00101352" w:rsidRDefault="00101352" w:rsidP="00101352">
      <w:pPr>
        <w:pStyle w:val="Heading3"/>
      </w:pPr>
      <w:r w:rsidRPr="00720A0A">
        <w:t>Ground Water Rule</w:t>
      </w:r>
      <w:r>
        <w:t xml:space="preserve"> (GWR)</w:t>
      </w:r>
    </w:p>
    <w:p w14:paraId="34AC16E8" w14:textId="77777777" w:rsidR="00101352" w:rsidRDefault="00101352" w:rsidP="00101352">
      <w:r>
        <w:t xml:space="preserve">This regulation added an additional layer of treatment requirements for </w:t>
      </w:r>
      <w:r w:rsidRPr="00994936">
        <w:t>ground</w:t>
      </w:r>
      <w:r>
        <w:t xml:space="preserve"> </w:t>
      </w:r>
      <w:r w:rsidRPr="00994936">
        <w:t xml:space="preserve">water systems </w:t>
      </w:r>
      <w:r>
        <w:t xml:space="preserve">believed by USEPA to be </w:t>
      </w:r>
      <w:r w:rsidRPr="00994936">
        <w:t>susceptible to</w:t>
      </w:r>
      <w:r>
        <w:t xml:space="preserve"> </w:t>
      </w:r>
      <w:r w:rsidRPr="00994936">
        <w:t>fecal contamination</w:t>
      </w:r>
      <w:r>
        <w:t xml:space="preserve"> “</w:t>
      </w:r>
      <w:r w:rsidRPr="00994936">
        <w:t>because such</w:t>
      </w:r>
      <w:r>
        <w:t xml:space="preserve"> </w:t>
      </w:r>
      <w:r w:rsidRPr="00994936">
        <w:t>contamination is the likely source of</w:t>
      </w:r>
      <w:r>
        <w:t xml:space="preserve"> </w:t>
      </w:r>
      <w:r w:rsidRPr="00994936">
        <w:t>viral and bacterial pathogens in</w:t>
      </w:r>
      <w:r>
        <w:t xml:space="preserve"> </w:t>
      </w:r>
      <w:r w:rsidRPr="00994936">
        <w:t>drinking water supplies</w:t>
      </w:r>
      <w:r>
        <w:t xml:space="preserve">” </w:t>
      </w:r>
      <w:r>
        <w:rPr>
          <w:noProof/>
        </w:rPr>
        <w:t>(USEPA 2006f, p. 65576)</w:t>
      </w:r>
      <w:r>
        <w:t xml:space="preserve">.  USEPA determined that the risk-targeting strategy was cost-effective </w:t>
      </w:r>
      <w:r>
        <w:rPr>
          <w:noProof/>
        </w:rPr>
        <w:t>(USEPA 2006d, Chapter 8)</w:t>
      </w:r>
      <w:r>
        <w:t xml:space="preserve"> and that the benefits justified the costs </w:t>
      </w:r>
      <w:r>
        <w:rPr>
          <w:noProof/>
        </w:rPr>
        <w:t>(USEPA 2006f, p. 65637)</w:t>
      </w:r>
      <w:r>
        <w:t xml:space="preserve">. Thus, this rule is potentially susceptible to economic feasibility analysis. </w:t>
      </w:r>
    </w:p>
    <w:p w14:paraId="48F78CAF" w14:textId="77777777" w:rsidR="00101352" w:rsidRDefault="00101352" w:rsidP="00101352">
      <w:r>
        <w:t xml:space="preserve">The regulation’s “risk-targeting strategy” included triennial or quintennial sanitary surveys with survey-triggered monitoring requirements, mandatory corrective action by treatment, and compliance monitoring. Costs were estimated conventionally based on paperwork, recordkeeping, and engineering expenditures, not opportunity costs. Benefits were based on </w:t>
      </w:r>
      <w:r w:rsidRPr="00AA234A">
        <w:t>potential</w:t>
      </w:r>
      <w:r>
        <w:rPr>
          <w:i/>
        </w:rPr>
        <w:t xml:space="preserve"> </w:t>
      </w:r>
      <w:r>
        <w:t xml:space="preserve">risks and estimated using both “traditional” and “enhanced” COI methods. “Enhanced” methods included the value of lost </w:t>
      </w:r>
      <w:r w:rsidRPr="0012080D">
        <w:t>nonmarket work time based</w:t>
      </w:r>
      <w:r>
        <w:t xml:space="preserve"> </w:t>
      </w:r>
      <w:r w:rsidRPr="0012080D">
        <w:t>on opportunity costs</w:t>
      </w:r>
      <w:r>
        <w:t xml:space="preserve">, the value of lost leisure time, and the value of lost productivity </w:t>
      </w:r>
      <w:r>
        <w:rPr>
          <w:noProof/>
        </w:rPr>
        <w:t>(USEPA 2006d)</w:t>
      </w:r>
      <w:r>
        <w:t xml:space="preserve">. </w:t>
      </w:r>
    </w:p>
    <w:p w14:paraId="5BDCFD93" w14:textId="77777777" w:rsidR="00101352" w:rsidRDefault="004D0E95" w:rsidP="00101352">
      <w:fldSimple w:instr=" REF _Ref1581391 ">
        <w:r w:rsidR="00101352">
          <w:t xml:space="preserve">Figure </w:t>
        </w:r>
        <w:r w:rsidR="00101352">
          <w:rPr>
            <w:noProof/>
          </w:rPr>
          <w:t>7</w:t>
        </w:r>
        <w:r w:rsidR="00101352">
          <w:noBreakHyphen/>
        </w:r>
        <w:r w:rsidR="00101352">
          <w:rPr>
            <w:noProof/>
          </w:rPr>
          <w:t>1</w:t>
        </w:r>
      </w:fldSimple>
      <w:r w:rsidR="00101352">
        <w:t xml:space="preserve"> shows USEPA estimates of benefits and costs of the selected regulatory alternative for two benefit estimation methods (“enhanced” and “traditional” COI) and two discount rates (3% and 7%) </w:t>
      </w:r>
      <w:r w:rsidR="00101352">
        <w:rPr>
          <w:noProof/>
        </w:rPr>
        <w:t>(USEPA 2006f, Table VII-1)</w:t>
      </w:r>
      <w:r w:rsidR="00101352">
        <w:t>. Aggregate net benefits at the mean, 5</w:t>
      </w:r>
      <w:r w:rsidR="00101352" w:rsidRPr="00A5303E">
        <w:rPr>
          <w:vertAlign w:val="superscript"/>
        </w:rPr>
        <w:t>th</w:t>
      </w:r>
      <w:r w:rsidR="00101352">
        <w:t xml:space="preserve"> percentile, and 95</w:t>
      </w:r>
      <w:r w:rsidR="00101352" w:rsidRPr="00A5303E">
        <w:rPr>
          <w:vertAlign w:val="superscript"/>
        </w:rPr>
        <w:t>th</w:t>
      </w:r>
      <w:r w:rsidR="00101352">
        <w:t xml:space="preserve"> percentile were negative regardless of dataset, discount rate, and COI methodology. </w:t>
      </w:r>
    </w:p>
    <w:p w14:paraId="47F8CEBD" w14:textId="77777777" w:rsidR="00101352" w:rsidRDefault="00101352" w:rsidP="00101352">
      <w:r>
        <w:t xml:space="preserve">The determination that benefits justified costs depended on substantial unquantified co-benefits and the virtual absence of unquantified costs. Unquantified co-benefits were assumed to be at least four times greater than quantified benefits </w:t>
      </w:r>
      <w:r>
        <w:rPr>
          <w:noProof/>
        </w:rPr>
        <w:t>(USEPA 2006d, § 5.4.3.2)</w:t>
      </w:r>
      <w:r>
        <w:t xml:space="preserve">. Unquantified </w:t>
      </w:r>
      <w:r>
        <w:lastRenderedPageBreak/>
        <w:t xml:space="preserve">costs were assumed to be minor </w:t>
      </w:r>
      <w:r>
        <w:rPr>
          <w:noProof/>
        </w:rPr>
        <w:t>(USEPA 2006d, § 6.6)</w:t>
      </w:r>
      <w:r>
        <w:t xml:space="preserve">. Three alternatives were analyzed, and aggregate net benefits also were negative for each. Alternative 1 had the smallest negative net benefits (–$11.7 million $2003 at 3%; –$12.4 million $2003 at 7%) </w:t>
      </w:r>
      <w:r>
        <w:rPr>
          <w:noProof/>
        </w:rPr>
        <w:t>(USEPA 2006d, Exhibit 8.10a)</w:t>
      </w:r>
      <w:r>
        <w:t>.</w:t>
      </w:r>
    </w:p>
    <w:p w14:paraId="2F1FF670" w14:textId="77777777" w:rsidR="00101352" w:rsidRDefault="00101352" w:rsidP="00101352">
      <w:pPr>
        <w:sectPr w:rsidR="00101352" w:rsidSect="005553E8">
          <w:pgSz w:w="12240" w:h="15840"/>
          <w:pgMar w:top="1440" w:right="1440" w:bottom="1440" w:left="1440" w:header="720" w:footer="720" w:gutter="0"/>
          <w:pgNumType w:start="1"/>
          <w:cols w:space="720"/>
          <w:docGrid w:linePitch="360"/>
        </w:sectPr>
      </w:pPr>
      <w:r>
        <w:t xml:space="preserve">Net benefits objectively estimated would have been more severely negative. As noted in Section </w:t>
      </w:r>
      <w:fldSimple w:instr=" REF _Ref536527629 \w \p ">
        <w:r>
          <w:t>7.a.8 below</w:t>
        </w:r>
      </w:fldSimple>
      <w:r>
        <w:t xml:space="preserve">, USEPA’s estimates of illnesses and deaths prevented were significantly greater than the baseline numbers of cases and deaths from all pathways reported by CDC. USEPA’s institutional reliance on risk assessment methods that yield upwardly biased estimates of risk </w:t>
      </w:r>
      <w:r>
        <w:rPr>
          <w:noProof/>
        </w:rPr>
        <w:t>(U.S. EPA Office of the Science Advisor 2004)</w:t>
      </w:r>
      <w:r>
        <w:t xml:space="preserve"> result in upwardly biased estimates of benefits.</w:t>
      </w:r>
      <w:bookmarkStart w:id="48" w:name="_Ref536527001"/>
    </w:p>
    <w:p w14:paraId="783DEEFD" w14:textId="77777777" w:rsidR="00101352" w:rsidRDefault="00101352" w:rsidP="00101352">
      <w:pPr>
        <w:spacing w:line="240" w:lineRule="auto"/>
        <w:ind w:firstLine="0"/>
      </w:pPr>
      <w:bookmarkStart w:id="49" w:name="_Ref1581391"/>
      <w:r>
        <w:lastRenderedPageBreak/>
        <w:t xml:space="preserve">Figure </w:t>
      </w:r>
      <w:fldSimple w:instr=" STYLEREF 1 \s ">
        <w:r>
          <w:rPr>
            <w:noProof/>
          </w:rPr>
          <w:t>7</w:t>
        </w:r>
      </w:fldSimple>
      <w:r>
        <w:noBreakHyphen/>
      </w:r>
      <w:fldSimple w:instr=" SEQ Figure \* ARABIC \s 1 ">
        <w:r>
          <w:rPr>
            <w:noProof/>
          </w:rPr>
          <w:t>1</w:t>
        </w:r>
      </w:fldSimple>
      <w:bookmarkEnd w:id="48"/>
      <w:bookmarkEnd w:id="49"/>
      <w:r>
        <w:t>: Ground Water Rule: USEPA-Estimated Benefits and Costs at 3% and 7% using “Enhanced” and “Traditional” Cost of Illness (COI) Benefit Estimation Methods</w:t>
      </w:r>
      <w:r>
        <w:br/>
      </w:r>
      <w:r>
        <w:rPr>
          <w:noProof/>
        </w:rPr>
        <w:drawing>
          <wp:inline distT="0" distB="0" distL="0" distR="0" wp14:anchorId="18A59EB1" wp14:editId="24C59DAE">
            <wp:extent cx="3932767" cy="2743200"/>
            <wp:effectExtent l="0" t="0" r="17145" b="12700"/>
            <wp:docPr id="7" name="Chart 7">
              <a:extLst xmlns:a="http://schemas.openxmlformats.org/drawingml/2006/main">
                <a:ext uri="{FF2B5EF4-FFF2-40B4-BE49-F238E27FC236}">
                  <a16:creationId xmlns:a16="http://schemas.microsoft.com/office/drawing/2014/main" id="{90AE0643-A9D6-E545-9680-D433E8D81A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noProof/>
        </w:rPr>
        <w:drawing>
          <wp:inline distT="0" distB="0" distL="0" distR="0" wp14:anchorId="4C3EEA96" wp14:editId="24BA562F">
            <wp:extent cx="3932767" cy="2743200"/>
            <wp:effectExtent l="0" t="0" r="17145" b="12700"/>
            <wp:docPr id="8" name="Chart 8">
              <a:extLst xmlns:a="http://schemas.openxmlformats.org/drawingml/2006/main">
                <a:ext uri="{FF2B5EF4-FFF2-40B4-BE49-F238E27FC236}">
                  <a16:creationId xmlns:a16="http://schemas.microsoft.com/office/drawing/2014/main" id="{2322BF0E-C9BC-C846-B9CE-C1484F2F5F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noProof/>
        </w:rPr>
        <w:drawing>
          <wp:inline distT="0" distB="0" distL="0" distR="0" wp14:anchorId="1B890CD0" wp14:editId="73BD42D4">
            <wp:extent cx="3932767" cy="2743200"/>
            <wp:effectExtent l="0" t="0" r="17145" b="12700"/>
            <wp:docPr id="9" name="Chart 9">
              <a:extLst xmlns:a="http://schemas.openxmlformats.org/drawingml/2006/main">
                <a:ext uri="{FF2B5EF4-FFF2-40B4-BE49-F238E27FC236}">
                  <a16:creationId xmlns:a16="http://schemas.microsoft.com/office/drawing/2014/main" id="{7AB5FCF0-1DF8-1E49-B13A-6F35BEF648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noProof/>
        </w:rPr>
        <w:drawing>
          <wp:inline distT="0" distB="0" distL="0" distR="0" wp14:anchorId="3EB9B2DB" wp14:editId="750F4E80">
            <wp:extent cx="3932767" cy="2743200"/>
            <wp:effectExtent l="0" t="0" r="17145" b="12700"/>
            <wp:docPr id="10" name="Chart 10">
              <a:extLst xmlns:a="http://schemas.openxmlformats.org/drawingml/2006/main">
                <a:ext uri="{FF2B5EF4-FFF2-40B4-BE49-F238E27FC236}">
                  <a16:creationId xmlns:a16="http://schemas.microsoft.com/office/drawing/2014/main" id="{C5194CBA-7438-AC4F-8A39-EBDBD54317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br w:type="page"/>
      </w:r>
    </w:p>
    <w:p w14:paraId="7B066AF9" w14:textId="77777777" w:rsidR="00101352" w:rsidRDefault="00101352" w:rsidP="00101352">
      <w:pPr>
        <w:spacing w:line="240" w:lineRule="auto"/>
        <w:ind w:firstLine="0"/>
        <w:sectPr w:rsidR="00101352" w:rsidSect="005553E8">
          <w:pgSz w:w="15840" w:h="12240" w:orient="landscape"/>
          <w:pgMar w:top="1440" w:right="1440" w:bottom="1440" w:left="1440" w:header="720" w:footer="720" w:gutter="0"/>
          <w:cols w:space="720"/>
          <w:docGrid w:linePitch="360"/>
        </w:sectPr>
      </w:pPr>
    </w:p>
    <w:p w14:paraId="4042D774" w14:textId="77777777" w:rsidR="00101352" w:rsidRDefault="00101352" w:rsidP="00101352">
      <w:pPr>
        <w:pStyle w:val="Heading3"/>
      </w:pPr>
      <w:bookmarkStart w:id="50" w:name="_Ref536527629"/>
      <w:r>
        <w:lastRenderedPageBreak/>
        <w:t>Analytical deficiencies adversely affect determinations of economic feasibility</w:t>
      </w:r>
      <w:bookmarkEnd w:id="50"/>
      <w:r>
        <w:t xml:space="preserve"> </w:t>
      </w:r>
    </w:p>
    <w:p w14:paraId="5F5066DD" w14:textId="77777777" w:rsidR="00101352" w:rsidRDefault="00101352" w:rsidP="00101352">
      <w:r>
        <w:t xml:space="preserve">Several of these rules sought to reduce illnesses and fatalities potentially attributable to pathogens not amenable to risk-reduction through disinfection, such as </w:t>
      </w:r>
      <w:r w:rsidRPr="00870D46">
        <w:rPr>
          <w:i/>
        </w:rPr>
        <w:t>Cryptosporidium</w:t>
      </w:r>
      <w:r>
        <w:t xml:space="preserve"> and </w:t>
      </w:r>
      <w:r>
        <w:rPr>
          <w:i/>
        </w:rPr>
        <w:t>Giardia</w:t>
      </w:r>
      <w:r>
        <w:t xml:space="preserve">. Drinking water may be a key vector in the transmission of these pathogens, but not in the United States. Worldwide incidence of cryptosporidiosis has been estimated at 69.7 cases per 1,000 children aged &lt; 5 worldwide, resulting in 4.2 million acute disability-adjusted life-years (DALYs) and 48,300 fatalities. </w:t>
      </w:r>
      <w:r w:rsidRPr="00830924">
        <w:t>U.S. incidence</w:t>
      </w:r>
      <w:r>
        <w:t xml:space="preserve">, however, is estimated at 0.2 cases per 1,000 children (99.7% lower), 31 DALYs (99.999% lower), and zero deaths </w:t>
      </w:r>
      <w:r>
        <w:rPr>
          <w:noProof/>
        </w:rPr>
        <w:t>(Khalil et al. 2018)</w:t>
      </w:r>
      <w:r>
        <w:t xml:space="preserve">. </w:t>
      </w:r>
      <w:fldSimple w:instr=" REF _Ref536527139 ">
        <w:r>
          <w:t xml:space="preserve">Figure </w:t>
        </w:r>
        <w:r>
          <w:rPr>
            <w:noProof/>
          </w:rPr>
          <w:t>7</w:t>
        </w:r>
        <w:r>
          <w:noBreakHyphen/>
        </w:r>
        <w:r>
          <w:rPr>
            <w:noProof/>
          </w:rPr>
          <w:t>2</w:t>
        </w:r>
      </w:fldSimple>
      <w:r>
        <w:t xml:space="preserve"> </w:t>
      </w:r>
      <w:r w:rsidRPr="00830924">
        <w:t xml:space="preserve">shows that the number of </w:t>
      </w:r>
      <w:r>
        <w:t xml:space="preserve">reported U.S. </w:t>
      </w:r>
      <w:r w:rsidRPr="00830924">
        <w:t xml:space="preserve">cases </w:t>
      </w:r>
      <w:r>
        <w:t xml:space="preserve">rose </w:t>
      </w:r>
      <w:r w:rsidRPr="00830924">
        <w:t xml:space="preserve">from about 2,000 in 1997 to about 12,000 in 2017, but </w:t>
      </w:r>
      <w:r>
        <w:t xml:space="preserve">the number of </w:t>
      </w:r>
      <w:r w:rsidRPr="00830924">
        <w:t>deaths remained rare</w:t>
      </w:r>
      <w:r>
        <w:t xml:space="preserve"> and exhibited no upward trend</w:t>
      </w:r>
      <w:r w:rsidRPr="00830924">
        <w:t>.</w:t>
      </w:r>
      <w:r>
        <w:t xml:space="preserve"> </w:t>
      </w:r>
      <w:fldSimple w:instr=" REF _Ref863076  \* MERGEFORMAT ">
        <w:r>
          <w:t>Figure 7</w:t>
        </w:r>
        <w:r>
          <w:noBreakHyphen/>
          <w:t>3</w:t>
        </w:r>
      </w:fldSimple>
      <w:r w:rsidRPr="00830924">
        <w:t xml:space="preserve"> shows a rising </w:t>
      </w:r>
      <w:r>
        <w:t xml:space="preserve">incidence </w:t>
      </w:r>
      <w:r w:rsidRPr="00830924">
        <w:t>rate of cryptosporidiosis</w:t>
      </w:r>
      <w:r>
        <w:t xml:space="preserve"> but no change in the fraction of illnesses leading to death.  </w:t>
      </w:r>
      <w:fldSimple w:instr=" REF _Ref536527211 ">
        <w:r>
          <w:t xml:space="preserve">Figure </w:t>
        </w:r>
        <w:r>
          <w:rPr>
            <w:noProof/>
          </w:rPr>
          <w:t>7</w:t>
        </w:r>
        <w:r>
          <w:noBreakHyphen/>
        </w:r>
        <w:r>
          <w:rPr>
            <w:noProof/>
          </w:rPr>
          <w:t>4</w:t>
        </w:r>
      </w:fldSimple>
      <w:r>
        <w:t xml:space="preserve"> shows a declining incidence rate for giardiasis, from about 20,000 cases per year in 2010 to about 16,000 cases per year in 2016. Reported deaths from giardiasis have never exceeded a single case per year. </w:t>
      </w:r>
    </w:p>
    <w:p w14:paraId="2A871171" w14:textId="77777777" w:rsidR="00101352" w:rsidRDefault="00101352" w:rsidP="00101352">
      <w:r>
        <w:t xml:space="preserve">The numbers of illnesses and deaths claimed to be prevented by the suite of surface water treatment rules greatly exceeds the total number of illnesses and deaths reported. In its analysis of the 2006 LT2ESWTR, USEPA estimated 154k to 2.3 million annual cases of cryptosporidiosis would be </w:t>
      </w:r>
      <w:r w:rsidRPr="000F0043">
        <w:rPr>
          <w:i/>
        </w:rPr>
        <w:t>prevented</w:t>
      </w:r>
      <w:r>
        <w:t xml:space="preserve">, over and above the numbers of cases prevented by the 1998 IESTWR, 2001 FBRR, and 2002 LT1ESWTR. But the annual average number of cases </w:t>
      </w:r>
      <w:r w:rsidRPr="000F0043">
        <w:rPr>
          <w:i/>
        </w:rPr>
        <w:t>reported</w:t>
      </w:r>
      <w:r>
        <w:t xml:space="preserve"> since 1997 is 6,590. This is 10% of the lower-bound estimate and 0.5% of the upper-bound estimate of the number of cases prevented by LT2ESWTR alone. The Agency estimated 7 to 468 deaths would be prevented annually, but the average annual number of deaths reported from all pathways since 1999 is 1.74. </w:t>
      </w:r>
    </w:p>
    <w:p w14:paraId="1AB4D7C5" w14:textId="77777777" w:rsidR="00101352" w:rsidRDefault="00101352" w:rsidP="00101352">
      <w:r>
        <w:lastRenderedPageBreak/>
        <w:t xml:space="preserve">USEPA’s estimates of benefits from avoided giardiasis are similarly inconsistent with empirical data.  The Agency describes giardiasis reduction as a qualitative benefit in the IESTWR </w:t>
      </w:r>
      <w:r>
        <w:rPr>
          <w:noProof/>
        </w:rPr>
        <w:t>(USEPA 1998c</w:t>
      </w:r>
      <w:r>
        <w:t xml:space="preserve">, the FBRR </w:t>
      </w:r>
      <w:r>
        <w:rPr>
          <w:noProof/>
        </w:rPr>
        <w:t>(USEPA 2000b)</w:t>
      </w:r>
      <w:r>
        <w:t xml:space="preserve">, LT1ESWTR </w:t>
      </w:r>
      <w:r>
        <w:rPr>
          <w:noProof/>
        </w:rPr>
        <w:t>(USEPA 2002b)</w:t>
      </w:r>
      <w:r>
        <w:t xml:space="preserve">, and LT2ESWTR </w:t>
      </w:r>
      <w:r>
        <w:rPr>
          <w:noProof/>
        </w:rPr>
        <w:t>(USEPA 2005a)</w:t>
      </w:r>
      <w:r>
        <w:t xml:space="preserve">. But </w:t>
      </w:r>
      <w:fldSimple w:instr=" REF _Ref536527211 ">
        <w:r>
          <w:t xml:space="preserve">Figure </w:t>
        </w:r>
        <w:r>
          <w:rPr>
            <w:noProof/>
          </w:rPr>
          <w:t>7</w:t>
        </w:r>
        <w:r>
          <w:noBreakHyphen/>
        </w:r>
        <w:r>
          <w:rPr>
            <w:noProof/>
          </w:rPr>
          <w:t>4</w:t>
        </w:r>
      </w:fldSimple>
      <w:r>
        <w:t xml:space="preserve"> shows a negligible number of deaths and a declining number of illnesses from giardiasis from all pathways since 2002, and </w:t>
      </w:r>
      <w:fldSimple w:instr=" REF _Ref864676 ">
        <w:r>
          <w:t>Figure Ad</w:t>
        </w:r>
      </w:fldSimple>
      <w:r>
        <w:t xml:space="preserve"> shows no change in the already low fraction of giardiasis cases resulting in death.</w:t>
      </w:r>
    </w:p>
    <w:p w14:paraId="26C6717E" w14:textId="77777777" w:rsidR="00101352" w:rsidRDefault="00101352" w:rsidP="00101352">
      <w:r>
        <w:t xml:space="preserve">A plausible case might be made that the vast majority of cryptosporidiosis and giardiasis cases are too minor to seek medical attention, and thus are significantly underreported </w:t>
      </w:r>
      <w:r>
        <w:rPr>
          <w:noProof/>
        </w:rPr>
        <w:t>(Hlavsa et al. 2005)</w:t>
      </w:r>
      <w:r>
        <w:t>. But if this is true, the Agency’s unit valuation of the benefit of preventing a case of illness seems overstated. Meanwhile, deaths from cryptosporidiosis and giardiasis are much less likely to be underreported, and the gap between reported and model-predicted deaths is more troubling. The upper-bound estimate of the number of cryptosporidiosis deaths prevented by just one of the surface water treatment rules is 270 times the average annual number of baseline deaths reported from all pathways. Even small downward adjustments in the model would result in benefits that are considerably below expenditures, and well below opportunity costs.</w:t>
      </w:r>
    </w:p>
    <w:p w14:paraId="25FCA8D8" w14:textId="77777777" w:rsidR="00101352" w:rsidRDefault="00101352" w:rsidP="00101352">
      <w:pPr>
        <w:pStyle w:val="Caption"/>
        <w:sectPr w:rsidR="00101352" w:rsidSect="005553E8">
          <w:pgSz w:w="12240" w:h="15840"/>
          <w:pgMar w:top="1440" w:right="1440" w:bottom="1440" w:left="1440" w:header="720" w:footer="720" w:gutter="0"/>
          <w:cols w:space="720"/>
          <w:docGrid w:linePitch="360"/>
        </w:sectPr>
      </w:pPr>
    </w:p>
    <w:p w14:paraId="68E6378A" w14:textId="77777777" w:rsidR="00101352" w:rsidRPr="0066247C" w:rsidRDefault="00101352" w:rsidP="00101352">
      <w:pPr>
        <w:pStyle w:val="Caption"/>
      </w:pPr>
      <w:bookmarkStart w:id="51" w:name="_Ref536527139"/>
      <w:r>
        <w:lastRenderedPageBreak/>
        <w:t xml:space="preserve">Figure </w:t>
      </w:r>
      <w:fldSimple w:instr=" STYLEREF 1 \s ">
        <w:r>
          <w:rPr>
            <w:noProof/>
          </w:rPr>
          <w:t>7</w:t>
        </w:r>
      </w:fldSimple>
      <w:r>
        <w:noBreakHyphen/>
      </w:r>
      <w:fldSimple w:instr=" SEQ Figure \* ARABIC \s 1 ">
        <w:r>
          <w:rPr>
            <w:noProof/>
          </w:rPr>
          <w:t>2</w:t>
        </w:r>
      </w:fldSimple>
      <w:bookmarkEnd w:id="51"/>
      <w:r>
        <w:t xml:space="preserve">: </w:t>
      </w:r>
      <w:r w:rsidRPr="0066247C">
        <w:t>U.S. Cryptosporidiosis Incidence, 19</w:t>
      </w:r>
      <w:r>
        <w:t>97</w:t>
      </w:r>
      <w:r w:rsidRPr="0066247C">
        <w:t>-2016</w:t>
      </w:r>
    </w:p>
    <w:p w14:paraId="62ED9780" w14:textId="77777777" w:rsidR="00101352" w:rsidRDefault="00101352" w:rsidP="00101352">
      <w:pPr>
        <w:spacing w:line="240" w:lineRule="auto"/>
        <w:ind w:firstLine="0"/>
      </w:pPr>
    </w:p>
    <w:p w14:paraId="4FD9F8B1" w14:textId="77777777" w:rsidR="00101352" w:rsidRDefault="00101352" w:rsidP="00101352">
      <w:pPr>
        <w:spacing w:line="240" w:lineRule="auto"/>
        <w:ind w:firstLine="0"/>
        <w:jc w:val="center"/>
      </w:pPr>
      <w:r>
        <w:rPr>
          <w:noProof/>
        </w:rPr>
        <w:drawing>
          <wp:inline distT="0" distB="0" distL="0" distR="0" wp14:anchorId="6743879F" wp14:editId="24B6DA2C">
            <wp:extent cx="4673600" cy="2743200"/>
            <wp:effectExtent l="0" t="0" r="12700" b="12700"/>
            <wp:docPr id="14" name="Chart 14">
              <a:extLst xmlns:a="http://schemas.openxmlformats.org/drawingml/2006/main">
                <a:ext uri="{FF2B5EF4-FFF2-40B4-BE49-F238E27FC236}">
                  <a16:creationId xmlns:a16="http://schemas.microsoft.com/office/drawing/2014/main" id="{BA852AB0-A8EC-124D-BD5E-B2D12969D4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8268D6B" w14:textId="77777777" w:rsidR="00101352" w:rsidRDefault="00101352" w:rsidP="00101352">
      <w:pPr>
        <w:spacing w:line="240" w:lineRule="auto"/>
        <w:ind w:firstLine="0"/>
      </w:pPr>
      <w:r>
        <w:t xml:space="preserve">Sources: </w:t>
      </w:r>
      <w:r>
        <w:rPr>
          <w:noProof/>
        </w:rPr>
        <w:t>Centers for Disease Control and Prevention (2018a [cases]; 2017b [fatalities])</w:t>
      </w:r>
      <w:r>
        <w:t>.</w:t>
      </w:r>
    </w:p>
    <w:p w14:paraId="7A0C2A05" w14:textId="77777777" w:rsidR="00101352" w:rsidRDefault="00101352" w:rsidP="00101352">
      <w:pPr>
        <w:pStyle w:val="Caption"/>
      </w:pPr>
    </w:p>
    <w:p w14:paraId="3FB4EE3D" w14:textId="77777777" w:rsidR="00101352" w:rsidRDefault="00101352" w:rsidP="00101352">
      <w:pPr>
        <w:pStyle w:val="Caption"/>
      </w:pPr>
      <w:bookmarkStart w:id="52" w:name="_Ref863076"/>
      <w:r>
        <w:t xml:space="preserve">Figure </w:t>
      </w:r>
      <w:fldSimple w:instr=" STYLEREF 1 \s ">
        <w:r>
          <w:rPr>
            <w:noProof/>
          </w:rPr>
          <w:t>7</w:t>
        </w:r>
      </w:fldSimple>
      <w:r>
        <w:noBreakHyphen/>
      </w:r>
      <w:fldSimple w:instr=" SEQ Figure \* ARABIC \s 1 ">
        <w:r>
          <w:rPr>
            <w:noProof/>
          </w:rPr>
          <w:t>3</w:t>
        </w:r>
      </w:fldSimple>
      <w:bookmarkEnd w:id="52"/>
      <w:r>
        <w:t>: U.S. Cryptosporidiosis Case Rate/100k Population &amp; Death Rate/Case, 2000-2017</w:t>
      </w:r>
    </w:p>
    <w:p w14:paraId="1B246DB5" w14:textId="77777777" w:rsidR="00101352" w:rsidRDefault="00101352" w:rsidP="00101352">
      <w:pPr>
        <w:keepNext/>
        <w:spacing w:line="240" w:lineRule="auto"/>
        <w:ind w:firstLine="0"/>
        <w:jc w:val="center"/>
      </w:pPr>
      <w:r>
        <w:rPr>
          <w:noProof/>
        </w:rPr>
        <w:drawing>
          <wp:inline distT="0" distB="0" distL="0" distR="0" wp14:anchorId="15DC83AF" wp14:editId="47B47ECE">
            <wp:extent cx="4673600" cy="2743200"/>
            <wp:effectExtent l="0" t="0" r="12700" b="12700"/>
            <wp:docPr id="13" name="Chart 13">
              <a:extLst xmlns:a="http://schemas.openxmlformats.org/drawingml/2006/main">
                <a:ext uri="{FF2B5EF4-FFF2-40B4-BE49-F238E27FC236}">
                  <a16:creationId xmlns:a16="http://schemas.microsoft.com/office/drawing/2014/main" id="{36BD3941-3755-C049-93F6-6BA6607B50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F918089" w14:textId="77777777" w:rsidR="00101352" w:rsidRDefault="00101352" w:rsidP="00101352">
      <w:pPr>
        <w:spacing w:line="240" w:lineRule="auto"/>
        <w:ind w:firstLine="0"/>
      </w:pPr>
      <w:r>
        <w:t xml:space="preserve">Sources: </w:t>
      </w:r>
      <w:r>
        <w:rPr>
          <w:noProof/>
        </w:rPr>
        <w:t>Centers for Disease Control and Prevention (2018a [cases]; 2017b [fatalities])</w:t>
      </w:r>
      <w:r>
        <w:t>.</w:t>
      </w:r>
    </w:p>
    <w:p w14:paraId="6BFCE20E" w14:textId="77777777" w:rsidR="00101352" w:rsidRDefault="00101352" w:rsidP="00101352">
      <w:pPr>
        <w:spacing w:line="240" w:lineRule="auto"/>
        <w:ind w:firstLine="0"/>
      </w:pPr>
    </w:p>
    <w:p w14:paraId="5F792E91" w14:textId="77777777" w:rsidR="00101352" w:rsidRDefault="00101352" w:rsidP="00101352">
      <w:pPr>
        <w:spacing w:line="240" w:lineRule="auto"/>
        <w:ind w:firstLine="0"/>
      </w:pPr>
    </w:p>
    <w:p w14:paraId="46FC57B4" w14:textId="77777777" w:rsidR="00101352" w:rsidRDefault="00101352" w:rsidP="00101352">
      <w:pPr>
        <w:spacing w:line="240" w:lineRule="auto"/>
        <w:ind w:firstLine="0"/>
      </w:pPr>
    </w:p>
    <w:p w14:paraId="59BD64DD" w14:textId="77777777" w:rsidR="00101352" w:rsidRDefault="00101352" w:rsidP="00101352">
      <w:pPr>
        <w:spacing w:line="240" w:lineRule="auto"/>
        <w:ind w:firstLine="0"/>
      </w:pPr>
    </w:p>
    <w:p w14:paraId="51D34F45" w14:textId="77777777" w:rsidR="00101352" w:rsidRDefault="00101352" w:rsidP="00101352">
      <w:pPr>
        <w:spacing w:line="240" w:lineRule="auto"/>
        <w:ind w:firstLine="0"/>
      </w:pPr>
    </w:p>
    <w:p w14:paraId="3294F3DE" w14:textId="77777777" w:rsidR="00101352" w:rsidRDefault="00101352" w:rsidP="00101352">
      <w:pPr>
        <w:spacing w:line="240" w:lineRule="auto"/>
        <w:ind w:firstLine="0"/>
      </w:pPr>
    </w:p>
    <w:p w14:paraId="175C5169" w14:textId="77777777" w:rsidR="00101352" w:rsidRDefault="00101352" w:rsidP="00101352">
      <w:pPr>
        <w:spacing w:line="240" w:lineRule="auto"/>
        <w:ind w:firstLine="0"/>
      </w:pPr>
    </w:p>
    <w:p w14:paraId="4BABE0BE" w14:textId="77777777" w:rsidR="00101352" w:rsidRPr="0066247C" w:rsidRDefault="00101352" w:rsidP="00101352">
      <w:pPr>
        <w:pStyle w:val="Caption"/>
      </w:pPr>
      <w:bookmarkStart w:id="53" w:name="_Ref536527211"/>
      <w:r>
        <w:lastRenderedPageBreak/>
        <w:t xml:space="preserve">Figure </w:t>
      </w:r>
      <w:fldSimple w:instr=" STYLEREF 1 \s ">
        <w:r>
          <w:rPr>
            <w:noProof/>
          </w:rPr>
          <w:t>7</w:t>
        </w:r>
      </w:fldSimple>
      <w:r>
        <w:noBreakHyphen/>
      </w:r>
      <w:fldSimple w:instr=" SEQ Figure \* ARABIC \s 1 ">
        <w:r>
          <w:rPr>
            <w:noProof/>
          </w:rPr>
          <w:t>4</w:t>
        </w:r>
      </w:fldSimple>
      <w:bookmarkEnd w:id="53"/>
      <w:r>
        <w:t xml:space="preserve">: </w:t>
      </w:r>
      <w:r w:rsidRPr="0066247C">
        <w:t>U.S. Giardiasis Incidence, 19</w:t>
      </w:r>
      <w:r>
        <w:t>99</w:t>
      </w:r>
      <w:r w:rsidRPr="0066247C">
        <w:t>-2016</w:t>
      </w:r>
    </w:p>
    <w:p w14:paraId="1BD9AA53" w14:textId="77777777" w:rsidR="00101352" w:rsidRDefault="00101352" w:rsidP="00101352">
      <w:pPr>
        <w:keepNext/>
        <w:spacing w:line="240" w:lineRule="auto"/>
        <w:ind w:firstLine="0"/>
        <w:jc w:val="center"/>
      </w:pPr>
      <w:r>
        <w:rPr>
          <w:noProof/>
        </w:rPr>
        <w:drawing>
          <wp:inline distT="0" distB="0" distL="0" distR="0" wp14:anchorId="72718172" wp14:editId="077FDFBD">
            <wp:extent cx="4572000" cy="2743200"/>
            <wp:effectExtent l="0" t="0" r="12700" b="12700"/>
            <wp:docPr id="15" name="Chart 15">
              <a:extLst xmlns:a="http://schemas.openxmlformats.org/drawingml/2006/main">
                <a:ext uri="{FF2B5EF4-FFF2-40B4-BE49-F238E27FC236}">
                  <a16:creationId xmlns:a16="http://schemas.microsoft.com/office/drawing/2014/main" id="{1576B1EA-29F3-4D48-849B-99148CB731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867E8B4" w14:textId="77777777" w:rsidR="00101352" w:rsidRDefault="00101352" w:rsidP="00101352">
      <w:pPr>
        <w:spacing w:line="240" w:lineRule="auto"/>
        <w:ind w:firstLine="0"/>
      </w:pPr>
      <w:r>
        <w:t xml:space="preserve">Sources: </w:t>
      </w:r>
      <w:r>
        <w:rPr>
          <w:noProof/>
        </w:rPr>
        <w:t>Centers for Disease Control and Prevention (2018a [cases]; 2017b [fatalities])</w:t>
      </w:r>
      <w:r>
        <w:t>.</w:t>
      </w:r>
    </w:p>
    <w:p w14:paraId="1556FDDC" w14:textId="77777777" w:rsidR="00101352" w:rsidRDefault="00101352" w:rsidP="00101352">
      <w:pPr>
        <w:spacing w:line="240" w:lineRule="auto"/>
        <w:ind w:firstLine="0"/>
      </w:pPr>
    </w:p>
    <w:p w14:paraId="4555AACD" w14:textId="77777777" w:rsidR="00101352" w:rsidRDefault="00101352" w:rsidP="00101352">
      <w:pPr>
        <w:spacing w:line="240" w:lineRule="auto"/>
        <w:ind w:firstLine="0"/>
      </w:pPr>
      <w:bookmarkStart w:id="54" w:name="_Ref864676"/>
      <w:r>
        <w:t>Figure Ad</w:t>
      </w:r>
      <w:bookmarkEnd w:id="54"/>
      <w:r>
        <w:t>: U.S. Giardiasis Rates, 2002-2017</w:t>
      </w:r>
    </w:p>
    <w:p w14:paraId="02865810" w14:textId="77777777" w:rsidR="00101352" w:rsidRDefault="00101352" w:rsidP="00101352">
      <w:pPr>
        <w:pStyle w:val="Caption"/>
        <w:jc w:val="center"/>
      </w:pPr>
      <w:r>
        <w:rPr>
          <w:noProof/>
        </w:rPr>
        <w:drawing>
          <wp:inline distT="0" distB="0" distL="0" distR="0" wp14:anchorId="4FB709BC" wp14:editId="3BFD545A">
            <wp:extent cx="4572000" cy="2743200"/>
            <wp:effectExtent l="0" t="0" r="12700" b="12700"/>
            <wp:docPr id="16" name="Chart 16">
              <a:extLst xmlns:a="http://schemas.openxmlformats.org/drawingml/2006/main">
                <a:ext uri="{FF2B5EF4-FFF2-40B4-BE49-F238E27FC236}">
                  <a16:creationId xmlns:a16="http://schemas.microsoft.com/office/drawing/2014/main" id="{8BC13FAC-2E46-D947-B4A3-CEB32D2A16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6ED0C44" w14:textId="77777777" w:rsidR="00101352" w:rsidRDefault="00101352" w:rsidP="00101352">
      <w:pPr>
        <w:spacing w:line="240" w:lineRule="auto"/>
        <w:ind w:firstLine="0"/>
      </w:pPr>
      <w:r>
        <w:t xml:space="preserve">Sources: </w:t>
      </w:r>
      <w:r>
        <w:rPr>
          <w:noProof/>
        </w:rPr>
        <w:t>Centers for Disease Control and Prevention (2018a [cases]; 2017b [fatalities])</w:t>
      </w:r>
      <w:r>
        <w:t>.</w:t>
      </w:r>
    </w:p>
    <w:p w14:paraId="7EFC7E38" w14:textId="77777777" w:rsidR="00101352" w:rsidRDefault="00101352" w:rsidP="00101352">
      <w:pPr>
        <w:pStyle w:val="Caption"/>
      </w:pPr>
    </w:p>
    <w:p w14:paraId="3783224E" w14:textId="77777777" w:rsidR="00101352" w:rsidRDefault="00101352" w:rsidP="00101352">
      <w:pPr>
        <w:spacing w:line="240" w:lineRule="auto"/>
        <w:ind w:firstLine="0"/>
        <w:rPr>
          <w:rFonts w:eastAsiaTheme="majorEastAsia" w:cstheme="majorBidi"/>
          <w:b/>
          <w:color w:val="000000" w:themeColor="text1"/>
          <w:szCs w:val="26"/>
        </w:rPr>
      </w:pPr>
      <w:bookmarkStart w:id="55" w:name="_Ref533755433"/>
      <w:r>
        <w:br w:type="page"/>
      </w:r>
    </w:p>
    <w:p w14:paraId="3CC7DCD5" w14:textId="77777777" w:rsidR="00101352" w:rsidRDefault="00101352" w:rsidP="00101352">
      <w:pPr>
        <w:pStyle w:val="Heading2"/>
      </w:pPr>
      <w:bookmarkStart w:id="56" w:name="_Ref1048291"/>
      <w:r>
        <w:lastRenderedPageBreak/>
        <w:t>NPDWRs for Other Contaminants</w:t>
      </w:r>
      <w:bookmarkEnd w:id="55"/>
      <w:bookmarkEnd w:id="56"/>
    </w:p>
    <w:p w14:paraId="5A6FB0B1" w14:textId="77777777" w:rsidR="00101352" w:rsidRPr="00CF5D2A" w:rsidRDefault="00101352" w:rsidP="00101352">
      <w:r>
        <w:t>USEPA promulgated revised NPDWRs for three other contaminants since 1996. In each case, the adoption of the economic feasibility principle would have effectively eliminated inefficiency and substantially reduced inequity. Uniform MCLs would have been less stringent, the minimum system size subject to regulation would have been larger, or both. These effects would have been stronger if the Agency had estimated opportunity costs instead of expenditures, and objectively estimated risks and benefits as required by SDWA 1996 § 1412</w:t>
      </w:r>
      <w:r>
        <w:rPr>
          <w:rFonts w:eastAsiaTheme="minorHAnsi"/>
          <w:bCs/>
          <w:sz w:val="18"/>
          <w:szCs w:val="18"/>
        </w:rPr>
        <w:t>(</w:t>
      </w:r>
      <w:r w:rsidRPr="001632F6">
        <w:rPr>
          <w:bCs/>
        </w:rPr>
        <w:t>b)(3)(A)</w:t>
      </w:r>
      <w:r>
        <w:t>.</w:t>
      </w:r>
    </w:p>
    <w:p w14:paraId="09DA63ED" w14:textId="77777777" w:rsidR="00101352" w:rsidRDefault="00101352" w:rsidP="00101352">
      <w:pPr>
        <w:pStyle w:val="Heading3"/>
      </w:pPr>
      <w:r w:rsidRPr="00C77964">
        <w:t>Radionuclides</w:t>
      </w:r>
      <w:r>
        <w:t>/Uranium NPDWRs</w:t>
      </w:r>
    </w:p>
    <w:p w14:paraId="1A38249C" w14:textId="77777777" w:rsidR="00101352" w:rsidRDefault="00101352" w:rsidP="00101352">
      <w:r w:rsidRPr="00DE44DE">
        <w:t>In 2000, USEPA revised the NPDWR for radionuclides by retaining the existing MCLs for combined Ra</w:t>
      </w:r>
      <w:r w:rsidRPr="00775BF0">
        <w:rPr>
          <w:vertAlign w:val="superscript"/>
        </w:rPr>
        <w:t>226</w:t>
      </w:r>
      <w:r w:rsidRPr="00DE44DE">
        <w:t xml:space="preserve"> and Ra</w:t>
      </w:r>
      <w:r w:rsidRPr="00775BF0">
        <w:rPr>
          <w:vertAlign w:val="superscript"/>
        </w:rPr>
        <w:t>228</w:t>
      </w:r>
      <w:r w:rsidRPr="00DE44DE">
        <w:t xml:space="preserve"> (though with </w:t>
      </w:r>
      <w:r>
        <w:t xml:space="preserve">intensified </w:t>
      </w:r>
      <w:r w:rsidRPr="00DE44DE">
        <w:t xml:space="preserve">monitoring requirements), beta particle and photon emitters, and gross alpha activity; and promulgated a new 30 </w:t>
      </w:r>
      <w:r w:rsidRPr="00DE44DE">
        <w:sym w:font="Symbol" w:char="F06D"/>
      </w:r>
      <w:r w:rsidRPr="00DE44DE">
        <w:t xml:space="preserve">g/L MCL for uranium. </w:t>
      </w:r>
      <w:r>
        <w:t>More stringent MCLs for radionuclides that the Agency had proposed were not promulgated because more recent research indicated that risk was lower than previously estimated (USEPA 2000d). At the same time, the Agency did not raise these MCLs on the ground that, in its view, SDWA 1996 § 1412(b)(9) forbids it from relaxing MCLs even if new science shows that the existing MCL was no longer scientifically supported. Economically feasible alternatives are likely to have been precluded by this policy decision.</w:t>
      </w:r>
    </w:p>
    <w:p w14:paraId="76E14046" w14:textId="77777777" w:rsidR="00101352" w:rsidRDefault="00101352" w:rsidP="00101352">
      <w:r w:rsidRPr="00DE44DE">
        <w:t xml:space="preserve">The Agency stated that the uranium MCL represented the first time it was exercising the statutory authority delegated in SDWA 1996 § 1412(b)(6) to set </w:t>
      </w:r>
      <w:r>
        <w:t xml:space="preserve">a </w:t>
      </w:r>
      <w:r w:rsidRPr="00DE44DE">
        <w:t xml:space="preserve">standard less stringent than the level it had determined was technologically feasible. USEPA asserted that </w:t>
      </w:r>
      <w:r>
        <w:t>benefits o</w:t>
      </w:r>
      <w:r w:rsidRPr="00DE44DE">
        <w:t xml:space="preserve">f the uranium MCL </w:t>
      </w:r>
      <w:r>
        <w:t xml:space="preserve">would </w:t>
      </w:r>
      <w:r w:rsidRPr="00DE44DE">
        <w:t>not justif</w:t>
      </w:r>
      <w:r>
        <w:t>y c</w:t>
      </w:r>
      <w:r w:rsidRPr="00DE44DE">
        <w:t xml:space="preserve">osts </w:t>
      </w:r>
      <w:r>
        <w:t xml:space="preserve">if it </w:t>
      </w:r>
      <w:r w:rsidRPr="00DE44DE">
        <w:t xml:space="preserve">was set at 20 </w:t>
      </w:r>
      <w:r w:rsidRPr="00DE44DE">
        <w:sym w:font="Symbol" w:char="F06D"/>
      </w:r>
      <w:r w:rsidRPr="00DE44DE">
        <w:t xml:space="preserve">g/L </w:t>
      </w:r>
      <w:r>
        <w:t xml:space="preserve">because of </w:t>
      </w:r>
      <w:r w:rsidRPr="00DE44DE">
        <w:t>“relatively modest</w:t>
      </w:r>
      <w:r>
        <w:t>” risk reductions and “high</w:t>
      </w:r>
      <w:r w:rsidRPr="00DE44DE">
        <w:t xml:space="preserve"> annual</w:t>
      </w:r>
      <w:r>
        <w:t xml:space="preserve"> compliance costs.” However, the Agency also asserted that a 30 </w:t>
      </w:r>
      <w:r>
        <w:lastRenderedPageBreak/>
        <w:sym w:font="Symbol" w:char="F06D"/>
      </w:r>
      <w:r>
        <w:t xml:space="preserve">g/L MCL “maximize[d] the health risk reduction benefits at a cost justified by the benefits” </w:t>
      </w:r>
      <w:r>
        <w:rPr>
          <w:noProof/>
        </w:rPr>
        <w:t>(USEPA 2000d, p. 76715)</w:t>
      </w:r>
      <w:r>
        <w:t xml:space="preserve">. Thus, one would expect a 30 </w:t>
      </w:r>
      <w:r>
        <w:sym w:font="Symbol" w:char="F06D"/>
      </w:r>
      <w:r>
        <w:t>g/L MCL to be economically feasible.</w:t>
      </w:r>
    </w:p>
    <w:p w14:paraId="3A6BA1D6" w14:textId="77777777" w:rsidR="00101352" w:rsidRDefault="00101352" w:rsidP="00101352">
      <w:r>
        <w:t xml:space="preserve">An objective reading of the rule, economic analysis, and Health Risk and Cost Analysis leads to a contrary conclusion, however. As shown in </w:t>
      </w:r>
      <w:fldSimple w:instr=" REF _Ref536528204 ">
        <w:r>
          <w:t xml:space="preserve">Table </w:t>
        </w:r>
        <w:r>
          <w:rPr>
            <w:noProof/>
          </w:rPr>
          <w:t>7</w:t>
        </w:r>
        <w:r>
          <w:noBreakHyphen/>
        </w:r>
        <w:r>
          <w:rPr>
            <w:noProof/>
          </w:rPr>
          <w:t>4</w:t>
        </w:r>
      </w:fldSimple>
      <w:r>
        <w:t xml:space="preserve">, estimated net benefits were negative for every alternative the Agency examined. Depending on the risk model, average cost per cancer case prevented ranged from $81 million to $182 million for the regulatory alternative USEPA rejected, and $60 million to $105 million for the regulatory option that “maximize[d] the health risk reduction benefits at a cost justified by the benefits.” As shown in </w:t>
      </w:r>
      <w:fldSimple w:instr=" REF _Ref536528247 ">
        <w:r>
          <w:t xml:space="preserve">Table </w:t>
        </w:r>
        <w:r>
          <w:rPr>
            <w:noProof/>
          </w:rPr>
          <w:t>7</w:t>
        </w:r>
        <w:r>
          <w:noBreakHyphen/>
        </w:r>
        <w:r>
          <w:rPr>
            <w:noProof/>
          </w:rPr>
          <w:t>5</w:t>
        </w:r>
      </w:fldSimple>
      <w:r>
        <w:t xml:space="preserve">, costs were deemed to justify benefits at $68 million per cancer case avoided. The preamble to the final rules suggests that </w:t>
      </w:r>
      <w:r w:rsidRPr="002552F1">
        <w:t xml:space="preserve">USEPA </w:t>
      </w:r>
      <w:r>
        <w:t xml:space="preserve">was primarily concerned about ensuring quantity-based equity, which it defined as achievement of </w:t>
      </w:r>
      <w:r>
        <w:rPr>
          <w:i/>
        </w:rPr>
        <w:t xml:space="preserve">ex </w:t>
      </w:r>
      <w:r w:rsidRPr="00E86ABD">
        <w:t>post</w:t>
      </w:r>
      <w:r>
        <w:t xml:space="preserve"> risk within its preferred (but non-statutory) </w:t>
      </w:r>
      <w:r w:rsidRPr="002552F1">
        <w:t>10</w:t>
      </w:r>
      <w:r w:rsidRPr="009225F5">
        <w:rPr>
          <w:vertAlign w:val="superscript"/>
        </w:rPr>
        <w:t>-4</w:t>
      </w:r>
      <w:r w:rsidRPr="002552F1">
        <w:t xml:space="preserve"> to 10</w:t>
      </w:r>
      <w:r w:rsidRPr="009225F5">
        <w:rPr>
          <w:vertAlign w:val="superscript"/>
        </w:rPr>
        <w:t>-6</w:t>
      </w:r>
      <w:r w:rsidRPr="002552F1">
        <w:t xml:space="preserve"> risk range</w:t>
      </w:r>
      <w:r>
        <w:t xml:space="preserve"> </w:t>
      </w:r>
      <w:r>
        <w:rPr>
          <w:noProof/>
        </w:rPr>
        <w:t>(USEPA 2000d, pp. 76710-76716)</w:t>
      </w:r>
      <w:r>
        <w:t>.</w:t>
      </w:r>
    </w:p>
    <w:p w14:paraId="4E2C5181" w14:textId="77777777" w:rsidR="00101352" w:rsidRPr="002B7C04" w:rsidRDefault="00101352" w:rsidP="00101352">
      <w:pPr>
        <w:ind w:firstLine="0"/>
        <w:rPr>
          <w:iCs/>
        </w:rPr>
        <w:sectPr w:rsidR="00101352" w:rsidRPr="002B7C04" w:rsidSect="005553E8">
          <w:pgSz w:w="12240" w:h="15840"/>
          <w:pgMar w:top="1440" w:right="1440" w:bottom="1440" w:left="1440" w:header="720" w:footer="720" w:gutter="0"/>
          <w:cols w:space="720"/>
          <w:docGrid w:linePitch="360"/>
        </w:sectPr>
      </w:pPr>
      <w:r>
        <w:tab/>
        <w:t xml:space="preserve">If USEPA had used the economic feasibility principle to set the uranium MCL, the Agency would have set it higher than 80 </w:t>
      </w:r>
      <w:r>
        <w:sym w:font="Symbol" w:char="F06D"/>
      </w:r>
      <w:r>
        <w:t xml:space="preserve">g/L, which the Agency estimated would cost on average about $11 million per cancer case avoided </w:t>
      </w:r>
      <w:r>
        <w:rPr>
          <w:noProof/>
        </w:rPr>
        <w:t>(USEPA 2000c, p. 6-5)</w:t>
      </w:r>
      <w:r>
        <w:t>.</w:t>
      </w:r>
      <w:r>
        <w:rPr>
          <w:rStyle w:val="FootnoteReference"/>
        </w:rPr>
        <w:footnoteReference w:id="3"/>
      </w:r>
      <w:r>
        <w:t xml:space="preserve">   Setting the MCL at 80 </w:t>
      </w:r>
      <w:r>
        <w:sym w:font="Symbol" w:char="F06D"/>
      </w:r>
      <w:r>
        <w:t xml:space="preserve">g/L would have reduced USEPA’s “best estimates” of compliance cost by $36.4 million and reduced the number of cancer cases prevented by 0.35 case </w:t>
      </w:r>
      <w:r>
        <w:rPr>
          <w:noProof/>
        </w:rPr>
        <w:t>(USEPA 2000c, Exhibit 7-7)</w:t>
      </w:r>
      <w:r>
        <w:t xml:space="preserve">. </w:t>
      </w:r>
    </w:p>
    <w:p w14:paraId="153F95A3" w14:textId="77777777" w:rsidR="00101352" w:rsidRDefault="00101352" w:rsidP="00101352">
      <w:pPr>
        <w:spacing w:line="240" w:lineRule="auto"/>
        <w:ind w:firstLine="0"/>
      </w:pPr>
      <w:bookmarkStart w:id="57" w:name="_Ref536528204"/>
      <w:r>
        <w:lastRenderedPageBreak/>
        <w:t xml:space="preserve">Table </w:t>
      </w:r>
      <w:fldSimple w:instr=" STYLEREF 1 \s ">
        <w:r>
          <w:rPr>
            <w:noProof/>
          </w:rPr>
          <w:t>7</w:t>
        </w:r>
      </w:fldSimple>
      <w:r>
        <w:noBreakHyphen/>
      </w:r>
      <w:fldSimple w:instr=" SEQ Table \* ARABIC \s 1 ">
        <w:r>
          <w:rPr>
            <w:noProof/>
          </w:rPr>
          <w:t>4</w:t>
        </w:r>
      </w:fldSimple>
      <w:bookmarkEnd w:id="57"/>
      <w:r>
        <w:t xml:space="preserve">: Radionuclides NDWPR: </w:t>
      </w:r>
      <w:r w:rsidRPr="00292BC3">
        <w:t>Comparison of Quantified Annual Costs and Benefits</w:t>
      </w:r>
    </w:p>
    <w:tbl>
      <w:tblPr>
        <w:tblW w:w="1296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325"/>
        <w:gridCol w:w="1800"/>
        <w:gridCol w:w="1883"/>
        <w:gridCol w:w="1537"/>
        <w:gridCol w:w="1939"/>
        <w:gridCol w:w="1738"/>
        <w:gridCol w:w="1738"/>
      </w:tblGrid>
      <w:tr w:rsidR="00101352" w:rsidRPr="00FD3DD8" w14:paraId="507EB050" w14:textId="77777777" w:rsidTr="005553E8">
        <w:trPr>
          <w:trHeight w:val="320"/>
        </w:trPr>
        <w:tc>
          <w:tcPr>
            <w:tcW w:w="2325" w:type="dxa"/>
            <w:vMerge w:val="restart"/>
            <w:tcBorders>
              <w:top w:val="double" w:sz="4" w:space="0" w:color="auto"/>
              <w:right w:val="single" w:sz="4" w:space="0" w:color="auto"/>
            </w:tcBorders>
            <w:shd w:val="clear" w:color="auto" w:fill="auto"/>
            <w:noWrap/>
            <w:vAlign w:val="center"/>
            <w:hideMark/>
          </w:tcPr>
          <w:p w14:paraId="435C448A" w14:textId="77777777" w:rsidR="00101352" w:rsidRPr="00FD3DD8" w:rsidRDefault="00101352" w:rsidP="005553E8">
            <w:pPr>
              <w:spacing w:line="240" w:lineRule="auto"/>
              <w:ind w:firstLine="0"/>
              <w:rPr>
                <w:iCs/>
                <w:color w:val="1F497D" w:themeColor="text2"/>
              </w:rPr>
            </w:pPr>
            <w:r w:rsidRPr="00FD3DD8">
              <w:rPr>
                <w:iCs/>
                <w:color w:val="1F497D" w:themeColor="text2"/>
              </w:rPr>
              <w:br w:type="page"/>
            </w:r>
          </w:p>
          <w:p w14:paraId="45BE300F" w14:textId="77777777" w:rsidR="00101352" w:rsidRPr="00FD3DD8" w:rsidRDefault="00101352" w:rsidP="005553E8">
            <w:pPr>
              <w:spacing w:line="240" w:lineRule="auto"/>
              <w:ind w:firstLine="0"/>
            </w:pPr>
            <w:r w:rsidRPr="00FD3DD8">
              <w:rPr>
                <w:color w:val="000000"/>
              </w:rPr>
              <w:t>Regulatory</w:t>
            </w:r>
            <w:r>
              <w:rPr>
                <w:color w:val="000000"/>
              </w:rPr>
              <w:br/>
            </w:r>
            <w:r w:rsidRPr="00FD3DD8">
              <w:rPr>
                <w:color w:val="000000"/>
              </w:rPr>
              <w:t>Option</w:t>
            </w:r>
          </w:p>
        </w:tc>
        <w:tc>
          <w:tcPr>
            <w:tcW w:w="3683" w:type="dxa"/>
            <w:gridSpan w:val="2"/>
            <w:tcBorders>
              <w:left w:val="single" w:sz="4" w:space="0" w:color="auto"/>
            </w:tcBorders>
            <w:shd w:val="clear" w:color="auto" w:fill="auto"/>
            <w:noWrap/>
            <w:vAlign w:val="center"/>
            <w:hideMark/>
          </w:tcPr>
          <w:p w14:paraId="2C4685B1" w14:textId="77777777" w:rsidR="00101352" w:rsidRPr="00FD3DD8" w:rsidRDefault="00101352" w:rsidP="005553E8">
            <w:pPr>
              <w:spacing w:line="240" w:lineRule="auto"/>
              <w:ind w:firstLine="0"/>
              <w:jc w:val="center"/>
              <w:rPr>
                <w:color w:val="000000"/>
              </w:rPr>
            </w:pPr>
            <w:r w:rsidRPr="00FD3DD8">
              <w:rPr>
                <w:color w:val="000000"/>
              </w:rPr>
              <w:t>Directly Proportional</w:t>
            </w:r>
            <w:r>
              <w:rPr>
                <w:color w:val="000000"/>
              </w:rPr>
              <w:br/>
              <w:t>Hazard Model</w:t>
            </w:r>
          </w:p>
        </w:tc>
        <w:tc>
          <w:tcPr>
            <w:tcW w:w="3476" w:type="dxa"/>
            <w:gridSpan w:val="2"/>
            <w:shd w:val="clear" w:color="auto" w:fill="auto"/>
            <w:noWrap/>
            <w:vAlign w:val="center"/>
            <w:hideMark/>
          </w:tcPr>
          <w:p w14:paraId="2883B3C4" w14:textId="77777777" w:rsidR="00101352" w:rsidRPr="00FD3DD8" w:rsidRDefault="00101352" w:rsidP="005553E8">
            <w:pPr>
              <w:spacing w:line="240" w:lineRule="auto"/>
              <w:ind w:firstLine="0"/>
              <w:jc w:val="center"/>
              <w:rPr>
                <w:color w:val="000000"/>
              </w:rPr>
            </w:pPr>
            <w:r w:rsidRPr="00FD3DD8">
              <w:rPr>
                <w:color w:val="000000"/>
              </w:rPr>
              <w:t>Lognormal Distribution</w:t>
            </w:r>
            <w:r>
              <w:rPr>
                <w:color w:val="000000"/>
              </w:rPr>
              <w:br/>
              <w:t>Hazard Model</w:t>
            </w:r>
          </w:p>
        </w:tc>
        <w:tc>
          <w:tcPr>
            <w:tcW w:w="3476" w:type="dxa"/>
            <w:gridSpan w:val="2"/>
            <w:shd w:val="clear" w:color="auto" w:fill="auto"/>
            <w:noWrap/>
            <w:vAlign w:val="center"/>
            <w:hideMark/>
          </w:tcPr>
          <w:p w14:paraId="5F941F39" w14:textId="77777777" w:rsidR="00101352" w:rsidRPr="00FD3DD8" w:rsidRDefault="00101352" w:rsidP="005553E8">
            <w:pPr>
              <w:spacing w:line="240" w:lineRule="auto"/>
              <w:ind w:firstLine="0"/>
              <w:jc w:val="center"/>
              <w:rPr>
                <w:color w:val="000000"/>
              </w:rPr>
            </w:pPr>
            <w:r>
              <w:rPr>
                <w:color w:val="000000"/>
              </w:rPr>
              <w:t>“</w:t>
            </w:r>
            <w:r w:rsidRPr="00FD3DD8">
              <w:rPr>
                <w:color w:val="000000"/>
              </w:rPr>
              <w:t>Best Estimate</w:t>
            </w:r>
            <w:r>
              <w:rPr>
                <w:color w:val="000000"/>
              </w:rPr>
              <w:t>”</w:t>
            </w:r>
          </w:p>
        </w:tc>
      </w:tr>
      <w:tr w:rsidR="00101352" w:rsidRPr="00FD3DD8" w14:paraId="565B18B4" w14:textId="77777777" w:rsidTr="005553E8">
        <w:trPr>
          <w:trHeight w:val="680"/>
        </w:trPr>
        <w:tc>
          <w:tcPr>
            <w:tcW w:w="2325" w:type="dxa"/>
            <w:vMerge/>
            <w:tcBorders>
              <w:bottom w:val="double" w:sz="4" w:space="0" w:color="auto"/>
              <w:right w:val="single" w:sz="4" w:space="0" w:color="auto"/>
            </w:tcBorders>
            <w:shd w:val="clear" w:color="auto" w:fill="auto"/>
            <w:noWrap/>
            <w:vAlign w:val="center"/>
            <w:hideMark/>
          </w:tcPr>
          <w:p w14:paraId="273EC867" w14:textId="77777777" w:rsidR="00101352" w:rsidRPr="00FD3DD8" w:rsidRDefault="00101352" w:rsidP="005553E8">
            <w:pPr>
              <w:spacing w:line="240" w:lineRule="auto"/>
              <w:ind w:firstLine="0"/>
              <w:rPr>
                <w:color w:val="000000"/>
              </w:rPr>
            </w:pPr>
          </w:p>
        </w:tc>
        <w:tc>
          <w:tcPr>
            <w:tcW w:w="1800" w:type="dxa"/>
            <w:tcBorders>
              <w:top w:val="nil"/>
              <w:left w:val="single" w:sz="4" w:space="0" w:color="auto"/>
              <w:bottom w:val="double" w:sz="4" w:space="0" w:color="auto"/>
              <w:right w:val="single" w:sz="4" w:space="0" w:color="auto"/>
            </w:tcBorders>
            <w:shd w:val="clear" w:color="auto" w:fill="auto"/>
            <w:vAlign w:val="center"/>
            <w:hideMark/>
          </w:tcPr>
          <w:p w14:paraId="2E9ADB01" w14:textId="77777777" w:rsidR="00101352" w:rsidRPr="00FD3DD8" w:rsidRDefault="00101352" w:rsidP="005553E8">
            <w:pPr>
              <w:spacing w:line="240" w:lineRule="auto"/>
              <w:ind w:firstLine="0"/>
              <w:jc w:val="center"/>
              <w:rPr>
                <w:color w:val="000000"/>
              </w:rPr>
            </w:pPr>
            <w:r w:rsidRPr="00FD3DD8">
              <w:rPr>
                <w:color w:val="000000"/>
              </w:rPr>
              <w:t>Cost/Cancer Case Avoided</w:t>
            </w:r>
          </w:p>
        </w:tc>
        <w:tc>
          <w:tcPr>
            <w:tcW w:w="1883" w:type="dxa"/>
            <w:tcBorders>
              <w:top w:val="nil"/>
              <w:left w:val="single" w:sz="4" w:space="0" w:color="auto"/>
              <w:bottom w:val="double" w:sz="4" w:space="0" w:color="auto"/>
              <w:right w:val="single" w:sz="4" w:space="0" w:color="auto"/>
            </w:tcBorders>
            <w:shd w:val="clear" w:color="auto" w:fill="auto"/>
            <w:vAlign w:val="center"/>
            <w:hideMark/>
          </w:tcPr>
          <w:p w14:paraId="05D08910" w14:textId="77777777" w:rsidR="00101352" w:rsidRDefault="00101352" w:rsidP="005553E8">
            <w:pPr>
              <w:spacing w:line="240" w:lineRule="auto"/>
              <w:ind w:firstLine="0"/>
              <w:jc w:val="center"/>
              <w:rPr>
                <w:color w:val="000000"/>
              </w:rPr>
            </w:pPr>
            <w:r w:rsidRPr="00FD3DD8">
              <w:rPr>
                <w:color w:val="000000"/>
              </w:rPr>
              <w:t>Net</w:t>
            </w:r>
          </w:p>
          <w:p w14:paraId="2C26DA2B" w14:textId="77777777" w:rsidR="00101352" w:rsidRPr="00FD3DD8" w:rsidRDefault="00101352" w:rsidP="005553E8">
            <w:pPr>
              <w:spacing w:line="240" w:lineRule="auto"/>
              <w:ind w:firstLine="0"/>
              <w:jc w:val="center"/>
              <w:rPr>
                <w:color w:val="000000"/>
              </w:rPr>
            </w:pPr>
            <w:r w:rsidRPr="00FD3DD8">
              <w:rPr>
                <w:color w:val="000000"/>
              </w:rPr>
              <w:t>Benefits</w:t>
            </w:r>
          </w:p>
        </w:tc>
        <w:tc>
          <w:tcPr>
            <w:tcW w:w="1537" w:type="dxa"/>
            <w:tcBorders>
              <w:top w:val="nil"/>
              <w:left w:val="single" w:sz="4" w:space="0" w:color="auto"/>
              <w:bottom w:val="double" w:sz="4" w:space="0" w:color="auto"/>
              <w:right w:val="single" w:sz="4" w:space="0" w:color="auto"/>
            </w:tcBorders>
            <w:shd w:val="clear" w:color="auto" w:fill="auto"/>
            <w:vAlign w:val="center"/>
            <w:hideMark/>
          </w:tcPr>
          <w:p w14:paraId="698C75AA" w14:textId="77777777" w:rsidR="00101352" w:rsidRPr="00FD3DD8" w:rsidRDefault="00101352" w:rsidP="005553E8">
            <w:pPr>
              <w:spacing w:line="240" w:lineRule="auto"/>
              <w:ind w:firstLine="0"/>
              <w:jc w:val="center"/>
              <w:rPr>
                <w:color w:val="000000"/>
              </w:rPr>
            </w:pPr>
            <w:r w:rsidRPr="00FD3DD8">
              <w:rPr>
                <w:color w:val="000000"/>
              </w:rPr>
              <w:t>Cost/Cancer Case Avoided</w:t>
            </w:r>
          </w:p>
        </w:tc>
        <w:tc>
          <w:tcPr>
            <w:tcW w:w="1939" w:type="dxa"/>
            <w:tcBorders>
              <w:left w:val="single" w:sz="4" w:space="0" w:color="auto"/>
              <w:bottom w:val="double" w:sz="4" w:space="0" w:color="auto"/>
            </w:tcBorders>
            <w:shd w:val="clear" w:color="auto" w:fill="auto"/>
            <w:vAlign w:val="center"/>
            <w:hideMark/>
          </w:tcPr>
          <w:p w14:paraId="4C8AF6FD" w14:textId="77777777" w:rsidR="00101352" w:rsidRDefault="00101352" w:rsidP="005553E8">
            <w:pPr>
              <w:spacing w:line="240" w:lineRule="auto"/>
              <w:ind w:firstLine="0"/>
              <w:jc w:val="center"/>
              <w:rPr>
                <w:color w:val="000000"/>
              </w:rPr>
            </w:pPr>
            <w:r w:rsidRPr="00FD3DD8">
              <w:rPr>
                <w:color w:val="000000"/>
              </w:rPr>
              <w:t>Net</w:t>
            </w:r>
          </w:p>
          <w:p w14:paraId="0A3227E6" w14:textId="77777777" w:rsidR="00101352" w:rsidRPr="00FD3DD8" w:rsidRDefault="00101352" w:rsidP="005553E8">
            <w:pPr>
              <w:spacing w:line="240" w:lineRule="auto"/>
              <w:ind w:firstLine="0"/>
              <w:jc w:val="center"/>
              <w:rPr>
                <w:color w:val="000000"/>
              </w:rPr>
            </w:pPr>
            <w:r w:rsidRPr="00FD3DD8">
              <w:rPr>
                <w:color w:val="000000"/>
              </w:rPr>
              <w:t>Benefits</w:t>
            </w:r>
          </w:p>
        </w:tc>
        <w:tc>
          <w:tcPr>
            <w:tcW w:w="1738" w:type="dxa"/>
            <w:tcBorders>
              <w:bottom w:val="double" w:sz="4" w:space="0" w:color="auto"/>
            </w:tcBorders>
            <w:shd w:val="clear" w:color="auto" w:fill="auto"/>
            <w:vAlign w:val="center"/>
            <w:hideMark/>
          </w:tcPr>
          <w:p w14:paraId="413149D1" w14:textId="77777777" w:rsidR="00101352" w:rsidRPr="00FD3DD8" w:rsidRDefault="00101352" w:rsidP="005553E8">
            <w:pPr>
              <w:spacing w:line="240" w:lineRule="auto"/>
              <w:ind w:firstLine="0"/>
              <w:jc w:val="center"/>
              <w:rPr>
                <w:color w:val="000000"/>
              </w:rPr>
            </w:pPr>
            <w:r w:rsidRPr="00FD3DD8">
              <w:rPr>
                <w:color w:val="000000"/>
              </w:rPr>
              <w:t>Cost/Cancer Case Avoided</w:t>
            </w:r>
          </w:p>
        </w:tc>
        <w:tc>
          <w:tcPr>
            <w:tcW w:w="1738" w:type="dxa"/>
            <w:tcBorders>
              <w:bottom w:val="double" w:sz="4" w:space="0" w:color="auto"/>
            </w:tcBorders>
            <w:shd w:val="clear" w:color="auto" w:fill="auto"/>
            <w:vAlign w:val="center"/>
            <w:hideMark/>
          </w:tcPr>
          <w:p w14:paraId="1AE9B7A9" w14:textId="77777777" w:rsidR="00101352" w:rsidRDefault="00101352" w:rsidP="005553E8">
            <w:pPr>
              <w:spacing w:line="240" w:lineRule="auto"/>
              <w:ind w:firstLine="0"/>
              <w:jc w:val="center"/>
              <w:rPr>
                <w:color w:val="000000"/>
              </w:rPr>
            </w:pPr>
            <w:r w:rsidRPr="00FD3DD8">
              <w:rPr>
                <w:color w:val="000000"/>
              </w:rPr>
              <w:t>Net</w:t>
            </w:r>
          </w:p>
          <w:p w14:paraId="133794FB" w14:textId="77777777" w:rsidR="00101352" w:rsidRPr="00FD3DD8" w:rsidRDefault="00101352" w:rsidP="005553E8">
            <w:pPr>
              <w:spacing w:line="240" w:lineRule="auto"/>
              <w:ind w:firstLine="0"/>
              <w:jc w:val="center"/>
              <w:rPr>
                <w:color w:val="000000"/>
              </w:rPr>
            </w:pPr>
            <w:r w:rsidRPr="00FD3DD8">
              <w:rPr>
                <w:color w:val="000000"/>
              </w:rPr>
              <w:t>Benefits</w:t>
            </w:r>
          </w:p>
        </w:tc>
      </w:tr>
      <w:tr w:rsidR="00101352" w:rsidRPr="00FD3DD8" w14:paraId="5B89E0A9" w14:textId="77777777" w:rsidTr="005553E8">
        <w:trPr>
          <w:trHeight w:val="320"/>
        </w:trPr>
        <w:tc>
          <w:tcPr>
            <w:tcW w:w="12960" w:type="dxa"/>
            <w:gridSpan w:val="7"/>
            <w:tcBorders>
              <w:top w:val="double" w:sz="4" w:space="0" w:color="auto"/>
              <w:bottom w:val="double" w:sz="4" w:space="0" w:color="auto"/>
              <w:right w:val="single" w:sz="4" w:space="0" w:color="auto"/>
            </w:tcBorders>
            <w:shd w:val="clear" w:color="auto" w:fill="auto"/>
            <w:noWrap/>
            <w:vAlign w:val="center"/>
            <w:hideMark/>
          </w:tcPr>
          <w:p w14:paraId="7FCFA214" w14:textId="77777777" w:rsidR="00101352" w:rsidRPr="00FD3DD8" w:rsidRDefault="00101352" w:rsidP="005553E8">
            <w:pPr>
              <w:spacing w:line="240" w:lineRule="auto"/>
              <w:ind w:firstLine="0"/>
              <w:rPr>
                <w:b/>
                <w:bCs/>
                <w:i/>
                <w:iCs/>
                <w:color w:val="000000"/>
              </w:rPr>
            </w:pPr>
            <w:r w:rsidRPr="00FD3DD8">
              <w:rPr>
                <w:b/>
                <w:bCs/>
                <w:i/>
                <w:iCs/>
                <w:color w:val="000000"/>
              </w:rPr>
              <w:t>Compliance with existing MCLs after closing monitoring loopholes (combined radium</w:t>
            </w:r>
            <w:r>
              <w:rPr>
                <w:b/>
                <w:bCs/>
                <w:i/>
                <w:iCs/>
                <w:color w:val="000000"/>
              </w:rPr>
              <w:t xml:space="preserve"> </w:t>
            </w:r>
            <w:r w:rsidRPr="00FD3DD8">
              <w:rPr>
                <w:b/>
                <w:bCs/>
                <w:i/>
                <w:iCs/>
                <w:color w:val="000000"/>
              </w:rPr>
              <w:t>= 5 pCi/L, gross alpha</w:t>
            </w:r>
            <w:r>
              <w:rPr>
                <w:b/>
                <w:bCs/>
                <w:i/>
                <w:iCs/>
                <w:color w:val="000000"/>
              </w:rPr>
              <w:t xml:space="preserve"> </w:t>
            </w:r>
            <w:r w:rsidRPr="00FD3DD8">
              <w:rPr>
                <w:b/>
                <w:bCs/>
                <w:i/>
                <w:iCs/>
                <w:color w:val="000000"/>
              </w:rPr>
              <w:t>= 15 pCi/L)</w:t>
            </w:r>
          </w:p>
        </w:tc>
      </w:tr>
      <w:tr w:rsidR="00101352" w:rsidRPr="00FD3DD8" w14:paraId="667879C6" w14:textId="77777777" w:rsidTr="005553E8">
        <w:trPr>
          <w:trHeight w:val="680"/>
        </w:trPr>
        <w:tc>
          <w:tcPr>
            <w:tcW w:w="2325" w:type="dxa"/>
            <w:tcBorders>
              <w:top w:val="double" w:sz="4" w:space="0" w:color="auto"/>
              <w:bottom w:val="single" w:sz="4" w:space="0" w:color="auto"/>
              <w:right w:val="single" w:sz="4" w:space="0" w:color="auto"/>
            </w:tcBorders>
            <w:shd w:val="clear" w:color="auto" w:fill="auto"/>
            <w:vAlign w:val="center"/>
            <w:hideMark/>
          </w:tcPr>
          <w:p w14:paraId="537C95ED" w14:textId="77777777" w:rsidR="00101352" w:rsidRPr="00FD3DD8" w:rsidRDefault="00101352" w:rsidP="005553E8">
            <w:pPr>
              <w:spacing w:line="240" w:lineRule="auto"/>
              <w:ind w:firstLine="0"/>
              <w:rPr>
                <w:color w:val="000000"/>
              </w:rPr>
            </w:pPr>
            <w:r w:rsidRPr="00FD3DD8">
              <w:rPr>
                <w:color w:val="000000"/>
              </w:rPr>
              <w:t xml:space="preserve">Eliminate gross alpha monitoring loophole </w:t>
            </w:r>
            <w:r w:rsidRPr="00FD3DD8">
              <w:rPr>
                <w:color w:val="000000"/>
                <w:u w:val="single"/>
              </w:rPr>
              <w:t>only</w:t>
            </w:r>
          </w:p>
        </w:tc>
        <w:tc>
          <w:tcPr>
            <w:tcW w:w="180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6D907977" w14:textId="77777777" w:rsidR="00101352" w:rsidRPr="00FD3DD8" w:rsidRDefault="00101352" w:rsidP="005553E8">
            <w:pPr>
              <w:spacing w:line="240" w:lineRule="auto"/>
              <w:ind w:firstLine="0"/>
              <w:jc w:val="right"/>
              <w:rPr>
                <w:color w:val="000000"/>
              </w:rPr>
            </w:pPr>
            <w:r w:rsidRPr="00FD3DD8">
              <w:rPr>
                <w:color w:val="000000"/>
              </w:rPr>
              <w:t>$35.0 million</w:t>
            </w:r>
          </w:p>
        </w:tc>
        <w:tc>
          <w:tcPr>
            <w:tcW w:w="188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5A90B84D" w14:textId="77777777" w:rsidR="00101352" w:rsidRPr="008D4678" w:rsidRDefault="00101352" w:rsidP="005553E8">
            <w:pPr>
              <w:spacing w:line="240" w:lineRule="auto"/>
              <w:ind w:firstLine="0"/>
              <w:jc w:val="right"/>
              <w:rPr>
                <w:color w:val="FF0000"/>
              </w:rPr>
            </w:pPr>
            <w:r w:rsidRPr="008D4678">
              <w:rPr>
                <w:color w:val="FF0000"/>
              </w:rPr>
              <w:t>($1.2 million)</w:t>
            </w:r>
          </w:p>
        </w:tc>
        <w:tc>
          <w:tcPr>
            <w:tcW w:w="1537"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7CFB355D" w14:textId="77777777" w:rsidR="00101352" w:rsidRPr="00FD3DD8" w:rsidRDefault="00101352" w:rsidP="005553E8">
            <w:pPr>
              <w:spacing w:line="240" w:lineRule="auto"/>
              <w:ind w:firstLine="0"/>
              <w:jc w:val="right"/>
              <w:rPr>
                <w:color w:val="000000"/>
              </w:rPr>
            </w:pPr>
            <w:r w:rsidRPr="00FD3DD8">
              <w:rPr>
                <w:color w:val="000000"/>
              </w:rPr>
              <w:t>$79.1 million</w:t>
            </w:r>
          </w:p>
        </w:tc>
        <w:tc>
          <w:tcPr>
            <w:tcW w:w="1939"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4C3B375B" w14:textId="77777777" w:rsidR="00101352" w:rsidRPr="008D4678" w:rsidRDefault="00101352" w:rsidP="005553E8">
            <w:pPr>
              <w:spacing w:line="240" w:lineRule="auto"/>
              <w:ind w:firstLine="0"/>
              <w:jc w:val="right"/>
              <w:rPr>
                <w:color w:val="FF0000"/>
              </w:rPr>
            </w:pPr>
            <w:r w:rsidRPr="008D4678">
              <w:rPr>
                <w:color w:val="FF0000"/>
              </w:rPr>
              <w:t>($26.4 million)</w:t>
            </w:r>
          </w:p>
        </w:tc>
        <w:tc>
          <w:tcPr>
            <w:tcW w:w="1738"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16C78098" w14:textId="77777777" w:rsidR="00101352" w:rsidRPr="00FD3DD8" w:rsidRDefault="00101352" w:rsidP="005553E8">
            <w:pPr>
              <w:spacing w:line="240" w:lineRule="auto"/>
              <w:ind w:firstLine="0"/>
              <w:jc w:val="right"/>
              <w:rPr>
                <w:color w:val="000000"/>
              </w:rPr>
            </w:pPr>
            <w:r w:rsidRPr="00FD3DD8">
              <w:rPr>
                <w:color w:val="000000"/>
              </w:rPr>
              <w:t>$73.0 million</w:t>
            </w:r>
          </w:p>
        </w:tc>
        <w:tc>
          <w:tcPr>
            <w:tcW w:w="1738" w:type="dxa"/>
            <w:tcBorders>
              <w:top w:val="double" w:sz="4" w:space="0" w:color="auto"/>
              <w:left w:val="single" w:sz="4" w:space="0" w:color="auto"/>
              <w:bottom w:val="single" w:sz="4" w:space="0" w:color="auto"/>
            </w:tcBorders>
            <w:shd w:val="clear" w:color="auto" w:fill="auto"/>
            <w:noWrap/>
            <w:vAlign w:val="center"/>
            <w:hideMark/>
          </w:tcPr>
          <w:p w14:paraId="7E9CF539" w14:textId="77777777" w:rsidR="00101352" w:rsidRPr="008D4678" w:rsidRDefault="00101352" w:rsidP="005553E8">
            <w:pPr>
              <w:spacing w:line="240" w:lineRule="auto"/>
              <w:ind w:firstLine="0"/>
              <w:jc w:val="right"/>
              <w:rPr>
                <w:color w:val="FF0000"/>
              </w:rPr>
            </w:pPr>
            <w:r w:rsidRPr="008D4678">
              <w:rPr>
                <w:color w:val="FF0000"/>
              </w:rPr>
              <w:t>($13.8 million)</w:t>
            </w:r>
          </w:p>
        </w:tc>
      </w:tr>
      <w:tr w:rsidR="00101352" w:rsidRPr="00FD3DD8" w14:paraId="3AC7A32D" w14:textId="77777777" w:rsidTr="005553E8">
        <w:trPr>
          <w:trHeight w:val="680"/>
        </w:trPr>
        <w:tc>
          <w:tcPr>
            <w:tcW w:w="2325" w:type="dxa"/>
            <w:tcBorders>
              <w:top w:val="single" w:sz="4" w:space="0" w:color="auto"/>
              <w:bottom w:val="single" w:sz="4" w:space="0" w:color="auto"/>
              <w:right w:val="single" w:sz="4" w:space="0" w:color="auto"/>
            </w:tcBorders>
            <w:shd w:val="clear" w:color="auto" w:fill="auto"/>
            <w:vAlign w:val="center"/>
            <w:hideMark/>
          </w:tcPr>
          <w:p w14:paraId="36E49AB0" w14:textId="77777777" w:rsidR="00101352" w:rsidRPr="00FD3DD8" w:rsidRDefault="00101352" w:rsidP="005553E8">
            <w:pPr>
              <w:spacing w:line="240" w:lineRule="auto"/>
              <w:ind w:firstLine="0"/>
              <w:rPr>
                <w:color w:val="000000"/>
              </w:rPr>
            </w:pPr>
            <w:r w:rsidRPr="00FD3DD8">
              <w:rPr>
                <w:color w:val="000000"/>
              </w:rPr>
              <w:t xml:space="preserve">Eliminate combined radium monitoring loophole </w:t>
            </w:r>
            <w:r w:rsidRPr="00FD3DD8">
              <w:rPr>
                <w:color w:val="000000"/>
                <w:u w:val="single"/>
              </w:rPr>
              <w:t>only</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F3224" w14:textId="77777777" w:rsidR="00101352" w:rsidRPr="00FD3DD8" w:rsidRDefault="00101352" w:rsidP="005553E8">
            <w:pPr>
              <w:spacing w:line="240" w:lineRule="auto"/>
              <w:ind w:firstLine="0"/>
              <w:jc w:val="right"/>
              <w:rPr>
                <w:color w:val="000000"/>
              </w:rPr>
            </w:pPr>
            <w:r w:rsidRPr="00FD3DD8">
              <w:rPr>
                <w:color w:val="000000"/>
              </w:rPr>
              <w:t>$51.6 million</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397FA" w14:textId="77777777" w:rsidR="00101352" w:rsidRPr="008D4678" w:rsidRDefault="00101352" w:rsidP="005553E8">
            <w:pPr>
              <w:spacing w:line="240" w:lineRule="auto"/>
              <w:ind w:firstLine="0"/>
              <w:jc w:val="right"/>
              <w:rPr>
                <w:color w:val="FF0000"/>
              </w:rPr>
            </w:pPr>
            <w:r w:rsidRPr="008D4678">
              <w:rPr>
                <w:color w:val="FF0000"/>
              </w:rPr>
              <w:t>($14.8 million)</w:t>
            </w: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9FFE7" w14:textId="77777777" w:rsidR="00101352" w:rsidRPr="00FD3DD8" w:rsidRDefault="00101352" w:rsidP="005553E8">
            <w:pPr>
              <w:spacing w:line="240" w:lineRule="auto"/>
              <w:ind w:firstLine="0"/>
              <w:jc w:val="right"/>
              <w:rPr>
                <w:color w:val="000000"/>
              </w:rPr>
            </w:pPr>
            <w:r w:rsidRPr="00FD3DD8">
              <w:rPr>
                <w:color w:val="000000"/>
              </w:rPr>
              <w:t>$64.6 million</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B0F98" w14:textId="77777777" w:rsidR="00101352" w:rsidRPr="008D4678" w:rsidRDefault="00101352" w:rsidP="005553E8">
            <w:pPr>
              <w:spacing w:line="240" w:lineRule="auto"/>
              <w:ind w:firstLine="0"/>
              <w:jc w:val="right"/>
              <w:rPr>
                <w:color w:val="FF0000"/>
              </w:rPr>
            </w:pPr>
            <w:r w:rsidRPr="008D4678">
              <w:rPr>
                <w:color w:val="FF0000"/>
              </w:rPr>
              <w:t>($32.7 million)</w:t>
            </w:r>
          </w:p>
        </w:tc>
        <w:tc>
          <w:tcPr>
            <w:tcW w:w="1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2096B" w14:textId="77777777" w:rsidR="00101352" w:rsidRPr="00FD3DD8" w:rsidRDefault="00101352" w:rsidP="005553E8">
            <w:pPr>
              <w:spacing w:line="240" w:lineRule="auto"/>
              <w:ind w:firstLine="0"/>
              <w:jc w:val="right"/>
              <w:rPr>
                <w:color w:val="000000"/>
              </w:rPr>
            </w:pPr>
            <w:r w:rsidRPr="00FD3DD8">
              <w:rPr>
                <w:color w:val="000000"/>
              </w:rPr>
              <w:t>$59.3 million</w:t>
            </w:r>
          </w:p>
        </w:tc>
        <w:tc>
          <w:tcPr>
            <w:tcW w:w="1738" w:type="dxa"/>
            <w:tcBorders>
              <w:top w:val="single" w:sz="4" w:space="0" w:color="auto"/>
              <w:left w:val="single" w:sz="4" w:space="0" w:color="auto"/>
              <w:bottom w:val="single" w:sz="4" w:space="0" w:color="auto"/>
            </w:tcBorders>
            <w:shd w:val="clear" w:color="auto" w:fill="auto"/>
            <w:noWrap/>
            <w:vAlign w:val="center"/>
            <w:hideMark/>
          </w:tcPr>
          <w:p w14:paraId="4410277C" w14:textId="77777777" w:rsidR="00101352" w:rsidRPr="008D4678" w:rsidRDefault="00101352" w:rsidP="005553E8">
            <w:pPr>
              <w:spacing w:line="240" w:lineRule="auto"/>
              <w:ind w:firstLine="0"/>
              <w:jc w:val="right"/>
              <w:rPr>
                <w:color w:val="FF0000"/>
              </w:rPr>
            </w:pPr>
            <w:r w:rsidRPr="008D4678">
              <w:rPr>
                <w:color w:val="FF0000"/>
              </w:rPr>
              <w:t>($23.8 million)</w:t>
            </w:r>
          </w:p>
        </w:tc>
      </w:tr>
      <w:tr w:rsidR="00101352" w:rsidRPr="00FD3DD8" w14:paraId="0DD8915F" w14:textId="77777777" w:rsidTr="005553E8">
        <w:trPr>
          <w:trHeight w:val="340"/>
        </w:trPr>
        <w:tc>
          <w:tcPr>
            <w:tcW w:w="2325" w:type="dxa"/>
            <w:tcBorders>
              <w:top w:val="single" w:sz="4" w:space="0" w:color="auto"/>
              <w:bottom w:val="double" w:sz="4" w:space="0" w:color="auto"/>
              <w:right w:val="single" w:sz="4" w:space="0" w:color="auto"/>
            </w:tcBorders>
            <w:shd w:val="clear" w:color="auto" w:fill="auto"/>
            <w:vAlign w:val="center"/>
            <w:hideMark/>
          </w:tcPr>
          <w:p w14:paraId="17CBDB1A" w14:textId="77777777" w:rsidR="00101352" w:rsidRPr="00FD3DD8" w:rsidRDefault="00101352" w:rsidP="005553E8">
            <w:pPr>
              <w:spacing w:line="240" w:lineRule="auto"/>
              <w:ind w:firstLine="0"/>
              <w:rPr>
                <w:color w:val="000000"/>
              </w:rPr>
            </w:pPr>
            <w:r w:rsidRPr="00FD3DD8">
              <w:rPr>
                <w:color w:val="000000"/>
              </w:rPr>
              <w:t xml:space="preserve">Eliminate </w:t>
            </w:r>
            <w:r w:rsidRPr="00FD3DD8">
              <w:rPr>
                <w:color w:val="000000"/>
                <w:u w:val="single"/>
              </w:rPr>
              <w:t>both</w:t>
            </w:r>
            <w:r w:rsidRPr="00FD3DD8">
              <w:rPr>
                <w:color w:val="000000"/>
              </w:rPr>
              <w:t xml:space="preserve"> loopholes</w:t>
            </w:r>
          </w:p>
        </w:tc>
        <w:tc>
          <w:tcPr>
            <w:tcW w:w="180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02A1418D" w14:textId="77777777" w:rsidR="00101352" w:rsidRPr="00FD3DD8" w:rsidRDefault="00101352" w:rsidP="005553E8">
            <w:pPr>
              <w:spacing w:line="240" w:lineRule="auto"/>
              <w:ind w:firstLine="0"/>
              <w:jc w:val="right"/>
              <w:rPr>
                <w:color w:val="000000"/>
              </w:rPr>
            </w:pPr>
            <w:r w:rsidRPr="00FD3DD8">
              <w:rPr>
                <w:color w:val="000000"/>
              </w:rPr>
              <w:t>$50.9 million</w:t>
            </w:r>
          </w:p>
        </w:tc>
        <w:tc>
          <w:tcPr>
            <w:tcW w:w="1883"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7F5C6E2C" w14:textId="77777777" w:rsidR="00101352" w:rsidRPr="008D4678" w:rsidRDefault="00101352" w:rsidP="005553E8">
            <w:pPr>
              <w:spacing w:line="240" w:lineRule="auto"/>
              <w:ind w:firstLine="0"/>
              <w:jc w:val="right"/>
              <w:rPr>
                <w:color w:val="FF0000"/>
              </w:rPr>
            </w:pPr>
            <w:r w:rsidRPr="008D4678">
              <w:rPr>
                <w:color w:val="FF0000"/>
              </w:rPr>
              <w:t>($15.0 million)</w:t>
            </w:r>
          </w:p>
        </w:tc>
        <w:tc>
          <w:tcPr>
            <w:tcW w:w="1537"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17FB97C8" w14:textId="77777777" w:rsidR="00101352" w:rsidRPr="00FD3DD8" w:rsidRDefault="00101352" w:rsidP="005553E8">
            <w:pPr>
              <w:spacing w:line="240" w:lineRule="auto"/>
              <w:ind w:firstLine="0"/>
              <w:jc w:val="right"/>
              <w:rPr>
                <w:color w:val="000000"/>
              </w:rPr>
            </w:pPr>
            <w:r w:rsidRPr="00FD3DD8">
              <w:rPr>
                <w:color w:val="000000"/>
              </w:rPr>
              <w:t>$71.3 million</w:t>
            </w:r>
          </w:p>
        </w:tc>
        <w:tc>
          <w:tcPr>
            <w:tcW w:w="1939"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29FA9F8F" w14:textId="77777777" w:rsidR="00101352" w:rsidRPr="008D4678" w:rsidRDefault="00101352" w:rsidP="005553E8">
            <w:pPr>
              <w:spacing w:line="240" w:lineRule="auto"/>
              <w:ind w:firstLine="0"/>
              <w:jc w:val="right"/>
              <w:rPr>
                <w:color w:val="FF0000"/>
              </w:rPr>
            </w:pPr>
            <w:r w:rsidRPr="008D4678">
              <w:rPr>
                <w:color w:val="FF0000"/>
              </w:rPr>
              <w:t>($57.9 million)</w:t>
            </w:r>
          </w:p>
        </w:tc>
        <w:tc>
          <w:tcPr>
            <w:tcW w:w="173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0EC80ADE" w14:textId="77777777" w:rsidR="00101352" w:rsidRPr="00FD3DD8" w:rsidRDefault="00101352" w:rsidP="005553E8">
            <w:pPr>
              <w:spacing w:line="240" w:lineRule="auto"/>
              <w:ind w:firstLine="0"/>
              <w:jc w:val="right"/>
              <w:rPr>
                <w:color w:val="000000"/>
              </w:rPr>
            </w:pPr>
            <w:r w:rsidRPr="00FD3DD8">
              <w:rPr>
                <w:color w:val="000000"/>
              </w:rPr>
              <w:t>$65.8 million</w:t>
            </w:r>
          </w:p>
        </w:tc>
        <w:tc>
          <w:tcPr>
            <w:tcW w:w="1738" w:type="dxa"/>
            <w:tcBorders>
              <w:top w:val="single" w:sz="4" w:space="0" w:color="auto"/>
              <w:left w:val="single" w:sz="4" w:space="0" w:color="auto"/>
              <w:bottom w:val="double" w:sz="4" w:space="0" w:color="auto"/>
            </w:tcBorders>
            <w:shd w:val="clear" w:color="auto" w:fill="auto"/>
            <w:noWrap/>
            <w:vAlign w:val="center"/>
            <w:hideMark/>
          </w:tcPr>
          <w:p w14:paraId="2B5598ED" w14:textId="77777777" w:rsidR="00101352" w:rsidRPr="008D4678" w:rsidRDefault="00101352" w:rsidP="005553E8">
            <w:pPr>
              <w:spacing w:line="240" w:lineRule="auto"/>
              <w:ind w:firstLine="0"/>
              <w:jc w:val="right"/>
              <w:rPr>
                <w:color w:val="FF0000"/>
              </w:rPr>
            </w:pPr>
            <w:r w:rsidRPr="008D4678">
              <w:rPr>
                <w:color w:val="FF0000"/>
              </w:rPr>
              <w:t>($36.4 million)</w:t>
            </w:r>
          </w:p>
        </w:tc>
      </w:tr>
      <w:tr w:rsidR="00101352" w:rsidRPr="00F0684A" w14:paraId="62DD3AFB" w14:textId="77777777" w:rsidTr="005553E8">
        <w:trPr>
          <w:trHeight w:val="320"/>
        </w:trPr>
        <w:tc>
          <w:tcPr>
            <w:tcW w:w="12960" w:type="dxa"/>
            <w:gridSpan w:val="7"/>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484D91BF" w14:textId="77777777" w:rsidR="00101352" w:rsidRPr="00F0684A" w:rsidRDefault="00101352" w:rsidP="005553E8">
            <w:pPr>
              <w:spacing w:line="240" w:lineRule="auto"/>
              <w:ind w:firstLine="0"/>
              <w:rPr>
                <w:b/>
                <w:bCs/>
                <w:i/>
                <w:color w:val="000000"/>
              </w:rPr>
            </w:pPr>
            <w:r w:rsidRPr="00F0684A">
              <w:rPr>
                <w:b/>
                <w:bCs/>
                <w:i/>
                <w:color w:val="000000"/>
              </w:rPr>
              <w:t>Compliance with new uranium MCL options</w:t>
            </w:r>
          </w:p>
        </w:tc>
      </w:tr>
      <w:tr w:rsidR="00101352" w:rsidRPr="00FD3DD8" w14:paraId="600F64E6" w14:textId="77777777" w:rsidTr="005553E8">
        <w:trPr>
          <w:trHeight w:val="340"/>
        </w:trPr>
        <w:tc>
          <w:tcPr>
            <w:tcW w:w="2325" w:type="dxa"/>
            <w:tcBorders>
              <w:top w:val="double" w:sz="4" w:space="0" w:color="auto"/>
              <w:bottom w:val="single" w:sz="4" w:space="0" w:color="auto"/>
              <w:right w:val="single" w:sz="4" w:space="0" w:color="auto"/>
            </w:tcBorders>
            <w:shd w:val="clear" w:color="auto" w:fill="auto"/>
            <w:vAlign w:val="center"/>
            <w:hideMark/>
          </w:tcPr>
          <w:p w14:paraId="5C2C8CEB" w14:textId="77777777" w:rsidR="00101352" w:rsidRPr="00FD3DD8" w:rsidRDefault="00101352" w:rsidP="005553E8">
            <w:pPr>
              <w:spacing w:line="240" w:lineRule="auto"/>
              <w:ind w:firstLine="0"/>
              <w:rPr>
                <w:color w:val="000000"/>
              </w:rPr>
            </w:pPr>
            <w:r w:rsidRPr="00FD3DD8">
              <w:rPr>
                <w:color w:val="000000"/>
              </w:rPr>
              <w:t>20 μg/L</w:t>
            </w:r>
          </w:p>
        </w:tc>
        <w:tc>
          <w:tcPr>
            <w:tcW w:w="180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3426F621" w14:textId="77777777" w:rsidR="00101352" w:rsidRPr="00FD3DD8" w:rsidRDefault="00101352" w:rsidP="005553E8">
            <w:pPr>
              <w:spacing w:line="240" w:lineRule="auto"/>
              <w:ind w:firstLine="0"/>
              <w:jc w:val="right"/>
              <w:rPr>
                <w:color w:val="000000"/>
              </w:rPr>
            </w:pPr>
            <w:r w:rsidRPr="00FD3DD8">
              <w:rPr>
                <w:color w:val="000000"/>
              </w:rPr>
              <w:t>$182.1 million</w:t>
            </w:r>
          </w:p>
        </w:tc>
        <w:tc>
          <w:tcPr>
            <w:tcW w:w="188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55BD12E6" w14:textId="77777777" w:rsidR="00101352" w:rsidRPr="008D4678" w:rsidRDefault="00101352" w:rsidP="005553E8">
            <w:pPr>
              <w:spacing w:line="240" w:lineRule="auto"/>
              <w:ind w:firstLine="0"/>
              <w:jc w:val="right"/>
              <w:rPr>
                <w:color w:val="FF0000"/>
              </w:rPr>
            </w:pPr>
            <w:r w:rsidRPr="008D4678">
              <w:rPr>
                <w:color w:val="FF0000"/>
              </w:rPr>
              <w:t>($25.0 million)</w:t>
            </w:r>
          </w:p>
        </w:tc>
        <w:tc>
          <w:tcPr>
            <w:tcW w:w="1537"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518AE343" w14:textId="77777777" w:rsidR="00101352" w:rsidRPr="00FD3DD8" w:rsidRDefault="00101352" w:rsidP="005553E8">
            <w:pPr>
              <w:spacing w:line="240" w:lineRule="auto"/>
              <w:ind w:firstLine="0"/>
              <w:jc w:val="right"/>
              <w:rPr>
                <w:color w:val="000000"/>
              </w:rPr>
            </w:pPr>
            <w:r w:rsidRPr="00FD3DD8">
              <w:rPr>
                <w:color w:val="000000"/>
              </w:rPr>
              <w:t>$81.4 million</w:t>
            </w:r>
          </w:p>
        </w:tc>
        <w:tc>
          <w:tcPr>
            <w:tcW w:w="1939"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583D55C8" w14:textId="77777777" w:rsidR="00101352" w:rsidRPr="008D4678" w:rsidRDefault="00101352" w:rsidP="005553E8">
            <w:pPr>
              <w:spacing w:line="240" w:lineRule="auto"/>
              <w:ind w:firstLine="0"/>
              <w:jc w:val="right"/>
              <w:rPr>
                <w:color w:val="FF0000"/>
              </w:rPr>
            </w:pPr>
            <w:r w:rsidRPr="008D4678">
              <w:rPr>
                <w:color w:val="FF0000"/>
              </w:rPr>
              <w:t>($148.0 million)</w:t>
            </w:r>
          </w:p>
        </w:tc>
        <w:tc>
          <w:tcPr>
            <w:tcW w:w="1738"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4410CEB2" w14:textId="77777777" w:rsidR="00101352" w:rsidRPr="00FD3DD8" w:rsidRDefault="00101352" w:rsidP="005553E8">
            <w:pPr>
              <w:spacing w:line="240" w:lineRule="auto"/>
              <w:ind w:firstLine="0"/>
              <w:jc w:val="right"/>
              <w:rPr>
                <w:color w:val="000000"/>
              </w:rPr>
            </w:pPr>
            <w:r w:rsidRPr="00FD3DD8">
              <w:rPr>
                <w:color w:val="000000"/>
              </w:rPr>
              <w:t>$87.8 million</w:t>
            </w:r>
          </w:p>
        </w:tc>
        <w:tc>
          <w:tcPr>
            <w:tcW w:w="1738" w:type="dxa"/>
            <w:tcBorders>
              <w:top w:val="double" w:sz="4" w:space="0" w:color="auto"/>
              <w:left w:val="single" w:sz="4" w:space="0" w:color="auto"/>
              <w:bottom w:val="single" w:sz="4" w:space="0" w:color="auto"/>
            </w:tcBorders>
            <w:shd w:val="clear" w:color="auto" w:fill="auto"/>
            <w:noWrap/>
            <w:vAlign w:val="center"/>
            <w:hideMark/>
          </w:tcPr>
          <w:p w14:paraId="53D651DD" w14:textId="77777777" w:rsidR="00101352" w:rsidRPr="008D4678" w:rsidRDefault="00101352" w:rsidP="005553E8">
            <w:pPr>
              <w:spacing w:line="240" w:lineRule="auto"/>
              <w:ind w:firstLine="0"/>
              <w:jc w:val="right"/>
              <w:rPr>
                <w:color w:val="FF0000"/>
              </w:rPr>
            </w:pPr>
            <w:r w:rsidRPr="008D4678">
              <w:rPr>
                <w:color w:val="FF0000"/>
              </w:rPr>
              <w:t>($86.4 million)</w:t>
            </w:r>
          </w:p>
        </w:tc>
      </w:tr>
      <w:tr w:rsidR="00101352" w:rsidRPr="00FD3DD8" w14:paraId="1415AC29" w14:textId="77777777" w:rsidTr="005553E8">
        <w:trPr>
          <w:trHeight w:val="340"/>
        </w:trPr>
        <w:tc>
          <w:tcPr>
            <w:tcW w:w="2325" w:type="dxa"/>
            <w:tcBorders>
              <w:top w:val="single" w:sz="4" w:space="0" w:color="auto"/>
              <w:bottom w:val="single" w:sz="4" w:space="0" w:color="auto"/>
              <w:right w:val="single" w:sz="4" w:space="0" w:color="auto"/>
            </w:tcBorders>
            <w:shd w:val="clear" w:color="auto" w:fill="auto"/>
            <w:vAlign w:val="center"/>
            <w:hideMark/>
          </w:tcPr>
          <w:p w14:paraId="499EAEAF" w14:textId="77777777" w:rsidR="00101352" w:rsidRPr="00FD3DD8" w:rsidRDefault="00101352" w:rsidP="005553E8">
            <w:pPr>
              <w:spacing w:line="240" w:lineRule="auto"/>
              <w:ind w:firstLine="0"/>
              <w:rPr>
                <w:color w:val="000000"/>
              </w:rPr>
            </w:pPr>
            <w:r w:rsidRPr="00FD3DD8">
              <w:rPr>
                <w:color w:val="000000"/>
              </w:rPr>
              <w:t>30 μg/L</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05553" w14:textId="77777777" w:rsidR="00101352" w:rsidRPr="00FD3DD8" w:rsidRDefault="00101352" w:rsidP="005553E8">
            <w:pPr>
              <w:spacing w:line="240" w:lineRule="auto"/>
              <w:ind w:firstLine="0"/>
              <w:jc w:val="right"/>
              <w:rPr>
                <w:color w:val="000000"/>
              </w:rPr>
            </w:pPr>
            <w:r w:rsidRPr="00FD3DD8">
              <w:rPr>
                <w:color w:val="000000"/>
              </w:rPr>
              <w:t>$105.0 million</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6449F" w14:textId="77777777" w:rsidR="00101352" w:rsidRPr="008D4678" w:rsidRDefault="00101352" w:rsidP="005553E8">
            <w:pPr>
              <w:spacing w:line="240" w:lineRule="auto"/>
              <w:ind w:firstLine="0"/>
              <w:jc w:val="right"/>
              <w:rPr>
                <w:color w:val="FF0000"/>
              </w:rPr>
            </w:pPr>
            <w:r w:rsidRPr="008D4678">
              <w:rPr>
                <w:color w:val="FF0000"/>
              </w:rPr>
              <w:t>($6.1 million)</w:t>
            </w: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337B7" w14:textId="77777777" w:rsidR="00101352" w:rsidRPr="00FD3DD8" w:rsidRDefault="00101352" w:rsidP="005553E8">
            <w:pPr>
              <w:spacing w:line="240" w:lineRule="auto"/>
              <w:ind w:firstLine="0"/>
              <w:jc w:val="right"/>
              <w:rPr>
                <w:color w:val="000000"/>
              </w:rPr>
            </w:pPr>
            <w:r w:rsidRPr="00FD3DD8">
              <w:rPr>
                <w:color w:val="000000"/>
              </w:rPr>
              <w:t>$58.9 million</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D4AEA" w14:textId="77777777" w:rsidR="00101352" w:rsidRPr="008D4678" w:rsidRDefault="00101352" w:rsidP="005553E8">
            <w:pPr>
              <w:spacing w:line="240" w:lineRule="auto"/>
              <w:ind w:firstLine="0"/>
              <w:jc w:val="right"/>
              <w:rPr>
                <w:color w:val="FF0000"/>
              </w:rPr>
            </w:pPr>
            <w:r w:rsidRPr="008D4678">
              <w:rPr>
                <w:color w:val="FF0000"/>
              </w:rPr>
              <w:t>($87.0 million)</w:t>
            </w:r>
          </w:p>
        </w:tc>
        <w:tc>
          <w:tcPr>
            <w:tcW w:w="1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FA7E9" w14:textId="77777777" w:rsidR="00101352" w:rsidRPr="00FD3DD8" w:rsidRDefault="00101352" w:rsidP="005553E8">
            <w:pPr>
              <w:spacing w:line="240" w:lineRule="auto"/>
              <w:ind w:firstLine="0"/>
              <w:jc w:val="right"/>
              <w:rPr>
                <w:color w:val="000000"/>
              </w:rPr>
            </w:pPr>
            <w:r w:rsidRPr="00FD3DD8">
              <w:rPr>
                <w:color w:val="000000"/>
              </w:rPr>
              <w:t>$60.6 million</w:t>
            </w:r>
          </w:p>
        </w:tc>
        <w:tc>
          <w:tcPr>
            <w:tcW w:w="1738" w:type="dxa"/>
            <w:tcBorders>
              <w:top w:val="single" w:sz="4" w:space="0" w:color="auto"/>
              <w:left w:val="single" w:sz="4" w:space="0" w:color="auto"/>
              <w:bottom w:val="single" w:sz="4" w:space="0" w:color="auto"/>
            </w:tcBorders>
            <w:shd w:val="clear" w:color="auto" w:fill="auto"/>
            <w:noWrap/>
            <w:vAlign w:val="center"/>
            <w:hideMark/>
          </w:tcPr>
          <w:p w14:paraId="4A395243" w14:textId="77777777" w:rsidR="00101352" w:rsidRPr="008D4678" w:rsidRDefault="00101352" w:rsidP="005553E8">
            <w:pPr>
              <w:spacing w:line="240" w:lineRule="auto"/>
              <w:ind w:firstLine="0"/>
              <w:jc w:val="right"/>
              <w:rPr>
                <w:color w:val="FF0000"/>
              </w:rPr>
            </w:pPr>
            <w:r w:rsidRPr="008D4678">
              <w:rPr>
                <w:color w:val="FF0000"/>
              </w:rPr>
              <w:t>($46.6 million)</w:t>
            </w:r>
          </w:p>
        </w:tc>
      </w:tr>
      <w:tr w:rsidR="00101352" w:rsidRPr="00FD3DD8" w14:paraId="68D5E2CF" w14:textId="77777777" w:rsidTr="005553E8">
        <w:trPr>
          <w:trHeight w:val="340"/>
        </w:trPr>
        <w:tc>
          <w:tcPr>
            <w:tcW w:w="2325" w:type="dxa"/>
            <w:tcBorders>
              <w:top w:val="single" w:sz="4" w:space="0" w:color="auto"/>
              <w:bottom w:val="single" w:sz="4" w:space="0" w:color="auto"/>
              <w:right w:val="single" w:sz="4" w:space="0" w:color="auto"/>
            </w:tcBorders>
            <w:shd w:val="clear" w:color="auto" w:fill="auto"/>
            <w:vAlign w:val="center"/>
            <w:hideMark/>
          </w:tcPr>
          <w:p w14:paraId="1E7A4FE0" w14:textId="77777777" w:rsidR="00101352" w:rsidRPr="00FD3DD8" w:rsidRDefault="00101352" w:rsidP="005553E8">
            <w:pPr>
              <w:spacing w:line="240" w:lineRule="auto"/>
              <w:ind w:firstLine="0"/>
              <w:rPr>
                <w:color w:val="000000"/>
              </w:rPr>
            </w:pPr>
            <w:r w:rsidRPr="00FD3DD8">
              <w:rPr>
                <w:color w:val="000000"/>
              </w:rPr>
              <w:t>40 μg/L</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719F1" w14:textId="77777777" w:rsidR="00101352" w:rsidRPr="00FD3DD8" w:rsidRDefault="00101352" w:rsidP="005553E8">
            <w:pPr>
              <w:spacing w:line="240" w:lineRule="auto"/>
              <w:ind w:firstLine="0"/>
              <w:jc w:val="right"/>
              <w:rPr>
                <w:color w:val="000000"/>
              </w:rPr>
            </w:pPr>
            <w:r w:rsidRPr="00FD3DD8">
              <w:rPr>
                <w:color w:val="000000"/>
              </w:rPr>
              <w:t>$73.3 million</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B1D07" w14:textId="77777777" w:rsidR="00101352" w:rsidRPr="008D4678" w:rsidRDefault="00101352" w:rsidP="005553E8">
            <w:pPr>
              <w:spacing w:line="240" w:lineRule="auto"/>
              <w:ind w:firstLine="0"/>
              <w:jc w:val="right"/>
              <w:rPr>
                <w:color w:val="FF0000"/>
              </w:rPr>
            </w:pPr>
            <w:r w:rsidRPr="008D4678">
              <w:rPr>
                <w:color w:val="FF0000"/>
              </w:rPr>
              <w:t>($2.1 million)</w:t>
            </w: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54D4A" w14:textId="77777777" w:rsidR="00101352" w:rsidRPr="00FD3DD8" w:rsidRDefault="00101352" w:rsidP="005553E8">
            <w:pPr>
              <w:spacing w:line="240" w:lineRule="auto"/>
              <w:ind w:firstLine="0"/>
              <w:jc w:val="right"/>
              <w:rPr>
                <w:color w:val="000000"/>
              </w:rPr>
            </w:pPr>
            <w:r w:rsidRPr="00FD3DD8">
              <w:rPr>
                <w:color w:val="000000"/>
              </w:rPr>
              <w:t>$46.3 million</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2EF1E" w14:textId="77777777" w:rsidR="00101352" w:rsidRPr="008D4678" w:rsidRDefault="00101352" w:rsidP="005553E8">
            <w:pPr>
              <w:spacing w:line="240" w:lineRule="auto"/>
              <w:ind w:firstLine="0"/>
              <w:jc w:val="right"/>
              <w:rPr>
                <w:color w:val="FF0000"/>
              </w:rPr>
            </w:pPr>
            <w:r w:rsidRPr="008D4678">
              <w:rPr>
                <w:color w:val="FF0000"/>
              </w:rPr>
              <w:t>($58.9 million)</w:t>
            </w:r>
          </w:p>
        </w:tc>
        <w:tc>
          <w:tcPr>
            <w:tcW w:w="1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C2691" w14:textId="77777777" w:rsidR="00101352" w:rsidRPr="00FD3DD8" w:rsidRDefault="00101352" w:rsidP="005553E8">
            <w:pPr>
              <w:spacing w:line="240" w:lineRule="auto"/>
              <w:ind w:firstLine="0"/>
              <w:jc w:val="right"/>
              <w:rPr>
                <w:color w:val="000000"/>
              </w:rPr>
            </w:pPr>
            <w:r w:rsidRPr="00FD3DD8">
              <w:rPr>
                <w:color w:val="000000"/>
              </w:rPr>
              <w:t>$46.9 million</w:t>
            </w:r>
          </w:p>
        </w:tc>
        <w:tc>
          <w:tcPr>
            <w:tcW w:w="1738" w:type="dxa"/>
            <w:tcBorders>
              <w:top w:val="single" w:sz="4" w:space="0" w:color="auto"/>
              <w:left w:val="single" w:sz="4" w:space="0" w:color="auto"/>
              <w:bottom w:val="single" w:sz="4" w:space="0" w:color="auto"/>
            </w:tcBorders>
            <w:shd w:val="clear" w:color="auto" w:fill="auto"/>
            <w:noWrap/>
            <w:vAlign w:val="center"/>
            <w:hideMark/>
          </w:tcPr>
          <w:p w14:paraId="3AD06C42" w14:textId="77777777" w:rsidR="00101352" w:rsidRPr="008D4678" w:rsidRDefault="00101352" w:rsidP="005553E8">
            <w:pPr>
              <w:spacing w:line="240" w:lineRule="auto"/>
              <w:ind w:firstLine="0"/>
              <w:jc w:val="right"/>
              <w:rPr>
                <w:color w:val="FF0000"/>
              </w:rPr>
            </w:pPr>
            <w:r w:rsidRPr="008D4678">
              <w:rPr>
                <w:color w:val="FF0000"/>
              </w:rPr>
              <w:t>($30.5 million)</w:t>
            </w:r>
          </w:p>
        </w:tc>
      </w:tr>
      <w:tr w:rsidR="00101352" w:rsidRPr="00FD3DD8" w14:paraId="69732ABE" w14:textId="77777777" w:rsidTr="005553E8">
        <w:trPr>
          <w:trHeight w:val="340"/>
        </w:trPr>
        <w:tc>
          <w:tcPr>
            <w:tcW w:w="2325" w:type="dxa"/>
            <w:tcBorders>
              <w:top w:val="single" w:sz="4" w:space="0" w:color="auto"/>
              <w:bottom w:val="double" w:sz="4" w:space="0" w:color="auto"/>
              <w:right w:val="single" w:sz="4" w:space="0" w:color="auto"/>
            </w:tcBorders>
            <w:shd w:val="clear" w:color="auto" w:fill="auto"/>
            <w:vAlign w:val="center"/>
            <w:hideMark/>
          </w:tcPr>
          <w:p w14:paraId="706B204C" w14:textId="77777777" w:rsidR="00101352" w:rsidRPr="00FD3DD8" w:rsidRDefault="00101352" w:rsidP="005553E8">
            <w:pPr>
              <w:spacing w:line="240" w:lineRule="auto"/>
              <w:ind w:firstLine="0"/>
              <w:rPr>
                <w:color w:val="000000"/>
              </w:rPr>
            </w:pPr>
            <w:r w:rsidRPr="00FD3DD8">
              <w:rPr>
                <w:color w:val="000000"/>
              </w:rPr>
              <w:t>80 μg/L</w:t>
            </w:r>
          </w:p>
        </w:tc>
        <w:tc>
          <w:tcPr>
            <w:tcW w:w="180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58C30289" w14:textId="77777777" w:rsidR="00101352" w:rsidRPr="00FD3DD8" w:rsidRDefault="00101352" w:rsidP="005553E8">
            <w:pPr>
              <w:spacing w:line="240" w:lineRule="auto"/>
              <w:ind w:firstLine="0"/>
              <w:jc w:val="right"/>
              <w:rPr>
                <w:color w:val="000000"/>
              </w:rPr>
            </w:pPr>
            <w:r w:rsidRPr="00FD3DD8">
              <w:rPr>
                <w:color w:val="000000"/>
              </w:rPr>
              <w:t>$20.0 million</w:t>
            </w:r>
          </w:p>
        </w:tc>
        <w:tc>
          <w:tcPr>
            <w:tcW w:w="1883"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4C453695" w14:textId="77777777" w:rsidR="00101352" w:rsidRPr="008D4678" w:rsidRDefault="00101352" w:rsidP="005553E8">
            <w:pPr>
              <w:spacing w:line="240" w:lineRule="auto"/>
              <w:ind w:firstLine="0"/>
              <w:jc w:val="right"/>
              <w:rPr>
                <w:color w:val="FF0000"/>
              </w:rPr>
            </w:pPr>
            <w:r w:rsidRPr="008D4678">
              <w:rPr>
                <w:color w:val="FF0000"/>
              </w:rPr>
              <w:t>($0.1 million)</w:t>
            </w:r>
          </w:p>
        </w:tc>
        <w:tc>
          <w:tcPr>
            <w:tcW w:w="1537"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164BD2CA" w14:textId="77777777" w:rsidR="00101352" w:rsidRPr="00FD3DD8" w:rsidRDefault="00101352" w:rsidP="005553E8">
            <w:pPr>
              <w:spacing w:line="240" w:lineRule="auto"/>
              <w:ind w:firstLine="0"/>
              <w:jc w:val="right"/>
              <w:rPr>
                <w:color w:val="000000"/>
              </w:rPr>
            </w:pPr>
            <w:r w:rsidRPr="00FD3DD8">
              <w:rPr>
                <w:color w:val="000000"/>
              </w:rPr>
              <w:t>$27.7 million</w:t>
            </w:r>
          </w:p>
        </w:tc>
        <w:tc>
          <w:tcPr>
            <w:tcW w:w="1939"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75E24EFE" w14:textId="77777777" w:rsidR="00101352" w:rsidRPr="008D4678" w:rsidRDefault="00101352" w:rsidP="005553E8">
            <w:pPr>
              <w:spacing w:line="240" w:lineRule="auto"/>
              <w:ind w:firstLine="0"/>
              <w:jc w:val="right"/>
              <w:rPr>
                <w:color w:val="FF0000"/>
              </w:rPr>
            </w:pPr>
            <w:r w:rsidRPr="008D4678">
              <w:rPr>
                <w:color w:val="FF0000"/>
              </w:rPr>
              <w:t>($21.9 million)</w:t>
            </w:r>
          </w:p>
        </w:tc>
        <w:tc>
          <w:tcPr>
            <w:tcW w:w="1738" w:type="dxa"/>
            <w:tcBorders>
              <w:top w:val="single" w:sz="4" w:space="0" w:color="auto"/>
              <w:left w:val="single" w:sz="4" w:space="0" w:color="auto"/>
              <w:bottom w:val="nil"/>
              <w:right w:val="single" w:sz="4" w:space="0" w:color="auto"/>
            </w:tcBorders>
            <w:shd w:val="clear" w:color="auto" w:fill="auto"/>
            <w:noWrap/>
            <w:vAlign w:val="center"/>
            <w:hideMark/>
          </w:tcPr>
          <w:p w14:paraId="05FD6EA6" w14:textId="77777777" w:rsidR="00101352" w:rsidRPr="00FD3DD8" w:rsidRDefault="00101352" w:rsidP="005553E8">
            <w:pPr>
              <w:spacing w:line="240" w:lineRule="auto"/>
              <w:ind w:firstLine="0"/>
              <w:jc w:val="right"/>
              <w:rPr>
                <w:color w:val="000000"/>
              </w:rPr>
            </w:pPr>
            <w:r w:rsidRPr="00FD3DD8">
              <w:rPr>
                <w:color w:val="000000"/>
              </w:rPr>
              <w:t>$27.4 million</w:t>
            </w:r>
          </w:p>
        </w:tc>
        <w:tc>
          <w:tcPr>
            <w:tcW w:w="1738" w:type="dxa"/>
            <w:tcBorders>
              <w:top w:val="single" w:sz="4" w:space="0" w:color="auto"/>
              <w:left w:val="single" w:sz="4" w:space="0" w:color="auto"/>
            </w:tcBorders>
            <w:shd w:val="clear" w:color="auto" w:fill="auto"/>
            <w:noWrap/>
            <w:vAlign w:val="center"/>
            <w:hideMark/>
          </w:tcPr>
          <w:p w14:paraId="668A79E5" w14:textId="77777777" w:rsidR="00101352" w:rsidRPr="008D4678" w:rsidRDefault="00101352" w:rsidP="005553E8">
            <w:pPr>
              <w:spacing w:line="240" w:lineRule="auto"/>
              <w:ind w:firstLine="0"/>
              <w:jc w:val="right"/>
              <w:rPr>
                <w:color w:val="FF0000"/>
              </w:rPr>
            </w:pPr>
            <w:r w:rsidRPr="008D4678">
              <w:rPr>
                <w:color w:val="FF0000"/>
              </w:rPr>
              <w:t>($11.1 million)</w:t>
            </w:r>
          </w:p>
        </w:tc>
      </w:tr>
      <w:tr w:rsidR="00101352" w:rsidRPr="00FD3DD8" w14:paraId="472BC185" w14:textId="77777777" w:rsidTr="005553E8">
        <w:trPr>
          <w:trHeight w:val="340"/>
        </w:trPr>
        <w:tc>
          <w:tcPr>
            <w:tcW w:w="12960" w:type="dxa"/>
            <w:gridSpan w:val="7"/>
            <w:tcBorders>
              <w:top w:val="double" w:sz="4" w:space="0" w:color="auto"/>
              <w:bottom w:val="double" w:sz="4" w:space="0" w:color="auto"/>
            </w:tcBorders>
            <w:shd w:val="clear" w:color="auto" w:fill="auto"/>
            <w:vAlign w:val="center"/>
          </w:tcPr>
          <w:p w14:paraId="023BB217" w14:textId="77777777" w:rsidR="00101352" w:rsidRPr="00FD3DD8" w:rsidRDefault="00101352" w:rsidP="005553E8">
            <w:pPr>
              <w:spacing w:line="240" w:lineRule="auto"/>
              <w:ind w:firstLine="0"/>
              <w:rPr>
                <w:color w:val="000000"/>
              </w:rPr>
            </w:pPr>
            <w:r>
              <w:rPr>
                <w:color w:val="000000"/>
              </w:rPr>
              <w:t xml:space="preserve">Source: </w:t>
            </w:r>
            <w:r>
              <w:rPr>
                <w:noProof/>
                <w:color w:val="000000"/>
              </w:rPr>
              <w:t>USEPA (2000h, Exhibit 7-6)</w:t>
            </w:r>
            <w:r>
              <w:rPr>
                <w:color w:val="000000"/>
              </w:rPr>
              <w:t>.</w:t>
            </w:r>
          </w:p>
        </w:tc>
      </w:tr>
    </w:tbl>
    <w:p w14:paraId="74ABE8C0" w14:textId="77777777" w:rsidR="00101352" w:rsidRDefault="00101352" w:rsidP="00101352">
      <w:pPr>
        <w:spacing w:line="240" w:lineRule="auto"/>
        <w:ind w:firstLine="0"/>
        <w:rPr>
          <w:iCs/>
          <w:color w:val="1F497D" w:themeColor="text2"/>
          <w:szCs w:val="18"/>
        </w:rPr>
      </w:pPr>
    </w:p>
    <w:p w14:paraId="020D1201" w14:textId="77777777" w:rsidR="00101352" w:rsidRDefault="00101352" w:rsidP="00101352">
      <w:pPr>
        <w:spacing w:line="240" w:lineRule="auto"/>
        <w:ind w:firstLine="0"/>
        <w:rPr>
          <w:iCs/>
          <w:color w:val="1F497D" w:themeColor="text2"/>
          <w:szCs w:val="18"/>
        </w:rPr>
      </w:pPr>
      <w:r>
        <w:rPr>
          <w:iCs/>
          <w:color w:val="1F497D" w:themeColor="text2"/>
          <w:szCs w:val="18"/>
        </w:rPr>
        <w:br w:type="page"/>
      </w:r>
    </w:p>
    <w:p w14:paraId="4A785467" w14:textId="77777777" w:rsidR="00101352" w:rsidRDefault="00101352" w:rsidP="00101352">
      <w:pPr>
        <w:spacing w:line="240" w:lineRule="auto"/>
        <w:ind w:firstLine="0"/>
        <w:rPr>
          <w:iCs/>
          <w:color w:val="1F497D" w:themeColor="text2"/>
          <w:szCs w:val="18"/>
        </w:rPr>
      </w:pPr>
    </w:p>
    <w:p w14:paraId="054ADB6D" w14:textId="77777777" w:rsidR="00101352" w:rsidRDefault="00101352" w:rsidP="00101352">
      <w:pPr>
        <w:pStyle w:val="Caption"/>
        <w:keepNext/>
      </w:pPr>
      <w:bookmarkStart w:id="58" w:name="_Ref536528247"/>
      <w:r>
        <w:t xml:space="preserve">Table </w:t>
      </w:r>
      <w:fldSimple w:instr=" STYLEREF 1 \s ">
        <w:r>
          <w:rPr>
            <w:noProof/>
          </w:rPr>
          <w:t>7</w:t>
        </w:r>
      </w:fldSimple>
      <w:r>
        <w:noBreakHyphen/>
      </w:r>
      <w:fldSimple w:instr=" SEQ Table \* ARABIC \s 1 ">
        <w:r>
          <w:rPr>
            <w:noProof/>
          </w:rPr>
          <w:t>5</w:t>
        </w:r>
      </w:fldSimple>
      <w:bookmarkEnd w:id="58"/>
      <w:r>
        <w:t>: Uranium NPDWR: Incremental Costs and Benefits for Alternative MCLs</w:t>
      </w:r>
    </w:p>
    <w:tbl>
      <w:tblPr>
        <w:tblW w:w="1293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307"/>
        <w:gridCol w:w="1332"/>
        <w:gridCol w:w="1393"/>
        <w:gridCol w:w="1407"/>
        <w:gridCol w:w="1393"/>
        <w:gridCol w:w="1393"/>
        <w:gridCol w:w="1505"/>
        <w:gridCol w:w="1650"/>
        <w:gridCol w:w="1550"/>
      </w:tblGrid>
      <w:tr w:rsidR="00101352" w:rsidRPr="00B2046D" w14:paraId="07D60D06" w14:textId="77777777" w:rsidTr="005553E8">
        <w:trPr>
          <w:cantSplit/>
          <w:trHeight w:val="1851"/>
        </w:trPr>
        <w:tc>
          <w:tcPr>
            <w:tcW w:w="1313" w:type="dxa"/>
            <w:tcBorders>
              <w:top w:val="double" w:sz="4" w:space="0" w:color="auto"/>
              <w:bottom w:val="double" w:sz="4" w:space="0" w:color="auto"/>
            </w:tcBorders>
            <w:shd w:val="clear" w:color="auto" w:fill="auto"/>
            <w:vAlign w:val="center"/>
            <w:hideMark/>
          </w:tcPr>
          <w:p w14:paraId="23D08D36" w14:textId="77777777" w:rsidR="00101352" w:rsidRPr="00B2046D" w:rsidRDefault="00101352" w:rsidP="005553E8">
            <w:pPr>
              <w:spacing w:line="240" w:lineRule="auto"/>
              <w:ind w:firstLine="0"/>
              <w:jc w:val="center"/>
              <w:rPr>
                <w:color w:val="000000"/>
              </w:rPr>
            </w:pPr>
            <w:r w:rsidRPr="00B2046D">
              <w:rPr>
                <w:color w:val="000000"/>
              </w:rPr>
              <w:t>Uranium MCL (</w:t>
            </w:r>
            <w:r>
              <w:rPr>
                <w:color w:val="000000"/>
              </w:rPr>
              <w:sym w:font="Symbol" w:char="F06D"/>
            </w:r>
            <w:r w:rsidRPr="00B2046D">
              <w:rPr>
                <w:color w:val="000000"/>
              </w:rPr>
              <w:t>g/L)*_</w:t>
            </w:r>
          </w:p>
        </w:tc>
        <w:tc>
          <w:tcPr>
            <w:tcW w:w="1330" w:type="dxa"/>
            <w:tcBorders>
              <w:top w:val="double" w:sz="4" w:space="0" w:color="auto"/>
              <w:bottom w:val="double" w:sz="4" w:space="0" w:color="auto"/>
            </w:tcBorders>
            <w:shd w:val="clear" w:color="auto" w:fill="auto"/>
            <w:vAlign w:val="center"/>
            <w:hideMark/>
          </w:tcPr>
          <w:p w14:paraId="12C61554" w14:textId="77777777" w:rsidR="00101352" w:rsidRPr="00B2046D" w:rsidRDefault="00101352" w:rsidP="005553E8">
            <w:pPr>
              <w:spacing w:line="240" w:lineRule="auto"/>
              <w:ind w:firstLine="0"/>
              <w:jc w:val="center"/>
              <w:rPr>
                <w:color w:val="000000"/>
              </w:rPr>
            </w:pPr>
            <w:r w:rsidRPr="00B2046D">
              <w:rPr>
                <w:color w:val="000000"/>
              </w:rPr>
              <w:t>Exposure Change (</w:t>
            </w:r>
            <w:r>
              <w:rPr>
                <w:color w:val="000000"/>
              </w:rPr>
              <w:sym w:font="Symbol" w:char="F06D"/>
            </w:r>
            <w:r w:rsidRPr="00B2046D">
              <w:rPr>
                <w:color w:val="000000"/>
              </w:rPr>
              <w:t>g/L)*</w:t>
            </w:r>
          </w:p>
        </w:tc>
        <w:tc>
          <w:tcPr>
            <w:tcW w:w="1392" w:type="dxa"/>
            <w:tcBorders>
              <w:top w:val="double" w:sz="4" w:space="0" w:color="auto"/>
              <w:bottom w:val="double" w:sz="4" w:space="0" w:color="auto"/>
            </w:tcBorders>
            <w:shd w:val="clear" w:color="auto" w:fill="auto"/>
            <w:vAlign w:val="center"/>
            <w:hideMark/>
          </w:tcPr>
          <w:p w14:paraId="542D00A5" w14:textId="77777777" w:rsidR="00101352" w:rsidRPr="00B2046D" w:rsidRDefault="00101352" w:rsidP="005553E8">
            <w:pPr>
              <w:spacing w:line="240" w:lineRule="auto"/>
              <w:ind w:firstLine="0"/>
              <w:jc w:val="center"/>
              <w:rPr>
                <w:color w:val="000000"/>
              </w:rPr>
            </w:pPr>
            <w:r w:rsidRPr="00B2046D">
              <w:rPr>
                <w:color w:val="000000"/>
              </w:rPr>
              <w:t>Incremental Annual Cancer Cases Avoided*</w:t>
            </w:r>
          </w:p>
        </w:tc>
        <w:tc>
          <w:tcPr>
            <w:tcW w:w="1406" w:type="dxa"/>
            <w:tcBorders>
              <w:top w:val="double" w:sz="4" w:space="0" w:color="auto"/>
              <w:bottom w:val="double" w:sz="4" w:space="0" w:color="auto"/>
            </w:tcBorders>
            <w:shd w:val="clear" w:color="auto" w:fill="auto"/>
            <w:vAlign w:val="center"/>
            <w:hideMark/>
          </w:tcPr>
          <w:p w14:paraId="5D7E9E92" w14:textId="77777777" w:rsidR="00101352" w:rsidRPr="00B2046D" w:rsidRDefault="00101352" w:rsidP="005553E8">
            <w:pPr>
              <w:spacing w:line="240" w:lineRule="auto"/>
              <w:ind w:firstLine="0"/>
              <w:jc w:val="center"/>
              <w:rPr>
                <w:color w:val="000000"/>
              </w:rPr>
            </w:pPr>
            <w:r w:rsidRPr="00B2046D">
              <w:rPr>
                <w:color w:val="000000"/>
              </w:rPr>
              <w:t>Incremental Annual Compliance Costs</w:t>
            </w:r>
            <w:r w:rsidRPr="00B2046D">
              <w:rPr>
                <w:color w:val="000000"/>
              </w:rPr>
              <w:br/>
              <w:t>($M)*</w:t>
            </w:r>
          </w:p>
        </w:tc>
        <w:tc>
          <w:tcPr>
            <w:tcW w:w="1392" w:type="dxa"/>
            <w:tcBorders>
              <w:top w:val="double" w:sz="4" w:space="0" w:color="auto"/>
              <w:bottom w:val="double" w:sz="4" w:space="0" w:color="auto"/>
            </w:tcBorders>
            <w:shd w:val="clear" w:color="auto" w:fill="auto"/>
            <w:vAlign w:val="center"/>
            <w:hideMark/>
          </w:tcPr>
          <w:p w14:paraId="5D961EB4" w14:textId="77777777" w:rsidR="00101352" w:rsidRPr="00B2046D" w:rsidRDefault="00101352" w:rsidP="005553E8">
            <w:pPr>
              <w:spacing w:line="240" w:lineRule="auto"/>
              <w:ind w:firstLine="0"/>
              <w:jc w:val="center"/>
              <w:rPr>
                <w:color w:val="000000"/>
              </w:rPr>
            </w:pPr>
            <w:r w:rsidRPr="00B2046D">
              <w:rPr>
                <w:color w:val="000000"/>
              </w:rPr>
              <w:t>Incremental Annual Monetized Cancer Benefits ($M)*</w:t>
            </w:r>
          </w:p>
        </w:tc>
        <w:tc>
          <w:tcPr>
            <w:tcW w:w="1392" w:type="dxa"/>
            <w:tcBorders>
              <w:top w:val="double" w:sz="4" w:space="0" w:color="auto"/>
              <w:bottom w:val="double" w:sz="4" w:space="0" w:color="auto"/>
            </w:tcBorders>
            <w:shd w:val="clear" w:color="auto" w:fill="auto"/>
            <w:vAlign w:val="center"/>
            <w:hideMark/>
          </w:tcPr>
          <w:p w14:paraId="6324CD29" w14:textId="77777777" w:rsidR="00101352" w:rsidRPr="00B2046D" w:rsidRDefault="00101352" w:rsidP="005553E8">
            <w:pPr>
              <w:spacing w:line="240" w:lineRule="auto"/>
              <w:ind w:firstLine="0"/>
              <w:jc w:val="center"/>
              <w:rPr>
                <w:color w:val="000000"/>
              </w:rPr>
            </w:pPr>
            <w:r w:rsidRPr="00B2046D">
              <w:rPr>
                <w:color w:val="000000"/>
              </w:rPr>
              <w:t xml:space="preserve">Incremental Number of </w:t>
            </w:r>
            <w:r>
              <w:rPr>
                <w:color w:val="000000"/>
              </w:rPr>
              <w:t xml:space="preserve">Community Water Systems </w:t>
            </w:r>
            <w:r w:rsidRPr="00B2046D">
              <w:rPr>
                <w:color w:val="000000"/>
              </w:rPr>
              <w:t>Affected*</w:t>
            </w:r>
          </w:p>
        </w:tc>
        <w:tc>
          <w:tcPr>
            <w:tcW w:w="1505" w:type="dxa"/>
            <w:tcBorders>
              <w:top w:val="double" w:sz="4" w:space="0" w:color="auto"/>
              <w:bottom w:val="double" w:sz="4" w:space="0" w:color="auto"/>
            </w:tcBorders>
            <w:shd w:val="clear" w:color="auto" w:fill="auto"/>
            <w:vAlign w:val="center"/>
            <w:hideMark/>
          </w:tcPr>
          <w:p w14:paraId="15DF7BB5" w14:textId="77777777" w:rsidR="00101352" w:rsidRPr="00B2046D" w:rsidRDefault="00101352" w:rsidP="005553E8">
            <w:pPr>
              <w:spacing w:line="240" w:lineRule="auto"/>
              <w:ind w:firstLine="0"/>
              <w:jc w:val="center"/>
              <w:rPr>
                <w:color w:val="000000"/>
              </w:rPr>
            </w:pPr>
            <w:r w:rsidRPr="00B2046D">
              <w:rPr>
                <w:color w:val="000000"/>
              </w:rPr>
              <w:t>Average Cancer Cases</w:t>
            </w:r>
            <w:r>
              <w:rPr>
                <w:color w:val="000000"/>
              </w:rPr>
              <w:t xml:space="preserve"> per Community Water System</w:t>
            </w:r>
          </w:p>
        </w:tc>
        <w:tc>
          <w:tcPr>
            <w:tcW w:w="1650" w:type="dxa"/>
            <w:tcBorders>
              <w:top w:val="double" w:sz="4" w:space="0" w:color="auto"/>
              <w:bottom w:val="double" w:sz="4" w:space="0" w:color="auto"/>
            </w:tcBorders>
            <w:shd w:val="clear" w:color="auto" w:fill="auto"/>
            <w:vAlign w:val="center"/>
            <w:hideMark/>
          </w:tcPr>
          <w:p w14:paraId="3999921D" w14:textId="77777777" w:rsidR="00101352" w:rsidRPr="00B2046D" w:rsidRDefault="00101352" w:rsidP="005553E8">
            <w:pPr>
              <w:spacing w:line="240" w:lineRule="auto"/>
              <w:ind w:firstLine="0"/>
              <w:jc w:val="center"/>
              <w:rPr>
                <w:color w:val="000000"/>
              </w:rPr>
            </w:pPr>
            <w:r w:rsidRPr="00B2046D">
              <w:rPr>
                <w:color w:val="000000"/>
              </w:rPr>
              <w:t>Average Cost/CWS†</w:t>
            </w:r>
          </w:p>
        </w:tc>
        <w:tc>
          <w:tcPr>
            <w:tcW w:w="1550" w:type="dxa"/>
            <w:tcBorders>
              <w:top w:val="double" w:sz="4" w:space="0" w:color="auto"/>
              <w:bottom w:val="double" w:sz="4" w:space="0" w:color="auto"/>
            </w:tcBorders>
            <w:shd w:val="clear" w:color="auto" w:fill="auto"/>
            <w:vAlign w:val="center"/>
            <w:hideMark/>
          </w:tcPr>
          <w:p w14:paraId="538747B0" w14:textId="77777777" w:rsidR="00101352" w:rsidRPr="00B2046D" w:rsidRDefault="00101352" w:rsidP="005553E8">
            <w:pPr>
              <w:spacing w:line="240" w:lineRule="auto"/>
              <w:ind w:firstLine="0"/>
              <w:rPr>
                <w:color w:val="000000"/>
              </w:rPr>
            </w:pPr>
            <w:r w:rsidRPr="00B2046D">
              <w:rPr>
                <w:color w:val="000000"/>
              </w:rPr>
              <w:t>Average Incremental  Costs/Cancer Case ($M) †</w:t>
            </w:r>
          </w:p>
        </w:tc>
      </w:tr>
      <w:tr w:rsidR="00101352" w:rsidRPr="00B2046D" w14:paraId="292C6423" w14:textId="77777777" w:rsidTr="005553E8">
        <w:trPr>
          <w:trHeight w:val="320"/>
        </w:trPr>
        <w:tc>
          <w:tcPr>
            <w:tcW w:w="1313" w:type="dxa"/>
            <w:tcBorders>
              <w:top w:val="double" w:sz="4" w:space="0" w:color="auto"/>
            </w:tcBorders>
            <w:shd w:val="clear" w:color="auto" w:fill="auto"/>
            <w:noWrap/>
            <w:tcMar>
              <w:left w:w="0" w:type="dxa"/>
              <w:right w:w="173" w:type="dxa"/>
            </w:tcMar>
            <w:vAlign w:val="center"/>
            <w:hideMark/>
          </w:tcPr>
          <w:p w14:paraId="39BE49BD" w14:textId="77777777" w:rsidR="00101352" w:rsidRPr="00B2046D" w:rsidRDefault="00101352" w:rsidP="005553E8">
            <w:pPr>
              <w:spacing w:line="240" w:lineRule="auto"/>
              <w:ind w:firstLine="0"/>
              <w:jc w:val="right"/>
              <w:rPr>
                <w:color w:val="000000"/>
              </w:rPr>
            </w:pPr>
            <w:r w:rsidRPr="00B2046D">
              <w:rPr>
                <w:color w:val="000000"/>
              </w:rPr>
              <w:t>80</w:t>
            </w:r>
          </w:p>
        </w:tc>
        <w:tc>
          <w:tcPr>
            <w:tcW w:w="1330" w:type="dxa"/>
            <w:tcBorders>
              <w:top w:val="double" w:sz="4" w:space="0" w:color="auto"/>
            </w:tcBorders>
            <w:shd w:val="clear" w:color="auto" w:fill="auto"/>
            <w:noWrap/>
            <w:tcMar>
              <w:left w:w="0" w:type="dxa"/>
              <w:right w:w="173" w:type="dxa"/>
            </w:tcMar>
            <w:vAlign w:val="center"/>
            <w:hideMark/>
          </w:tcPr>
          <w:p w14:paraId="541FB818" w14:textId="77777777" w:rsidR="00101352" w:rsidRPr="00B2046D" w:rsidRDefault="00101352" w:rsidP="005553E8">
            <w:pPr>
              <w:spacing w:line="240" w:lineRule="auto"/>
              <w:ind w:firstLine="0"/>
              <w:jc w:val="right"/>
              <w:rPr>
                <w:color w:val="000000"/>
              </w:rPr>
            </w:pPr>
            <w:r w:rsidRPr="00B2046D">
              <w:rPr>
                <w:color w:val="000000"/>
              </w:rPr>
              <w:t>∞ to 80</w:t>
            </w:r>
          </w:p>
        </w:tc>
        <w:tc>
          <w:tcPr>
            <w:tcW w:w="1392" w:type="dxa"/>
            <w:tcBorders>
              <w:top w:val="double" w:sz="4" w:space="0" w:color="auto"/>
            </w:tcBorders>
            <w:shd w:val="clear" w:color="auto" w:fill="auto"/>
            <w:noWrap/>
            <w:tcMar>
              <w:left w:w="0" w:type="dxa"/>
              <w:right w:w="173" w:type="dxa"/>
            </w:tcMar>
            <w:vAlign w:val="center"/>
            <w:hideMark/>
          </w:tcPr>
          <w:p w14:paraId="5FE641CA" w14:textId="77777777" w:rsidR="00101352" w:rsidRPr="00B2046D" w:rsidRDefault="00101352" w:rsidP="005553E8">
            <w:pPr>
              <w:spacing w:line="240" w:lineRule="auto"/>
              <w:ind w:firstLine="0"/>
              <w:jc w:val="right"/>
              <w:rPr>
                <w:color w:val="000000"/>
              </w:rPr>
            </w:pPr>
            <w:r w:rsidRPr="00B2046D">
              <w:rPr>
                <w:color w:val="000000"/>
              </w:rPr>
              <w:t>0.5</w:t>
            </w:r>
          </w:p>
        </w:tc>
        <w:tc>
          <w:tcPr>
            <w:tcW w:w="1406" w:type="dxa"/>
            <w:tcBorders>
              <w:top w:val="double" w:sz="4" w:space="0" w:color="auto"/>
            </w:tcBorders>
            <w:shd w:val="clear" w:color="auto" w:fill="auto"/>
            <w:noWrap/>
            <w:tcMar>
              <w:left w:w="0" w:type="dxa"/>
              <w:right w:w="173" w:type="dxa"/>
            </w:tcMar>
            <w:vAlign w:val="center"/>
            <w:hideMark/>
          </w:tcPr>
          <w:p w14:paraId="1F76D0C1" w14:textId="77777777" w:rsidR="00101352" w:rsidRPr="00B2046D" w:rsidRDefault="00101352" w:rsidP="005553E8">
            <w:pPr>
              <w:spacing w:line="240" w:lineRule="auto"/>
              <w:ind w:firstLine="0"/>
              <w:jc w:val="right"/>
              <w:rPr>
                <w:color w:val="000000"/>
              </w:rPr>
            </w:pPr>
            <w:r w:rsidRPr="00B2046D">
              <w:rPr>
                <w:color w:val="000000"/>
              </w:rPr>
              <w:t xml:space="preserve"> $            16 </w:t>
            </w:r>
          </w:p>
        </w:tc>
        <w:tc>
          <w:tcPr>
            <w:tcW w:w="1392" w:type="dxa"/>
            <w:tcBorders>
              <w:top w:val="double" w:sz="4" w:space="0" w:color="auto"/>
            </w:tcBorders>
            <w:shd w:val="clear" w:color="auto" w:fill="auto"/>
            <w:noWrap/>
            <w:tcMar>
              <w:left w:w="0" w:type="dxa"/>
              <w:right w:w="173" w:type="dxa"/>
            </w:tcMar>
            <w:vAlign w:val="center"/>
            <w:hideMark/>
          </w:tcPr>
          <w:p w14:paraId="2C3344F2" w14:textId="77777777" w:rsidR="00101352" w:rsidRPr="00B2046D" w:rsidRDefault="00101352" w:rsidP="005553E8">
            <w:pPr>
              <w:spacing w:line="240" w:lineRule="auto"/>
              <w:ind w:firstLine="0"/>
              <w:jc w:val="right"/>
              <w:rPr>
                <w:color w:val="000000"/>
              </w:rPr>
            </w:pPr>
            <w:r w:rsidRPr="00B2046D">
              <w:rPr>
                <w:color w:val="000000"/>
              </w:rPr>
              <w:t xml:space="preserve"> $              2 </w:t>
            </w:r>
          </w:p>
        </w:tc>
        <w:tc>
          <w:tcPr>
            <w:tcW w:w="1392" w:type="dxa"/>
            <w:tcBorders>
              <w:top w:val="double" w:sz="4" w:space="0" w:color="auto"/>
            </w:tcBorders>
            <w:shd w:val="clear" w:color="auto" w:fill="auto"/>
            <w:noWrap/>
            <w:tcMar>
              <w:left w:w="0" w:type="dxa"/>
              <w:right w:w="173" w:type="dxa"/>
            </w:tcMar>
            <w:vAlign w:val="center"/>
            <w:hideMark/>
          </w:tcPr>
          <w:p w14:paraId="45E8C0AB" w14:textId="77777777" w:rsidR="00101352" w:rsidRPr="00B2046D" w:rsidRDefault="00101352" w:rsidP="005553E8">
            <w:pPr>
              <w:spacing w:line="240" w:lineRule="auto"/>
              <w:ind w:firstLine="0"/>
              <w:jc w:val="right"/>
              <w:rPr>
                <w:color w:val="000000"/>
              </w:rPr>
            </w:pPr>
            <w:r w:rsidRPr="00B2046D">
              <w:rPr>
                <w:color w:val="000000"/>
              </w:rPr>
              <w:t>100</w:t>
            </w:r>
          </w:p>
        </w:tc>
        <w:tc>
          <w:tcPr>
            <w:tcW w:w="1505" w:type="dxa"/>
            <w:tcBorders>
              <w:top w:val="double" w:sz="4" w:space="0" w:color="auto"/>
            </w:tcBorders>
            <w:shd w:val="clear" w:color="auto" w:fill="auto"/>
            <w:noWrap/>
            <w:tcMar>
              <w:left w:w="0" w:type="dxa"/>
              <w:right w:w="173" w:type="dxa"/>
            </w:tcMar>
            <w:vAlign w:val="center"/>
            <w:hideMark/>
          </w:tcPr>
          <w:p w14:paraId="0D344846" w14:textId="77777777" w:rsidR="00101352" w:rsidRPr="00B2046D" w:rsidRDefault="00101352" w:rsidP="005553E8">
            <w:pPr>
              <w:spacing w:line="240" w:lineRule="auto"/>
              <w:ind w:firstLine="0"/>
              <w:jc w:val="right"/>
              <w:rPr>
                <w:color w:val="000000"/>
              </w:rPr>
            </w:pPr>
            <w:r w:rsidRPr="00B2046D">
              <w:rPr>
                <w:color w:val="000000"/>
              </w:rPr>
              <w:t>0.0050</w:t>
            </w:r>
          </w:p>
        </w:tc>
        <w:tc>
          <w:tcPr>
            <w:tcW w:w="1650" w:type="dxa"/>
            <w:tcBorders>
              <w:top w:val="double" w:sz="4" w:space="0" w:color="auto"/>
            </w:tcBorders>
            <w:shd w:val="clear" w:color="auto" w:fill="auto"/>
            <w:noWrap/>
            <w:tcMar>
              <w:left w:w="0" w:type="dxa"/>
              <w:right w:w="173" w:type="dxa"/>
            </w:tcMar>
            <w:vAlign w:val="center"/>
            <w:hideMark/>
          </w:tcPr>
          <w:p w14:paraId="29C56B57" w14:textId="77777777" w:rsidR="00101352" w:rsidRPr="00B2046D" w:rsidRDefault="00101352" w:rsidP="005553E8">
            <w:pPr>
              <w:spacing w:line="240" w:lineRule="auto"/>
              <w:ind w:firstLine="0"/>
              <w:jc w:val="right"/>
              <w:rPr>
                <w:color w:val="000000"/>
              </w:rPr>
            </w:pPr>
            <w:r w:rsidRPr="00B2046D">
              <w:rPr>
                <w:color w:val="000000"/>
              </w:rPr>
              <w:t xml:space="preserve"> $        160,000 </w:t>
            </w:r>
          </w:p>
        </w:tc>
        <w:tc>
          <w:tcPr>
            <w:tcW w:w="1550" w:type="dxa"/>
            <w:tcBorders>
              <w:top w:val="double" w:sz="4" w:space="0" w:color="auto"/>
            </w:tcBorders>
            <w:shd w:val="clear" w:color="auto" w:fill="auto"/>
            <w:noWrap/>
            <w:tcMar>
              <w:left w:w="0" w:type="dxa"/>
              <w:right w:w="173" w:type="dxa"/>
            </w:tcMar>
            <w:vAlign w:val="center"/>
            <w:hideMark/>
          </w:tcPr>
          <w:p w14:paraId="15B3AE24" w14:textId="77777777" w:rsidR="00101352" w:rsidRPr="00B2046D" w:rsidRDefault="00101352" w:rsidP="005553E8">
            <w:pPr>
              <w:spacing w:line="240" w:lineRule="auto"/>
              <w:ind w:firstLine="0"/>
              <w:jc w:val="right"/>
              <w:rPr>
                <w:color w:val="000000"/>
              </w:rPr>
            </w:pPr>
            <w:r w:rsidRPr="00B2046D">
              <w:rPr>
                <w:color w:val="000000"/>
              </w:rPr>
              <w:t xml:space="preserve"> $               32 </w:t>
            </w:r>
          </w:p>
        </w:tc>
      </w:tr>
      <w:tr w:rsidR="00101352" w:rsidRPr="00B2046D" w14:paraId="1BB61D97" w14:textId="77777777" w:rsidTr="005553E8">
        <w:trPr>
          <w:trHeight w:val="320"/>
        </w:trPr>
        <w:tc>
          <w:tcPr>
            <w:tcW w:w="1313" w:type="dxa"/>
            <w:shd w:val="clear" w:color="auto" w:fill="auto"/>
            <w:noWrap/>
            <w:tcMar>
              <w:left w:w="0" w:type="dxa"/>
              <w:right w:w="173" w:type="dxa"/>
            </w:tcMar>
            <w:vAlign w:val="center"/>
            <w:hideMark/>
          </w:tcPr>
          <w:p w14:paraId="270A4A04" w14:textId="77777777" w:rsidR="00101352" w:rsidRPr="00B2046D" w:rsidRDefault="00101352" w:rsidP="005553E8">
            <w:pPr>
              <w:spacing w:line="240" w:lineRule="auto"/>
              <w:ind w:firstLine="0"/>
              <w:jc w:val="right"/>
              <w:rPr>
                <w:color w:val="000000"/>
              </w:rPr>
            </w:pPr>
            <w:r w:rsidRPr="00B2046D">
              <w:rPr>
                <w:color w:val="000000"/>
              </w:rPr>
              <w:t>30</w:t>
            </w:r>
          </w:p>
        </w:tc>
        <w:tc>
          <w:tcPr>
            <w:tcW w:w="1330" w:type="dxa"/>
            <w:shd w:val="clear" w:color="auto" w:fill="auto"/>
            <w:noWrap/>
            <w:tcMar>
              <w:left w:w="0" w:type="dxa"/>
              <w:right w:w="173" w:type="dxa"/>
            </w:tcMar>
            <w:vAlign w:val="center"/>
            <w:hideMark/>
          </w:tcPr>
          <w:p w14:paraId="50C630E0" w14:textId="77777777" w:rsidR="00101352" w:rsidRPr="00B2046D" w:rsidRDefault="00101352" w:rsidP="005553E8">
            <w:pPr>
              <w:spacing w:line="240" w:lineRule="auto"/>
              <w:ind w:firstLine="0"/>
              <w:jc w:val="right"/>
              <w:rPr>
                <w:color w:val="000000"/>
              </w:rPr>
            </w:pPr>
            <w:r w:rsidRPr="00B2046D">
              <w:rPr>
                <w:color w:val="000000"/>
              </w:rPr>
              <w:t>80 to 30</w:t>
            </w:r>
          </w:p>
        </w:tc>
        <w:tc>
          <w:tcPr>
            <w:tcW w:w="1392" w:type="dxa"/>
            <w:shd w:val="clear" w:color="auto" w:fill="auto"/>
            <w:noWrap/>
            <w:tcMar>
              <w:left w:w="0" w:type="dxa"/>
              <w:right w:w="173" w:type="dxa"/>
            </w:tcMar>
            <w:vAlign w:val="center"/>
            <w:hideMark/>
          </w:tcPr>
          <w:p w14:paraId="5E4DEEC5" w14:textId="77777777" w:rsidR="00101352" w:rsidRPr="00B2046D" w:rsidRDefault="00101352" w:rsidP="005553E8">
            <w:pPr>
              <w:spacing w:line="240" w:lineRule="auto"/>
              <w:ind w:firstLine="0"/>
              <w:jc w:val="right"/>
              <w:rPr>
                <w:color w:val="000000"/>
              </w:rPr>
            </w:pPr>
            <w:r w:rsidRPr="00B2046D">
              <w:rPr>
                <w:color w:val="000000"/>
              </w:rPr>
              <w:t>0.4</w:t>
            </w:r>
          </w:p>
        </w:tc>
        <w:tc>
          <w:tcPr>
            <w:tcW w:w="1406" w:type="dxa"/>
            <w:shd w:val="clear" w:color="auto" w:fill="auto"/>
            <w:noWrap/>
            <w:tcMar>
              <w:left w:w="0" w:type="dxa"/>
              <w:right w:w="173" w:type="dxa"/>
            </w:tcMar>
            <w:vAlign w:val="center"/>
            <w:hideMark/>
          </w:tcPr>
          <w:p w14:paraId="6ECDDCE5" w14:textId="77777777" w:rsidR="00101352" w:rsidRPr="00B2046D" w:rsidRDefault="00101352" w:rsidP="005553E8">
            <w:pPr>
              <w:spacing w:line="240" w:lineRule="auto"/>
              <w:ind w:firstLine="0"/>
              <w:jc w:val="right"/>
              <w:rPr>
                <w:color w:val="000000"/>
              </w:rPr>
            </w:pPr>
            <w:r w:rsidRPr="00B2046D">
              <w:rPr>
                <w:color w:val="000000"/>
              </w:rPr>
              <w:t xml:space="preserve"> $            38 </w:t>
            </w:r>
          </w:p>
        </w:tc>
        <w:tc>
          <w:tcPr>
            <w:tcW w:w="1392" w:type="dxa"/>
            <w:shd w:val="clear" w:color="auto" w:fill="auto"/>
            <w:noWrap/>
            <w:tcMar>
              <w:left w:w="0" w:type="dxa"/>
              <w:right w:w="173" w:type="dxa"/>
            </w:tcMar>
            <w:vAlign w:val="center"/>
            <w:hideMark/>
          </w:tcPr>
          <w:p w14:paraId="6AA03B85" w14:textId="77777777" w:rsidR="00101352" w:rsidRPr="00B2046D" w:rsidRDefault="00101352" w:rsidP="005553E8">
            <w:pPr>
              <w:spacing w:line="240" w:lineRule="auto"/>
              <w:ind w:firstLine="0"/>
              <w:jc w:val="right"/>
              <w:rPr>
                <w:color w:val="000000"/>
              </w:rPr>
            </w:pPr>
            <w:r w:rsidRPr="00B2046D">
              <w:rPr>
                <w:color w:val="000000"/>
              </w:rPr>
              <w:t xml:space="preserve"> $              1 </w:t>
            </w:r>
          </w:p>
        </w:tc>
        <w:tc>
          <w:tcPr>
            <w:tcW w:w="1392" w:type="dxa"/>
            <w:shd w:val="clear" w:color="auto" w:fill="auto"/>
            <w:noWrap/>
            <w:tcMar>
              <w:left w:w="0" w:type="dxa"/>
              <w:right w:w="173" w:type="dxa"/>
            </w:tcMar>
            <w:vAlign w:val="center"/>
            <w:hideMark/>
          </w:tcPr>
          <w:p w14:paraId="201840C0" w14:textId="77777777" w:rsidR="00101352" w:rsidRPr="00B2046D" w:rsidRDefault="00101352" w:rsidP="005553E8">
            <w:pPr>
              <w:spacing w:line="240" w:lineRule="auto"/>
              <w:ind w:firstLine="0"/>
              <w:jc w:val="right"/>
              <w:rPr>
                <w:color w:val="000000"/>
              </w:rPr>
            </w:pPr>
            <w:r w:rsidRPr="00B2046D">
              <w:rPr>
                <w:color w:val="000000"/>
              </w:rPr>
              <w:t>400</w:t>
            </w:r>
          </w:p>
        </w:tc>
        <w:tc>
          <w:tcPr>
            <w:tcW w:w="1505" w:type="dxa"/>
            <w:shd w:val="clear" w:color="auto" w:fill="auto"/>
            <w:noWrap/>
            <w:tcMar>
              <w:left w:w="0" w:type="dxa"/>
              <w:right w:w="173" w:type="dxa"/>
            </w:tcMar>
            <w:vAlign w:val="center"/>
            <w:hideMark/>
          </w:tcPr>
          <w:p w14:paraId="5D78BAA6" w14:textId="77777777" w:rsidR="00101352" w:rsidRPr="00B2046D" w:rsidRDefault="00101352" w:rsidP="005553E8">
            <w:pPr>
              <w:spacing w:line="240" w:lineRule="auto"/>
              <w:ind w:firstLine="0"/>
              <w:jc w:val="right"/>
              <w:rPr>
                <w:color w:val="000000"/>
              </w:rPr>
            </w:pPr>
            <w:r w:rsidRPr="00B2046D">
              <w:rPr>
                <w:color w:val="000000"/>
              </w:rPr>
              <w:t>0.0010</w:t>
            </w:r>
          </w:p>
        </w:tc>
        <w:tc>
          <w:tcPr>
            <w:tcW w:w="1650" w:type="dxa"/>
            <w:shd w:val="clear" w:color="auto" w:fill="auto"/>
            <w:noWrap/>
            <w:tcMar>
              <w:left w:w="0" w:type="dxa"/>
              <w:right w:w="173" w:type="dxa"/>
            </w:tcMar>
            <w:vAlign w:val="center"/>
            <w:hideMark/>
          </w:tcPr>
          <w:p w14:paraId="7B9D5548" w14:textId="77777777" w:rsidR="00101352" w:rsidRPr="00B2046D" w:rsidRDefault="00101352" w:rsidP="005553E8">
            <w:pPr>
              <w:spacing w:line="240" w:lineRule="auto"/>
              <w:ind w:firstLine="0"/>
              <w:jc w:val="right"/>
              <w:rPr>
                <w:color w:val="000000"/>
              </w:rPr>
            </w:pPr>
            <w:r w:rsidRPr="00B2046D">
              <w:rPr>
                <w:color w:val="000000"/>
              </w:rPr>
              <w:t xml:space="preserve"> $          95,000 </w:t>
            </w:r>
          </w:p>
        </w:tc>
        <w:tc>
          <w:tcPr>
            <w:tcW w:w="1550" w:type="dxa"/>
            <w:shd w:val="clear" w:color="auto" w:fill="auto"/>
            <w:noWrap/>
            <w:tcMar>
              <w:left w:w="0" w:type="dxa"/>
              <w:right w:w="173" w:type="dxa"/>
            </w:tcMar>
            <w:vAlign w:val="center"/>
            <w:hideMark/>
          </w:tcPr>
          <w:p w14:paraId="5DDDA956" w14:textId="77777777" w:rsidR="00101352" w:rsidRPr="00B2046D" w:rsidRDefault="00101352" w:rsidP="005553E8">
            <w:pPr>
              <w:spacing w:line="240" w:lineRule="auto"/>
              <w:ind w:firstLine="0"/>
              <w:jc w:val="right"/>
              <w:rPr>
                <w:color w:val="000000"/>
              </w:rPr>
            </w:pPr>
            <w:r w:rsidRPr="00B2046D">
              <w:rPr>
                <w:color w:val="000000"/>
              </w:rPr>
              <w:t xml:space="preserve"> $               95 </w:t>
            </w:r>
          </w:p>
        </w:tc>
      </w:tr>
      <w:tr w:rsidR="00101352" w:rsidRPr="00B2046D" w14:paraId="62CD04E0" w14:textId="77777777" w:rsidTr="005553E8">
        <w:trPr>
          <w:trHeight w:val="340"/>
        </w:trPr>
        <w:tc>
          <w:tcPr>
            <w:tcW w:w="1313" w:type="dxa"/>
            <w:tcBorders>
              <w:bottom w:val="double" w:sz="4" w:space="0" w:color="auto"/>
            </w:tcBorders>
            <w:shd w:val="clear" w:color="auto" w:fill="auto"/>
            <w:noWrap/>
            <w:tcMar>
              <w:left w:w="0" w:type="dxa"/>
              <w:right w:w="173" w:type="dxa"/>
            </w:tcMar>
            <w:vAlign w:val="center"/>
            <w:hideMark/>
          </w:tcPr>
          <w:p w14:paraId="3499D910" w14:textId="77777777" w:rsidR="00101352" w:rsidRPr="00B2046D" w:rsidRDefault="00101352" w:rsidP="005553E8">
            <w:pPr>
              <w:spacing w:line="240" w:lineRule="auto"/>
              <w:ind w:firstLine="0"/>
              <w:jc w:val="right"/>
              <w:rPr>
                <w:color w:val="000000"/>
              </w:rPr>
            </w:pPr>
            <w:r w:rsidRPr="00B2046D">
              <w:rPr>
                <w:color w:val="000000"/>
              </w:rPr>
              <w:t>20</w:t>
            </w:r>
          </w:p>
        </w:tc>
        <w:tc>
          <w:tcPr>
            <w:tcW w:w="1330" w:type="dxa"/>
            <w:tcBorders>
              <w:bottom w:val="double" w:sz="4" w:space="0" w:color="auto"/>
            </w:tcBorders>
            <w:shd w:val="clear" w:color="auto" w:fill="auto"/>
            <w:noWrap/>
            <w:tcMar>
              <w:left w:w="0" w:type="dxa"/>
              <w:right w:w="173" w:type="dxa"/>
            </w:tcMar>
            <w:vAlign w:val="center"/>
            <w:hideMark/>
          </w:tcPr>
          <w:p w14:paraId="0D28FEED" w14:textId="77777777" w:rsidR="00101352" w:rsidRPr="00B2046D" w:rsidRDefault="00101352" w:rsidP="005553E8">
            <w:pPr>
              <w:spacing w:line="240" w:lineRule="auto"/>
              <w:ind w:firstLine="0"/>
              <w:jc w:val="right"/>
              <w:rPr>
                <w:color w:val="000000"/>
              </w:rPr>
            </w:pPr>
            <w:r w:rsidRPr="00B2046D">
              <w:rPr>
                <w:color w:val="000000"/>
              </w:rPr>
              <w:t>30 to 20</w:t>
            </w:r>
          </w:p>
        </w:tc>
        <w:tc>
          <w:tcPr>
            <w:tcW w:w="1392" w:type="dxa"/>
            <w:tcBorders>
              <w:bottom w:val="double" w:sz="4" w:space="0" w:color="auto"/>
            </w:tcBorders>
            <w:shd w:val="clear" w:color="auto" w:fill="auto"/>
            <w:noWrap/>
            <w:tcMar>
              <w:left w:w="0" w:type="dxa"/>
              <w:right w:w="173" w:type="dxa"/>
            </w:tcMar>
            <w:vAlign w:val="center"/>
            <w:hideMark/>
          </w:tcPr>
          <w:p w14:paraId="78C881D7" w14:textId="77777777" w:rsidR="00101352" w:rsidRPr="00B2046D" w:rsidRDefault="00101352" w:rsidP="005553E8">
            <w:pPr>
              <w:spacing w:line="240" w:lineRule="auto"/>
              <w:ind w:firstLine="0"/>
              <w:jc w:val="right"/>
              <w:rPr>
                <w:color w:val="000000"/>
              </w:rPr>
            </w:pPr>
            <w:r w:rsidRPr="00B2046D">
              <w:rPr>
                <w:color w:val="000000"/>
              </w:rPr>
              <w:t>0.2</w:t>
            </w:r>
          </w:p>
        </w:tc>
        <w:tc>
          <w:tcPr>
            <w:tcW w:w="1406" w:type="dxa"/>
            <w:tcBorders>
              <w:bottom w:val="double" w:sz="4" w:space="0" w:color="auto"/>
            </w:tcBorders>
            <w:shd w:val="clear" w:color="auto" w:fill="auto"/>
            <w:noWrap/>
            <w:tcMar>
              <w:left w:w="0" w:type="dxa"/>
              <w:right w:w="173" w:type="dxa"/>
            </w:tcMar>
            <w:vAlign w:val="center"/>
            <w:hideMark/>
          </w:tcPr>
          <w:p w14:paraId="3F2A1AB4" w14:textId="77777777" w:rsidR="00101352" w:rsidRPr="00B2046D" w:rsidRDefault="00101352" w:rsidP="005553E8">
            <w:pPr>
              <w:spacing w:line="240" w:lineRule="auto"/>
              <w:ind w:firstLine="0"/>
              <w:jc w:val="right"/>
              <w:rPr>
                <w:color w:val="000000"/>
              </w:rPr>
            </w:pPr>
            <w:r w:rsidRPr="00B2046D">
              <w:rPr>
                <w:color w:val="000000"/>
              </w:rPr>
              <w:t xml:space="preserve"> $            39 </w:t>
            </w:r>
          </w:p>
        </w:tc>
        <w:tc>
          <w:tcPr>
            <w:tcW w:w="1392" w:type="dxa"/>
            <w:tcBorders>
              <w:bottom w:val="double" w:sz="4" w:space="0" w:color="auto"/>
            </w:tcBorders>
            <w:shd w:val="clear" w:color="auto" w:fill="auto"/>
            <w:noWrap/>
            <w:tcMar>
              <w:left w:w="0" w:type="dxa"/>
              <w:right w:w="173" w:type="dxa"/>
            </w:tcMar>
            <w:vAlign w:val="center"/>
            <w:hideMark/>
          </w:tcPr>
          <w:p w14:paraId="4D4F4022" w14:textId="77777777" w:rsidR="00101352" w:rsidRPr="00B2046D" w:rsidRDefault="00101352" w:rsidP="005553E8">
            <w:pPr>
              <w:spacing w:line="240" w:lineRule="auto"/>
              <w:ind w:firstLine="0"/>
              <w:jc w:val="right"/>
              <w:rPr>
                <w:color w:val="000000"/>
              </w:rPr>
            </w:pPr>
            <w:r w:rsidRPr="00B2046D">
              <w:rPr>
                <w:color w:val="000000"/>
              </w:rPr>
              <w:t xml:space="preserve"> $              1 </w:t>
            </w:r>
          </w:p>
        </w:tc>
        <w:tc>
          <w:tcPr>
            <w:tcW w:w="1392" w:type="dxa"/>
            <w:tcBorders>
              <w:bottom w:val="double" w:sz="4" w:space="0" w:color="auto"/>
            </w:tcBorders>
            <w:shd w:val="clear" w:color="auto" w:fill="auto"/>
            <w:noWrap/>
            <w:tcMar>
              <w:left w:w="0" w:type="dxa"/>
              <w:right w:w="173" w:type="dxa"/>
            </w:tcMar>
            <w:vAlign w:val="center"/>
            <w:hideMark/>
          </w:tcPr>
          <w:p w14:paraId="745C42E6" w14:textId="77777777" w:rsidR="00101352" w:rsidRPr="00B2046D" w:rsidRDefault="00101352" w:rsidP="005553E8">
            <w:pPr>
              <w:spacing w:line="240" w:lineRule="auto"/>
              <w:ind w:firstLine="0"/>
              <w:jc w:val="right"/>
              <w:rPr>
                <w:color w:val="000000"/>
              </w:rPr>
            </w:pPr>
            <w:r w:rsidRPr="00B2046D">
              <w:rPr>
                <w:color w:val="000000"/>
              </w:rPr>
              <w:t>290</w:t>
            </w:r>
          </w:p>
        </w:tc>
        <w:tc>
          <w:tcPr>
            <w:tcW w:w="1505" w:type="dxa"/>
            <w:tcBorders>
              <w:bottom w:val="double" w:sz="4" w:space="0" w:color="auto"/>
            </w:tcBorders>
            <w:shd w:val="clear" w:color="auto" w:fill="auto"/>
            <w:noWrap/>
            <w:tcMar>
              <w:left w:w="0" w:type="dxa"/>
              <w:right w:w="173" w:type="dxa"/>
            </w:tcMar>
            <w:vAlign w:val="center"/>
            <w:hideMark/>
          </w:tcPr>
          <w:p w14:paraId="127F56A3" w14:textId="77777777" w:rsidR="00101352" w:rsidRPr="00B2046D" w:rsidRDefault="00101352" w:rsidP="005553E8">
            <w:pPr>
              <w:spacing w:line="240" w:lineRule="auto"/>
              <w:ind w:firstLine="0"/>
              <w:jc w:val="right"/>
              <w:rPr>
                <w:color w:val="000000"/>
              </w:rPr>
            </w:pPr>
            <w:r w:rsidRPr="00B2046D">
              <w:rPr>
                <w:color w:val="000000"/>
              </w:rPr>
              <w:t>0.0007</w:t>
            </w:r>
          </w:p>
        </w:tc>
        <w:tc>
          <w:tcPr>
            <w:tcW w:w="1650" w:type="dxa"/>
            <w:tcBorders>
              <w:bottom w:val="double" w:sz="4" w:space="0" w:color="auto"/>
            </w:tcBorders>
            <w:shd w:val="clear" w:color="auto" w:fill="auto"/>
            <w:noWrap/>
            <w:tcMar>
              <w:left w:w="0" w:type="dxa"/>
              <w:right w:w="173" w:type="dxa"/>
            </w:tcMar>
            <w:vAlign w:val="center"/>
            <w:hideMark/>
          </w:tcPr>
          <w:p w14:paraId="3A2B600A" w14:textId="77777777" w:rsidR="00101352" w:rsidRPr="00B2046D" w:rsidRDefault="00101352" w:rsidP="005553E8">
            <w:pPr>
              <w:spacing w:line="240" w:lineRule="auto"/>
              <w:ind w:firstLine="0"/>
              <w:jc w:val="right"/>
              <w:rPr>
                <w:color w:val="000000"/>
              </w:rPr>
            </w:pPr>
            <w:r w:rsidRPr="00B2046D">
              <w:rPr>
                <w:color w:val="000000"/>
              </w:rPr>
              <w:t xml:space="preserve"> $        134,483 </w:t>
            </w:r>
          </w:p>
        </w:tc>
        <w:tc>
          <w:tcPr>
            <w:tcW w:w="1550" w:type="dxa"/>
            <w:tcBorders>
              <w:bottom w:val="double" w:sz="4" w:space="0" w:color="auto"/>
            </w:tcBorders>
            <w:shd w:val="clear" w:color="auto" w:fill="auto"/>
            <w:noWrap/>
            <w:tcMar>
              <w:left w:w="0" w:type="dxa"/>
              <w:right w:w="173" w:type="dxa"/>
            </w:tcMar>
            <w:vAlign w:val="center"/>
            <w:hideMark/>
          </w:tcPr>
          <w:p w14:paraId="2D103BA5" w14:textId="77777777" w:rsidR="00101352" w:rsidRPr="00B2046D" w:rsidRDefault="00101352" w:rsidP="005553E8">
            <w:pPr>
              <w:spacing w:line="240" w:lineRule="auto"/>
              <w:ind w:firstLine="0"/>
              <w:jc w:val="right"/>
              <w:rPr>
                <w:color w:val="000000"/>
              </w:rPr>
            </w:pPr>
            <w:r w:rsidRPr="00B2046D">
              <w:rPr>
                <w:color w:val="000000"/>
              </w:rPr>
              <w:t xml:space="preserve"> $             195 </w:t>
            </w:r>
          </w:p>
        </w:tc>
      </w:tr>
      <w:tr w:rsidR="00101352" w:rsidRPr="00B2046D" w14:paraId="4EC4F8D8" w14:textId="77777777" w:rsidTr="005553E8">
        <w:trPr>
          <w:trHeight w:val="340"/>
        </w:trPr>
        <w:tc>
          <w:tcPr>
            <w:tcW w:w="12930" w:type="dxa"/>
            <w:gridSpan w:val="9"/>
            <w:tcBorders>
              <w:bottom w:val="double" w:sz="4" w:space="0" w:color="auto"/>
            </w:tcBorders>
            <w:shd w:val="clear" w:color="auto" w:fill="auto"/>
            <w:noWrap/>
            <w:tcMar>
              <w:left w:w="0" w:type="dxa"/>
              <w:right w:w="173" w:type="dxa"/>
            </w:tcMar>
            <w:vAlign w:val="center"/>
          </w:tcPr>
          <w:p w14:paraId="6E4100B4" w14:textId="77777777" w:rsidR="00101352" w:rsidRPr="00B2046D" w:rsidRDefault="00101352" w:rsidP="005553E8">
            <w:pPr>
              <w:spacing w:line="240" w:lineRule="auto"/>
              <w:ind w:firstLine="0"/>
              <w:rPr>
                <w:color w:val="000000"/>
              </w:rPr>
            </w:pPr>
            <w:r w:rsidRPr="00B2046D">
              <w:rPr>
                <w:color w:val="000000"/>
              </w:rPr>
              <w:t xml:space="preserve">Incremental Costs and Benefits for Uranium MCLs of 30 </w:t>
            </w:r>
            <w:r w:rsidRPr="00B2046D">
              <w:rPr>
                <w:color w:val="000000"/>
              </w:rPr>
              <w:sym w:font="Symbol" w:char="F06D"/>
            </w:r>
            <w:r w:rsidRPr="00B2046D">
              <w:rPr>
                <w:color w:val="000000"/>
              </w:rPr>
              <w:t xml:space="preserve">g/L and 20 </w:t>
            </w:r>
            <w:r w:rsidRPr="00B2046D">
              <w:rPr>
                <w:color w:val="000000"/>
              </w:rPr>
              <w:sym w:font="Symbol" w:char="F06D"/>
            </w:r>
            <w:r w:rsidRPr="00B2046D">
              <w:rPr>
                <w:color w:val="000000"/>
              </w:rPr>
              <w:t>g/L only</w:t>
            </w:r>
          </w:p>
        </w:tc>
      </w:tr>
      <w:tr w:rsidR="00101352" w:rsidRPr="00B2046D" w14:paraId="158804C0" w14:textId="77777777" w:rsidTr="005553E8">
        <w:trPr>
          <w:trHeight w:val="340"/>
        </w:trPr>
        <w:tc>
          <w:tcPr>
            <w:tcW w:w="1313" w:type="dxa"/>
            <w:tcBorders>
              <w:bottom w:val="double" w:sz="4" w:space="0" w:color="auto"/>
            </w:tcBorders>
            <w:shd w:val="clear" w:color="auto" w:fill="auto"/>
            <w:noWrap/>
            <w:tcMar>
              <w:left w:w="0" w:type="dxa"/>
              <w:right w:w="173" w:type="dxa"/>
            </w:tcMar>
            <w:vAlign w:val="center"/>
          </w:tcPr>
          <w:p w14:paraId="758B4F41" w14:textId="77777777" w:rsidR="00101352" w:rsidRPr="00B2046D" w:rsidRDefault="00101352" w:rsidP="005553E8">
            <w:pPr>
              <w:spacing w:line="240" w:lineRule="auto"/>
              <w:ind w:firstLine="0"/>
              <w:jc w:val="right"/>
              <w:rPr>
                <w:color w:val="000000"/>
              </w:rPr>
            </w:pPr>
            <w:r w:rsidRPr="00B2046D">
              <w:rPr>
                <w:color w:val="000000"/>
              </w:rPr>
              <w:t>30</w:t>
            </w:r>
          </w:p>
        </w:tc>
        <w:tc>
          <w:tcPr>
            <w:tcW w:w="1330" w:type="dxa"/>
            <w:tcBorders>
              <w:bottom w:val="double" w:sz="4" w:space="0" w:color="auto"/>
            </w:tcBorders>
            <w:shd w:val="clear" w:color="auto" w:fill="auto"/>
            <w:noWrap/>
            <w:tcMar>
              <w:left w:w="0" w:type="dxa"/>
              <w:right w:w="173" w:type="dxa"/>
            </w:tcMar>
            <w:vAlign w:val="center"/>
          </w:tcPr>
          <w:p w14:paraId="7C6C7A2E" w14:textId="77777777" w:rsidR="00101352" w:rsidRPr="00B2046D" w:rsidRDefault="00101352" w:rsidP="005553E8">
            <w:pPr>
              <w:spacing w:line="240" w:lineRule="auto"/>
              <w:ind w:firstLine="0"/>
              <w:jc w:val="right"/>
              <w:rPr>
                <w:color w:val="000000"/>
              </w:rPr>
            </w:pPr>
            <w:r w:rsidRPr="00B2046D">
              <w:rPr>
                <w:color w:val="000000"/>
              </w:rPr>
              <w:t>∞ to 30</w:t>
            </w:r>
          </w:p>
        </w:tc>
        <w:tc>
          <w:tcPr>
            <w:tcW w:w="1392" w:type="dxa"/>
            <w:tcBorders>
              <w:bottom w:val="double" w:sz="4" w:space="0" w:color="auto"/>
            </w:tcBorders>
            <w:shd w:val="clear" w:color="auto" w:fill="auto"/>
            <w:noWrap/>
            <w:tcMar>
              <w:left w:w="0" w:type="dxa"/>
              <w:right w:w="173" w:type="dxa"/>
            </w:tcMar>
            <w:vAlign w:val="center"/>
          </w:tcPr>
          <w:p w14:paraId="6898236E" w14:textId="77777777" w:rsidR="00101352" w:rsidRPr="00B2046D" w:rsidRDefault="00101352" w:rsidP="005553E8">
            <w:pPr>
              <w:spacing w:line="240" w:lineRule="auto"/>
              <w:ind w:firstLine="0"/>
              <w:jc w:val="right"/>
              <w:rPr>
                <w:color w:val="000000"/>
              </w:rPr>
            </w:pPr>
            <w:r w:rsidRPr="00B2046D">
              <w:rPr>
                <w:color w:val="000000"/>
              </w:rPr>
              <w:t>0.8</w:t>
            </w:r>
          </w:p>
        </w:tc>
        <w:tc>
          <w:tcPr>
            <w:tcW w:w="1406" w:type="dxa"/>
            <w:tcBorders>
              <w:bottom w:val="double" w:sz="4" w:space="0" w:color="auto"/>
            </w:tcBorders>
            <w:shd w:val="clear" w:color="auto" w:fill="auto"/>
            <w:noWrap/>
            <w:tcMar>
              <w:left w:w="0" w:type="dxa"/>
              <w:right w:w="173" w:type="dxa"/>
            </w:tcMar>
            <w:vAlign w:val="center"/>
          </w:tcPr>
          <w:p w14:paraId="2F942261" w14:textId="77777777" w:rsidR="00101352" w:rsidRPr="00B2046D" w:rsidRDefault="00101352" w:rsidP="005553E8">
            <w:pPr>
              <w:spacing w:line="240" w:lineRule="auto"/>
              <w:ind w:firstLine="0"/>
              <w:jc w:val="right"/>
              <w:rPr>
                <w:color w:val="000000"/>
              </w:rPr>
            </w:pPr>
            <w:r w:rsidRPr="00B2046D">
              <w:rPr>
                <w:color w:val="000000"/>
              </w:rPr>
              <w:t xml:space="preserve"> $            54 </w:t>
            </w:r>
          </w:p>
        </w:tc>
        <w:tc>
          <w:tcPr>
            <w:tcW w:w="1392" w:type="dxa"/>
            <w:tcBorders>
              <w:bottom w:val="double" w:sz="4" w:space="0" w:color="auto"/>
            </w:tcBorders>
            <w:shd w:val="clear" w:color="auto" w:fill="auto"/>
            <w:noWrap/>
            <w:tcMar>
              <w:left w:w="0" w:type="dxa"/>
              <w:right w:w="173" w:type="dxa"/>
            </w:tcMar>
            <w:vAlign w:val="center"/>
          </w:tcPr>
          <w:p w14:paraId="60F7C0E6" w14:textId="77777777" w:rsidR="00101352" w:rsidRPr="00B2046D" w:rsidRDefault="00101352" w:rsidP="005553E8">
            <w:pPr>
              <w:spacing w:line="240" w:lineRule="auto"/>
              <w:ind w:firstLine="0"/>
              <w:jc w:val="right"/>
              <w:rPr>
                <w:color w:val="000000"/>
              </w:rPr>
            </w:pPr>
            <w:r w:rsidRPr="00B2046D">
              <w:rPr>
                <w:color w:val="000000"/>
              </w:rPr>
              <w:t xml:space="preserve"> $              3 </w:t>
            </w:r>
          </w:p>
        </w:tc>
        <w:tc>
          <w:tcPr>
            <w:tcW w:w="1392" w:type="dxa"/>
            <w:tcBorders>
              <w:bottom w:val="double" w:sz="4" w:space="0" w:color="auto"/>
            </w:tcBorders>
            <w:shd w:val="clear" w:color="auto" w:fill="auto"/>
            <w:noWrap/>
            <w:tcMar>
              <w:left w:w="0" w:type="dxa"/>
              <w:right w:w="173" w:type="dxa"/>
            </w:tcMar>
            <w:vAlign w:val="center"/>
          </w:tcPr>
          <w:p w14:paraId="1BB01358" w14:textId="77777777" w:rsidR="00101352" w:rsidRPr="00B2046D" w:rsidRDefault="00101352" w:rsidP="005553E8">
            <w:pPr>
              <w:spacing w:line="240" w:lineRule="auto"/>
              <w:ind w:firstLine="0"/>
              <w:jc w:val="right"/>
              <w:rPr>
                <w:color w:val="000000"/>
              </w:rPr>
            </w:pPr>
            <w:r w:rsidRPr="00B2046D">
              <w:rPr>
                <w:color w:val="000000"/>
              </w:rPr>
              <w:t>500</w:t>
            </w:r>
          </w:p>
        </w:tc>
        <w:tc>
          <w:tcPr>
            <w:tcW w:w="1505" w:type="dxa"/>
            <w:tcBorders>
              <w:bottom w:val="double" w:sz="4" w:space="0" w:color="auto"/>
            </w:tcBorders>
            <w:shd w:val="clear" w:color="auto" w:fill="auto"/>
            <w:noWrap/>
            <w:tcMar>
              <w:left w:w="0" w:type="dxa"/>
              <w:right w:w="173" w:type="dxa"/>
            </w:tcMar>
            <w:vAlign w:val="center"/>
          </w:tcPr>
          <w:p w14:paraId="4CE2DE00" w14:textId="77777777" w:rsidR="00101352" w:rsidRPr="00B2046D" w:rsidRDefault="00101352" w:rsidP="005553E8">
            <w:pPr>
              <w:spacing w:line="240" w:lineRule="auto"/>
              <w:ind w:firstLine="0"/>
              <w:jc w:val="right"/>
              <w:rPr>
                <w:color w:val="000000"/>
              </w:rPr>
            </w:pPr>
            <w:r w:rsidRPr="00B2046D">
              <w:rPr>
                <w:color w:val="000000"/>
              </w:rPr>
              <w:t>0.0016</w:t>
            </w:r>
          </w:p>
        </w:tc>
        <w:tc>
          <w:tcPr>
            <w:tcW w:w="1650" w:type="dxa"/>
            <w:tcBorders>
              <w:bottom w:val="double" w:sz="4" w:space="0" w:color="auto"/>
            </w:tcBorders>
            <w:shd w:val="clear" w:color="auto" w:fill="auto"/>
            <w:noWrap/>
            <w:tcMar>
              <w:left w:w="0" w:type="dxa"/>
              <w:right w:w="173" w:type="dxa"/>
            </w:tcMar>
            <w:vAlign w:val="center"/>
          </w:tcPr>
          <w:p w14:paraId="366B8755" w14:textId="77777777" w:rsidR="00101352" w:rsidRPr="00B2046D" w:rsidRDefault="00101352" w:rsidP="005553E8">
            <w:pPr>
              <w:spacing w:line="240" w:lineRule="auto"/>
              <w:ind w:firstLine="0"/>
              <w:jc w:val="right"/>
              <w:rPr>
                <w:color w:val="000000"/>
              </w:rPr>
            </w:pPr>
            <w:r w:rsidRPr="00B2046D">
              <w:rPr>
                <w:color w:val="000000"/>
              </w:rPr>
              <w:t xml:space="preserve"> $        108,000 </w:t>
            </w:r>
          </w:p>
        </w:tc>
        <w:tc>
          <w:tcPr>
            <w:tcW w:w="1550" w:type="dxa"/>
            <w:tcBorders>
              <w:bottom w:val="double" w:sz="4" w:space="0" w:color="auto"/>
            </w:tcBorders>
            <w:shd w:val="clear" w:color="auto" w:fill="auto"/>
            <w:noWrap/>
            <w:tcMar>
              <w:left w:w="0" w:type="dxa"/>
              <w:right w:w="173" w:type="dxa"/>
            </w:tcMar>
            <w:vAlign w:val="center"/>
          </w:tcPr>
          <w:p w14:paraId="56339FD8" w14:textId="77777777" w:rsidR="00101352" w:rsidRPr="00B2046D" w:rsidRDefault="00101352" w:rsidP="005553E8">
            <w:pPr>
              <w:spacing w:line="240" w:lineRule="auto"/>
              <w:ind w:firstLine="0"/>
              <w:jc w:val="right"/>
              <w:rPr>
                <w:color w:val="000000"/>
              </w:rPr>
            </w:pPr>
            <w:r w:rsidRPr="00B2046D">
              <w:rPr>
                <w:color w:val="000000"/>
              </w:rPr>
              <w:t xml:space="preserve"> $               68 </w:t>
            </w:r>
          </w:p>
        </w:tc>
      </w:tr>
      <w:tr w:rsidR="00101352" w:rsidRPr="00B2046D" w14:paraId="7EB2ED39" w14:textId="77777777" w:rsidTr="005553E8">
        <w:trPr>
          <w:trHeight w:val="340"/>
        </w:trPr>
        <w:tc>
          <w:tcPr>
            <w:tcW w:w="1313" w:type="dxa"/>
            <w:tcBorders>
              <w:bottom w:val="double" w:sz="4" w:space="0" w:color="auto"/>
            </w:tcBorders>
            <w:shd w:val="clear" w:color="auto" w:fill="auto"/>
            <w:noWrap/>
            <w:tcMar>
              <w:left w:w="0" w:type="dxa"/>
              <w:right w:w="173" w:type="dxa"/>
            </w:tcMar>
            <w:vAlign w:val="center"/>
          </w:tcPr>
          <w:p w14:paraId="1E2B0714" w14:textId="77777777" w:rsidR="00101352" w:rsidRPr="00B2046D" w:rsidRDefault="00101352" w:rsidP="005553E8">
            <w:pPr>
              <w:spacing w:line="240" w:lineRule="auto"/>
              <w:ind w:firstLine="0"/>
              <w:jc w:val="right"/>
              <w:rPr>
                <w:color w:val="000000"/>
              </w:rPr>
            </w:pPr>
            <w:r w:rsidRPr="00B2046D">
              <w:rPr>
                <w:color w:val="000000"/>
              </w:rPr>
              <w:t>20</w:t>
            </w:r>
          </w:p>
        </w:tc>
        <w:tc>
          <w:tcPr>
            <w:tcW w:w="1330" w:type="dxa"/>
            <w:tcBorders>
              <w:bottom w:val="double" w:sz="4" w:space="0" w:color="auto"/>
            </w:tcBorders>
            <w:shd w:val="clear" w:color="auto" w:fill="auto"/>
            <w:noWrap/>
            <w:tcMar>
              <w:left w:w="0" w:type="dxa"/>
              <w:right w:w="173" w:type="dxa"/>
            </w:tcMar>
            <w:vAlign w:val="center"/>
          </w:tcPr>
          <w:p w14:paraId="73BB4F1F" w14:textId="77777777" w:rsidR="00101352" w:rsidRPr="00B2046D" w:rsidRDefault="00101352" w:rsidP="005553E8">
            <w:pPr>
              <w:spacing w:line="240" w:lineRule="auto"/>
              <w:ind w:firstLine="0"/>
              <w:jc w:val="right"/>
              <w:rPr>
                <w:color w:val="000000"/>
              </w:rPr>
            </w:pPr>
            <w:r w:rsidRPr="00B2046D">
              <w:rPr>
                <w:color w:val="000000"/>
              </w:rPr>
              <w:t>30 to 20</w:t>
            </w:r>
          </w:p>
        </w:tc>
        <w:tc>
          <w:tcPr>
            <w:tcW w:w="1392" w:type="dxa"/>
            <w:tcBorders>
              <w:bottom w:val="double" w:sz="4" w:space="0" w:color="auto"/>
            </w:tcBorders>
            <w:shd w:val="clear" w:color="auto" w:fill="auto"/>
            <w:noWrap/>
            <w:tcMar>
              <w:left w:w="0" w:type="dxa"/>
              <w:right w:w="173" w:type="dxa"/>
            </w:tcMar>
            <w:vAlign w:val="center"/>
          </w:tcPr>
          <w:p w14:paraId="73D755B0" w14:textId="77777777" w:rsidR="00101352" w:rsidRPr="00B2046D" w:rsidRDefault="00101352" w:rsidP="005553E8">
            <w:pPr>
              <w:spacing w:line="240" w:lineRule="auto"/>
              <w:ind w:firstLine="0"/>
              <w:jc w:val="right"/>
              <w:rPr>
                <w:color w:val="000000"/>
              </w:rPr>
            </w:pPr>
            <w:r w:rsidRPr="00B2046D">
              <w:rPr>
                <w:color w:val="000000"/>
              </w:rPr>
              <w:t>0.2</w:t>
            </w:r>
          </w:p>
        </w:tc>
        <w:tc>
          <w:tcPr>
            <w:tcW w:w="1406" w:type="dxa"/>
            <w:tcBorders>
              <w:bottom w:val="double" w:sz="4" w:space="0" w:color="auto"/>
            </w:tcBorders>
            <w:shd w:val="clear" w:color="auto" w:fill="auto"/>
            <w:noWrap/>
            <w:tcMar>
              <w:left w:w="0" w:type="dxa"/>
              <w:right w:w="173" w:type="dxa"/>
            </w:tcMar>
            <w:vAlign w:val="center"/>
          </w:tcPr>
          <w:p w14:paraId="26FF43D7" w14:textId="77777777" w:rsidR="00101352" w:rsidRPr="00B2046D" w:rsidRDefault="00101352" w:rsidP="005553E8">
            <w:pPr>
              <w:spacing w:line="240" w:lineRule="auto"/>
              <w:ind w:firstLine="0"/>
              <w:jc w:val="right"/>
              <w:rPr>
                <w:color w:val="000000"/>
              </w:rPr>
            </w:pPr>
            <w:r w:rsidRPr="00B2046D">
              <w:rPr>
                <w:color w:val="000000"/>
              </w:rPr>
              <w:t xml:space="preserve"> $            39 </w:t>
            </w:r>
          </w:p>
        </w:tc>
        <w:tc>
          <w:tcPr>
            <w:tcW w:w="1392" w:type="dxa"/>
            <w:tcBorders>
              <w:bottom w:val="double" w:sz="4" w:space="0" w:color="auto"/>
            </w:tcBorders>
            <w:shd w:val="clear" w:color="auto" w:fill="auto"/>
            <w:noWrap/>
            <w:tcMar>
              <w:left w:w="0" w:type="dxa"/>
              <w:right w:w="173" w:type="dxa"/>
            </w:tcMar>
            <w:vAlign w:val="center"/>
          </w:tcPr>
          <w:p w14:paraId="29DA4F2C" w14:textId="77777777" w:rsidR="00101352" w:rsidRPr="00B2046D" w:rsidRDefault="00101352" w:rsidP="005553E8">
            <w:pPr>
              <w:spacing w:line="240" w:lineRule="auto"/>
              <w:ind w:firstLine="0"/>
              <w:jc w:val="right"/>
              <w:rPr>
                <w:color w:val="000000"/>
              </w:rPr>
            </w:pPr>
            <w:r w:rsidRPr="00B2046D">
              <w:rPr>
                <w:color w:val="000000"/>
              </w:rPr>
              <w:t xml:space="preserve"> $              1 </w:t>
            </w:r>
          </w:p>
        </w:tc>
        <w:tc>
          <w:tcPr>
            <w:tcW w:w="1392" w:type="dxa"/>
            <w:tcBorders>
              <w:bottom w:val="double" w:sz="4" w:space="0" w:color="auto"/>
            </w:tcBorders>
            <w:shd w:val="clear" w:color="auto" w:fill="auto"/>
            <w:noWrap/>
            <w:tcMar>
              <w:left w:w="0" w:type="dxa"/>
              <w:right w:w="173" w:type="dxa"/>
            </w:tcMar>
            <w:vAlign w:val="center"/>
          </w:tcPr>
          <w:p w14:paraId="371C0A13" w14:textId="77777777" w:rsidR="00101352" w:rsidRPr="00B2046D" w:rsidRDefault="00101352" w:rsidP="005553E8">
            <w:pPr>
              <w:spacing w:line="240" w:lineRule="auto"/>
              <w:ind w:firstLine="0"/>
              <w:jc w:val="right"/>
              <w:rPr>
                <w:color w:val="000000"/>
              </w:rPr>
            </w:pPr>
            <w:r w:rsidRPr="00B2046D">
              <w:rPr>
                <w:color w:val="000000"/>
              </w:rPr>
              <w:t>290</w:t>
            </w:r>
          </w:p>
        </w:tc>
        <w:tc>
          <w:tcPr>
            <w:tcW w:w="1505" w:type="dxa"/>
            <w:tcBorders>
              <w:bottom w:val="double" w:sz="4" w:space="0" w:color="auto"/>
            </w:tcBorders>
            <w:shd w:val="clear" w:color="auto" w:fill="auto"/>
            <w:noWrap/>
            <w:tcMar>
              <w:left w:w="0" w:type="dxa"/>
              <w:right w:w="173" w:type="dxa"/>
            </w:tcMar>
            <w:vAlign w:val="center"/>
          </w:tcPr>
          <w:p w14:paraId="49BB527E" w14:textId="77777777" w:rsidR="00101352" w:rsidRPr="00B2046D" w:rsidRDefault="00101352" w:rsidP="005553E8">
            <w:pPr>
              <w:spacing w:line="240" w:lineRule="auto"/>
              <w:ind w:firstLine="0"/>
              <w:jc w:val="right"/>
              <w:rPr>
                <w:color w:val="000000"/>
              </w:rPr>
            </w:pPr>
            <w:r w:rsidRPr="00B2046D">
              <w:rPr>
                <w:color w:val="000000"/>
              </w:rPr>
              <w:t>0.0007</w:t>
            </w:r>
          </w:p>
        </w:tc>
        <w:tc>
          <w:tcPr>
            <w:tcW w:w="1650" w:type="dxa"/>
            <w:tcBorders>
              <w:bottom w:val="double" w:sz="4" w:space="0" w:color="auto"/>
            </w:tcBorders>
            <w:shd w:val="clear" w:color="auto" w:fill="auto"/>
            <w:noWrap/>
            <w:tcMar>
              <w:left w:w="0" w:type="dxa"/>
              <w:right w:w="173" w:type="dxa"/>
            </w:tcMar>
            <w:vAlign w:val="center"/>
          </w:tcPr>
          <w:p w14:paraId="32589294" w14:textId="77777777" w:rsidR="00101352" w:rsidRPr="00B2046D" w:rsidRDefault="00101352" w:rsidP="005553E8">
            <w:pPr>
              <w:spacing w:line="240" w:lineRule="auto"/>
              <w:ind w:firstLine="0"/>
              <w:jc w:val="right"/>
              <w:rPr>
                <w:color w:val="000000"/>
              </w:rPr>
            </w:pPr>
            <w:r w:rsidRPr="00B2046D">
              <w:rPr>
                <w:color w:val="000000"/>
              </w:rPr>
              <w:t xml:space="preserve"> $        134,483 </w:t>
            </w:r>
          </w:p>
        </w:tc>
        <w:tc>
          <w:tcPr>
            <w:tcW w:w="1550" w:type="dxa"/>
            <w:tcBorders>
              <w:bottom w:val="double" w:sz="4" w:space="0" w:color="auto"/>
            </w:tcBorders>
            <w:shd w:val="clear" w:color="auto" w:fill="auto"/>
            <w:noWrap/>
            <w:tcMar>
              <w:left w:w="0" w:type="dxa"/>
              <w:right w:w="173" w:type="dxa"/>
            </w:tcMar>
            <w:vAlign w:val="center"/>
          </w:tcPr>
          <w:p w14:paraId="0AFBF356" w14:textId="77777777" w:rsidR="00101352" w:rsidRPr="00B2046D" w:rsidRDefault="00101352" w:rsidP="005553E8">
            <w:pPr>
              <w:spacing w:line="240" w:lineRule="auto"/>
              <w:ind w:firstLine="0"/>
              <w:jc w:val="right"/>
              <w:rPr>
                <w:color w:val="000000"/>
              </w:rPr>
            </w:pPr>
            <w:r w:rsidRPr="00B2046D">
              <w:rPr>
                <w:color w:val="000000"/>
              </w:rPr>
              <w:t xml:space="preserve"> $             195 </w:t>
            </w:r>
          </w:p>
        </w:tc>
      </w:tr>
      <w:tr w:rsidR="00101352" w:rsidRPr="00B2046D" w14:paraId="16430A0A" w14:textId="77777777" w:rsidTr="005553E8">
        <w:trPr>
          <w:trHeight w:val="340"/>
        </w:trPr>
        <w:tc>
          <w:tcPr>
            <w:tcW w:w="12930" w:type="dxa"/>
            <w:gridSpan w:val="9"/>
            <w:tcBorders>
              <w:top w:val="double" w:sz="4" w:space="0" w:color="auto"/>
              <w:bottom w:val="double" w:sz="4" w:space="0" w:color="auto"/>
            </w:tcBorders>
            <w:shd w:val="clear" w:color="auto" w:fill="auto"/>
            <w:noWrap/>
            <w:tcMar>
              <w:left w:w="0" w:type="dxa"/>
              <w:right w:w="173" w:type="dxa"/>
            </w:tcMar>
            <w:vAlign w:val="center"/>
          </w:tcPr>
          <w:p w14:paraId="3143B2BF" w14:textId="77777777" w:rsidR="00101352" w:rsidRPr="00B2046D" w:rsidRDefault="00101352" w:rsidP="005553E8">
            <w:pPr>
              <w:pStyle w:val="ListParagraph"/>
              <w:spacing w:line="240" w:lineRule="auto"/>
              <w:ind w:left="156" w:firstLine="0"/>
              <w:rPr>
                <w:color w:val="000000"/>
              </w:rPr>
            </w:pPr>
            <w:r w:rsidRPr="00B2046D">
              <w:rPr>
                <w:color w:val="000000"/>
              </w:rPr>
              <w:t xml:space="preserve">* </w:t>
            </w:r>
            <w:r>
              <w:rPr>
                <w:noProof/>
                <w:color w:val="000000"/>
              </w:rPr>
              <w:t>USEPA (2000c, Table 1-1)</w:t>
            </w:r>
            <w:r w:rsidRPr="00B2046D">
              <w:rPr>
                <w:color w:val="000000"/>
              </w:rPr>
              <w:t>.</w:t>
            </w:r>
          </w:p>
          <w:p w14:paraId="0D2D19CA" w14:textId="77777777" w:rsidR="00101352" w:rsidRPr="00B2046D" w:rsidRDefault="00101352" w:rsidP="005553E8">
            <w:pPr>
              <w:pStyle w:val="ListParagraph"/>
              <w:spacing w:line="240" w:lineRule="auto"/>
              <w:ind w:left="156" w:firstLine="0"/>
              <w:rPr>
                <w:color w:val="000000"/>
              </w:rPr>
            </w:pPr>
            <w:r w:rsidRPr="00B2046D">
              <w:rPr>
                <w:color w:val="000000"/>
              </w:rPr>
              <w:t xml:space="preserve">† Derived from </w:t>
            </w:r>
            <w:r>
              <w:rPr>
                <w:noProof/>
                <w:color w:val="000000"/>
              </w:rPr>
              <w:t>USEPA (2000c)</w:t>
            </w:r>
            <w:r w:rsidRPr="00B2046D">
              <w:rPr>
                <w:color w:val="000000"/>
              </w:rPr>
              <w:t xml:space="preserve">. </w:t>
            </w:r>
          </w:p>
        </w:tc>
      </w:tr>
    </w:tbl>
    <w:p w14:paraId="24E4E931" w14:textId="77777777" w:rsidR="00101352" w:rsidRDefault="00101352" w:rsidP="00101352">
      <w:pPr>
        <w:spacing w:line="240" w:lineRule="auto"/>
        <w:ind w:firstLine="0"/>
        <w:jc w:val="both"/>
        <w:rPr>
          <w:iCs/>
          <w:color w:val="1F497D" w:themeColor="text2"/>
          <w:szCs w:val="18"/>
        </w:rPr>
      </w:pPr>
    </w:p>
    <w:p w14:paraId="7CD2C22E" w14:textId="77777777" w:rsidR="00101352" w:rsidRDefault="00101352" w:rsidP="00101352">
      <w:pPr>
        <w:spacing w:line="240" w:lineRule="auto"/>
        <w:ind w:firstLine="0"/>
        <w:rPr>
          <w:iCs/>
          <w:color w:val="1F497D" w:themeColor="text2"/>
          <w:szCs w:val="18"/>
        </w:rPr>
      </w:pPr>
      <w:r>
        <w:rPr>
          <w:iCs/>
          <w:color w:val="1F497D" w:themeColor="text2"/>
          <w:szCs w:val="18"/>
        </w:rPr>
        <w:br w:type="page"/>
      </w:r>
    </w:p>
    <w:p w14:paraId="3C70668E" w14:textId="77777777" w:rsidR="00101352" w:rsidRDefault="00101352" w:rsidP="00101352">
      <w:pPr>
        <w:spacing w:line="240" w:lineRule="auto"/>
        <w:ind w:firstLine="0"/>
        <w:rPr>
          <w:iCs/>
          <w:color w:val="1F497D" w:themeColor="text2"/>
          <w:szCs w:val="18"/>
        </w:rPr>
        <w:sectPr w:rsidR="00101352" w:rsidSect="005553E8">
          <w:pgSz w:w="15840" w:h="12240" w:orient="landscape"/>
          <w:pgMar w:top="1440" w:right="1440" w:bottom="1440" w:left="1440" w:header="720" w:footer="720" w:gutter="0"/>
          <w:cols w:space="720"/>
          <w:docGrid w:linePitch="360"/>
        </w:sectPr>
      </w:pPr>
    </w:p>
    <w:p w14:paraId="3F1B3B90" w14:textId="77777777" w:rsidR="00101352" w:rsidRDefault="00101352" w:rsidP="00101352">
      <w:pPr>
        <w:pStyle w:val="Heading3"/>
      </w:pPr>
      <w:r>
        <w:lastRenderedPageBreak/>
        <w:t>Arsenic NPDWR</w:t>
      </w:r>
    </w:p>
    <w:p w14:paraId="12C8E552" w14:textId="77777777" w:rsidR="00101352" w:rsidRDefault="00101352" w:rsidP="00101352">
      <w:r>
        <w:t xml:space="preserve">In the preamble to the arsenic NPDWR </w:t>
      </w:r>
      <w:r>
        <w:rPr>
          <w:noProof/>
        </w:rPr>
        <w:t>(USEPA 2001b)</w:t>
      </w:r>
      <w:r>
        <w:t xml:space="preserve">, USEPA reported having exercised the discretion in SDWA 1996 § 1412(b)(6) to set a standard less stringent than what it had determined was technologically feasible for large systems. The Agency further asserted that  10 </w:t>
      </w:r>
      <w:r>
        <w:sym w:font="Symbol" w:char="F06D"/>
      </w:r>
      <w:r>
        <w:t>g/L “maximizes health risk reduction benefits at a cost that is justified by the benefits” (p. 7023) and that $492–559 per household per year was affordable, depending on system size (Table I.G-3).</w:t>
      </w:r>
    </w:p>
    <w:p w14:paraId="401244BE" w14:textId="77777777" w:rsidR="00101352" w:rsidRDefault="00101352" w:rsidP="00101352">
      <w:r w:rsidRPr="00E86ABD">
        <w:t xml:space="preserve">Interpreting the statutory language consistent with the economic feasibility principle, benefits must exceed costs for the smallest water system subject to Federal regulation. </w:t>
      </w:r>
      <w:r w:rsidRPr="00E86ABD">
        <w:fldChar w:fldCharType="begin"/>
      </w:r>
      <w:r w:rsidRPr="00E86ABD">
        <w:instrText xml:space="preserve"> REF _Ref536529283 </w:instrText>
      </w:r>
      <w:r>
        <w:instrText xml:space="preserve"> \* MERGEFORMAT </w:instrText>
      </w:r>
      <w:r w:rsidRPr="00E86ABD">
        <w:fldChar w:fldCharType="separate"/>
      </w:r>
      <w:r>
        <w:t>Table 7</w:t>
      </w:r>
      <w:r>
        <w:noBreakHyphen/>
        <w:t>6</w:t>
      </w:r>
      <w:r w:rsidRPr="00E86ABD">
        <w:fldChar w:fldCharType="end"/>
      </w:r>
      <w:r w:rsidRPr="00E86ABD">
        <w:t xml:space="preserve"> summarizes for four alternative MCLs USEPA’s risk estimates under two alternative exposure scenarios; provides present value estimates of cancer risk reductions at the then applicable VSL ($6.1 million); and reports annualized risk-reduction benefits discounted over 35 years at 3% and 7%. </w:t>
      </w:r>
      <w:r w:rsidRPr="00E86ABD">
        <w:fldChar w:fldCharType="begin"/>
      </w:r>
      <w:r w:rsidRPr="00E86ABD">
        <w:instrText xml:space="preserve"> REF _Ref536529305 </w:instrText>
      </w:r>
      <w:r>
        <w:instrText xml:space="preserve"> \* MERGEFORMAT </w:instrText>
      </w:r>
      <w:r w:rsidRPr="00E86ABD">
        <w:fldChar w:fldCharType="separate"/>
      </w:r>
      <w:r>
        <w:t>Table 7</w:t>
      </w:r>
      <w:r>
        <w:noBreakHyphen/>
        <w:t>7</w:t>
      </w:r>
      <w:r w:rsidRPr="00E86ABD">
        <w:fldChar w:fldCharType="end"/>
      </w:r>
      <w:r w:rsidRPr="00E86ABD">
        <w:t xml:space="preserve"> summarizes USEPA estimates of average treatment cost per household by system size.  Cost and benefit estimates reported in USEPA (2000e) are not in comparable units, as benefits must be adjusted for household size. This is done in </w:t>
      </w:r>
      <w:fldSimple w:instr=" REF _Ref1631832 ">
        <w:r>
          <w:t xml:space="preserve">Table </w:t>
        </w:r>
        <w:r>
          <w:rPr>
            <w:noProof/>
          </w:rPr>
          <w:t>7</w:t>
        </w:r>
        <w:r>
          <w:noBreakHyphen/>
        </w:r>
        <w:r>
          <w:rPr>
            <w:noProof/>
          </w:rPr>
          <w:t>8</w:t>
        </w:r>
      </w:fldSimple>
      <w:r>
        <w:t xml:space="preserve"> (for the “lower bound” exposure scenario) and </w:t>
      </w:r>
      <w:fldSimple w:instr=" REF _Ref536529335 ">
        <w:r>
          <w:t xml:space="preserve">Table </w:t>
        </w:r>
        <w:r>
          <w:rPr>
            <w:noProof/>
          </w:rPr>
          <w:t>7</w:t>
        </w:r>
        <w:r>
          <w:noBreakHyphen/>
        </w:r>
        <w:r>
          <w:rPr>
            <w:noProof/>
          </w:rPr>
          <w:t>9</w:t>
        </w:r>
      </w:fldSimple>
      <w:r>
        <w:t xml:space="preserve"> (for the “upper bound” exposure scenario) for household sizes of 3 and 5.</w:t>
      </w:r>
      <w:r>
        <w:rPr>
          <w:rStyle w:val="FootnoteReference"/>
        </w:rPr>
        <w:footnoteReference w:id="4"/>
      </w:r>
    </w:p>
    <w:p w14:paraId="17E41194" w14:textId="77777777" w:rsidR="00101352" w:rsidRDefault="004D0E95" w:rsidP="00101352">
      <w:fldSimple w:instr=" REF _Ref536529765 ">
        <w:r w:rsidR="00101352">
          <w:t xml:space="preserve">Table </w:t>
        </w:r>
        <w:r w:rsidR="00101352">
          <w:rPr>
            <w:noProof/>
          </w:rPr>
          <w:t>7</w:t>
        </w:r>
        <w:r w:rsidR="00101352">
          <w:noBreakHyphen/>
        </w:r>
        <w:r w:rsidR="00101352">
          <w:rPr>
            <w:noProof/>
          </w:rPr>
          <w:t>10</w:t>
        </w:r>
      </w:fldSimple>
      <w:r w:rsidR="00101352">
        <w:t xml:space="preserve"> shows the smallest-size community water system for which USEPA’s 10 </w:t>
      </w:r>
      <w:r w:rsidR="00101352">
        <w:sym w:font="Symbol" w:char="F06D"/>
      </w:r>
      <w:r w:rsidR="00101352">
        <w:t xml:space="preserve">g/L MCL is economically feasible and (in parentheses) annualized net benefits per household.  In addition to household size, whether benefits exceed costs depends on the discount rate and exposure scenario. The sensitivity of net benefits to these factors indicates that considerably </w:t>
      </w:r>
      <w:r w:rsidR="00101352">
        <w:lastRenderedPageBreak/>
        <w:t xml:space="preserve">more effort should be devoted to developing objective risk estimates rather than relying on historical default assumptions and policy-driven risk models, and conducting comprehensive uncertainty analysis </w:t>
      </w:r>
      <w:r w:rsidR="00101352">
        <w:rPr>
          <w:noProof/>
        </w:rPr>
        <w:t>(Office of Management and Budget 2003)</w:t>
      </w:r>
      <w:r w:rsidR="00101352">
        <w:t xml:space="preserve">. Complicating matters further, Hilkert Colby et al. (2010) present substantial empirical evidence that 10 </w:t>
      </w:r>
      <w:r w:rsidR="00101352">
        <w:sym w:font="Symbol" w:char="F06D"/>
      </w:r>
      <w:r w:rsidR="00101352">
        <w:t xml:space="preserve">g/L also is not </w:t>
      </w:r>
      <w:r w:rsidR="00101352" w:rsidRPr="00BB6C3B">
        <w:rPr>
          <w:i/>
        </w:rPr>
        <w:t xml:space="preserve">technologically </w:t>
      </w:r>
      <w:r w:rsidR="00101352">
        <w:t>feasible for small systems; 145 (mostly small) systems in California were out of compliance in January 2009, three years after the effective date.</w:t>
      </w:r>
    </w:p>
    <w:p w14:paraId="23832B77" w14:textId="77777777" w:rsidR="00101352" w:rsidRDefault="00101352" w:rsidP="00101352">
      <w:pPr>
        <w:rPr>
          <w:rFonts w:cstheme="minorHAnsi"/>
        </w:rPr>
      </w:pPr>
      <w:r>
        <w:rPr>
          <w:rFonts w:cstheme="minorHAnsi"/>
        </w:rPr>
        <w:t xml:space="preserve">Where USEPA’s estimated net benefits are positive at 10 </w:t>
      </w:r>
      <w:r>
        <w:rPr>
          <w:rFonts w:cstheme="minorHAnsi"/>
        </w:rPr>
        <w:sym w:font="Symbol" w:char="F06D"/>
      </w:r>
      <w:r>
        <w:rPr>
          <w:rFonts w:cstheme="minorHAnsi"/>
        </w:rPr>
        <w:t xml:space="preserve">g/L, they also are small. Annualized net benefits per household range from $0.52 to $6.05 per household in the “lower bound” exposure scenario and $18.81 to $31.92 in the “upper bound” exposure scenario. These estimates do not account for uncertainty in the hazard assessment, which if taken into account would render all net benefit calculations negative </w:t>
      </w:r>
      <w:r>
        <w:rPr>
          <w:rFonts w:cstheme="minorHAnsi"/>
          <w:noProof/>
        </w:rPr>
        <w:t>(Burnett and Hahn 2001b, a)</w:t>
      </w:r>
      <w:r>
        <w:rPr>
          <w:rFonts w:cstheme="minorHAnsi"/>
        </w:rPr>
        <w:t xml:space="preserve">. Other analysts have reported much larger compliance cost estimates </w:t>
      </w:r>
      <w:r>
        <w:rPr>
          <w:rFonts w:cstheme="minorHAnsi"/>
          <w:noProof/>
        </w:rPr>
        <w:t>(Frey et al. 1998; Frey et al. 2000; Frost et al. 2002; Raucher and Cromwell 2004; Hilkert Colby et al. 2010; Gingerich et al. 2017)</w:t>
      </w:r>
      <w:r>
        <w:rPr>
          <w:rFonts w:cstheme="minorHAnsi"/>
        </w:rPr>
        <w:t>, which further suggests that net benefits may be less than estimated by USEPA.</w:t>
      </w:r>
    </w:p>
    <w:p w14:paraId="7A273FC1" w14:textId="77777777" w:rsidR="00101352" w:rsidRDefault="00101352" w:rsidP="00101352">
      <w:r>
        <w:t xml:space="preserve">The arsenic rulemaking established 10 </w:t>
      </w:r>
      <w:r>
        <w:sym w:font="Symbol" w:char="F06D"/>
      </w:r>
      <w:r>
        <w:t xml:space="preserve">g/L as the MCL for all systems, but for all systems serving fewer than 1 million persons it was not economically feasible. Thus, if USEPA had set the MCL at 10 </w:t>
      </w:r>
      <w:r>
        <w:sym w:font="Symbol" w:char="F06D"/>
      </w:r>
      <w:r>
        <w:t xml:space="preserve">g/L based on the economic feasibility principle, all systems serving fewer than 1 million persons would have been exempt. The households they serve would have not realized the risk-reduction benefits in </w:t>
      </w:r>
      <w:fldSimple w:instr=" REF _Ref536529283 ">
        <w:r>
          <w:t xml:space="preserve">Table </w:t>
        </w:r>
        <w:r>
          <w:rPr>
            <w:noProof/>
          </w:rPr>
          <w:t>7</w:t>
        </w:r>
        <w:r>
          <w:noBreakHyphen/>
        </w:r>
        <w:r>
          <w:rPr>
            <w:noProof/>
          </w:rPr>
          <w:t>6</w:t>
        </w:r>
      </w:fldSimple>
      <w:r>
        <w:t xml:space="preserve"> but avoided the costs shown in </w:t>
      </w:r>
      <w:fldSimple w:instr=" REF _Ref536529305 ">
        <w:r>
          <w:t xml:space="preserve">Table </w:t>
        </w:r>
        <w:r>
          <w:rPr>
            <w:noProof/>
          </w:rPr>
          <w:t>7</w:t>
        </w:r>
        <w:r>
          <w:noBreakHyphen/>
        </w:r>
        <w:r>
          <w:rPr>
            <w:noProof/>
          </w:rPr>
          <w:t>7</w:t>
        </w:r>
      </w:fldSimple>
      <w:r>
        <w:t xml:space="preserve">, and thus been better off by the amounts shown in </w:t>
      </w:r>
      <w:fldSimple w:instr=" REF _Ref536530038 ">
        <w:r>
          <w:t xml:space="preserve">Table </w:t>
        </w:r>
        <w:r>
          <w:rPr>
            <w:noProof/>
          </w:rPr>
          <w:t>7</w:t>
        </w:r>
        <w:r>
          <w:noBreakHyphen/>
        </w:r>
        <w:r>
          <w:rPr>
            <w:noProof/>
          </w:rPr>
          <w:t>11</w:t>
        </w:r>
      </w:fldSimple>
      <w:r>
        <w:t xml:space="preserve">: $19.14 to $325.44 per household per year (depending on system size) and $126 million per year in the aggregate. These savings would have been partially offset by risk-reduction benefits if economically feasible technology existed to enable systems serving fewer than 1 million persons to achieve standards less stringent </w:t>
      </w:r>
      <w:r>
        <w:lastRenderedPageBreak/>
        <w:t xml:space="preserve">than 10 </w:t>
      </w:r>
      <w:r>
        <w:sym w:font="Symbol" w:char="F06D"/>
      </w:r>
      <w:r>
        <w:t xml:space="preserve">g/L and these technologies were voluntarily adopted by system managers. Setting the arsenic MCL at 20 </w:t>
      </w:r>
      <w:r>
        <w:sym w:font="Symbol" w:char="F06D"/>
      </w:r>
      <w:r>
        <w:t xml:space="preserve">g/L instead of 10 </w:t>
      </w:r>
      <w:r>
        <w:sym w:font="Symbol" w:char="F06D"/>
      </w:r>
      <w:r>
        <w:t>g/L would have reduced welfare losses by $7.3–$55 million.</w:t>
      </w:r>
    </w:p>
    <w:p w14:paraId="4EC5D2E9" w14:textId="77777777" w:rsidR="00101352" w:rsidRPr="00417C86" w:rsidRDefault="00101352" w:rsidP="00101352">
      <w:r>
        <w:t>Unlike post-1996 SDWA regulations generally, there is a substantial nongovernmental literature on the costs of arsenic treatment. Almost all of these studies indicate higher central tendency cost estimates and much greater variability.  For example, in a study of California systems, Hilkert Colby et al. (2010) found capital costs ranging from $2–115,033 per design gpm; O&amp;M costs ranging from $0.16–89.00 per 1,000 gallons; 22% of systems with costs exceeding the USEPA affordability threshold for a new regulation; and 15% of systems with costs exceeding the USEPA affordability threshold for drinking water. To the extent that nongovernmental studies are more accurate predictors of actual cost than USEPA’s economic analyses, the economic feasibility of the arsenic MCL is less likely.</w:t>
      </w:r>
    </w:p>
    <w:p w14:paraId="163921F8" w14:textId="77777777" w:rsidR="00101352" w:rsidRDefault="00101352" w:rsidP="00101352">
      <w:pPr>
        <w:spacing w:line="240" w:lineRule="auto"/>
        <w:ind w:firstLine="0"/>
      </w:pPr>
      <w:r>
        <w:br w:type="page"/>
      </w:r>
    </w:p>
    <w:p w14:paraId="28D8DB19" w14:textId="77777777" w:rsidR="00101352" w:rsidRDefault="00101352" w:rsidP="00101352">
      <w:pPr>
        <w:spacing w:line="240" w:lineRule="auto"/>
        <w:ind w:firstLine="0"/>
      </w:pPr>
    </w:p>
    <w:p w14:paraId="225A03CF" w14:textId="77777777" w:rsidR="00101352" w:rsidRDefault="00101352" w:rsidP="00101352">
      <w:pPr>
        <w:pStyle w:val="Caption"/>
        <w:keepNext/>
      </w:pPr>
      <w:r>
        <w:t xml:space="preserve">Table </w:t>
      </w:r>
      <w:r>
        <w:rPr>
          <w:noProof/>
        </w:rPr>
        <w:t>7</w:t>
      </w:r>
      <w:r>
        <w:noBreakHyphen/>
      </w:r>
      <w:r>
        <w:rPr>
          <w:noProof/>
        </w:rPr>
        <w:t>6</w:t>
      </w:r>
      <w:r>
        <w:t>: Arsenic NPDWR: USEPA-estimated Annual Costs and Monetized Annual Cancer-prevention Benefits</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99"/>
        <w:gridCol w:w="1438"/>
        <w:gridCol w:w="1793"/>
        <w:gridCol w:w="1614"/>
        <w:gridCol w:w="1614"/>
        <w:gridCol w:w="1972"/>
      </w:tblGrid>
      <w:tr w:rsidR="00101352" w:rsidRPr="00641BA9" w14:paraId="72C48A32" w14:textId="77777777" w:rsidTr="005553E8">
        <w:tc>
          <w:tcPr>
            <w:tcW w:w="899" w:type="dxa"/>
            <w:shd w:val="clear" w:color="auto" w:fill="auto"/>
          </w:tcPr>
          <w:p w14:paraId="7250D8BD" w14:textId="77777777" w:rsidR="00101352" w:rsidRPr="00641BA9" w:rsidRDefault="00101352" w:rsidP="005553E8">
            <w:pPr>
              <w:spacing w:line="240" w:lineRule="auto"/>
              <w:ind w:firstLine="0"/>
              <w:rPr>
                <w:sz w:val="22"/>
                <w:szCs w:val="22"/>
              </w:rPr>
            </w:pPr>
            <w:r w:rsidRPr="00641BA9">
              <w:rPr>
                <w:sz w:val="22"/>
                <w:szCs w:val="22"/>
              </w:rPr>
              <w:t>Level</w:t>
            </w:r>
            <w:r w:rsidRPr="00641BA9">
              <w:rPr>
                <w:sz w:val="22"/>
                <w:szCs w:val="22"/>
              </w:rPr>
              <w:br/>
              <w:t>(</w:t>
            </w:r>
            <w:r w:rsidRPr="00641BA9">
              <w:rPr>
                <w:sz w:val="22"/>
                <w:szCs w:val="22"/>
              </w:rPr>
              <w:sym w:font="Symbol" w:char="F06D"/>
            </w:r>
            <w:r w:rsidRPr="00641BA9">
              <w:rPr>
                <w:sz w:val="22"/>
                <w:szCs w:val="22"/>
              </w:rPr>
              <w:t>g/L)</w:t>
            </w:r>
          </w:p>
        </w:tc>
        <w:tc>
          <w:tcPr>
            <w:tcW w:w="1438" w:type="dxa"/>
            <w:shd w:val="clear" w:color="auto" w:fill="auto"/>
          </w:tcPr>
          <w:p w14:paraId="2297C1E0" w14:textId="77777777" w:rsidR="00101352" w:rsidRPr="00641BA9" w:rsidRDefault="00101352" w:rsidP="005553E8">
            <w:pPr>
              <w:spacing w:line="240" w:lineRule="auto"/>
              <w:ind w:firstLine="0"/>
              <w:jc w:val="center"/>
              <w:rPr>
                <w:sz w:val="22"/>
                <w:szCs w:val="22"/>
              </w:rPr>
            </w:pPr>
            <w:r w:rsidRPr="00641BA9">
              <w:rPr>
                <w:sz w:val="22"/>
                <w:szCs w:val="22"/>
              </w:rPr>
              <w:t>Annualized Cost ($M)</w:t>
            </w:r>
            <w:r w:rsidRPr="00641BA9">
              <w:rPr>
                <w:sz w:val="22"/>
                <w:szCs w:val="22"/>
              </w:rPr>
              <w:br/>
              <w:t>($1999, 7%)</w:t>
            </w:r>
          </w:p>
        </w:tc>
        <w:tc>
          <w:tcPr>
            <w:tcW w:w="1793" w:type="dxa"/>
            <w:shd w:val="clear" w:color="auto" w:fill="auto"/>
          </w:tcPr>
          <w:p w14:paraId="32F5618D" w14:textId="77777777" w:rsidR="00101352" w:rsidRPr="00641BA9" w:rsidRDefault="00101352" w:rsidP="005553E8">
            <w:pPr>
              <w:spacing w:line="240" w:lineRule="auto"/>
              <w:ind w:firstLine="0"/>
              <w:jc w:val="center"/>
              <w:rPr>
                <w:sz w:val="22"/>
                <w:szCs w:val="22"/>
              </w:rPr>
            </w:pPr>
            <w:r w:rsidRPr="00641BA9">
              <w:rPr>
                <w:sz w:val="22"/>
                <w:szCs w:val="22"/>
              </w:rPr>
              <w:t>Annual Bladder Cancer Benefits</w:t>
            </w:r>
          </w:p>
        </w:tc>
        <w:tc>
          <w:tcPr>
            <w:tcW w:w="1614" w:type="dxa"/>
            <w:shd w:val="clear" w:color="auto" w:fill="auto"/>
          </w:tcPr>
          <w:p w14:paraId="0AAC3A63" w14:textId="77777777" w:rsidR="00101352" w:rsidRPr="00641BA9" w:rsidRDefault="00101352" w:rsidP="005553E8">
            <w:pPr>
              <w:spacing w:line="240" w:lineRule="auto"/>
              <w:ind w:firstLine="0"/>
              <w:jc w:val="center"/>
              <w:rPr>
                <w:sz w:val="22"/>
                <w:szCs w:val="22"/>
              </w:rPr>
            </w:pPr>
            <w:r w:rsidRPr="00641BA9">
              <w:rPr>
                <w:sz w:val="22"/>
                <w:szCs w:val="22"/>
              </w:rPr>
              <w:t>Annual Lung Cancer Benefits</w:t>
            </w:r>
          </w:p>
        </w:tc>
        <w:tc>
          <w:tcPr>
            <w:tcW w:w="1614" w:type="dxa"/>
            <w:shd w:val="clear" w:color="auto" w:fill="auto"/>
          </w:tcPr>
          <w:p w14:paraId="0C48AB7B" w14:textId="77777777" w:rsidR="00101352" w:rsidRPr="00641BA9" w:rsidRDefault="00101352" w:rsidP="005553E8">
            <w:pPr>
              <w:spacing w:line="240" w:lineRule="auto"/>
              <w:ind w:firstLine="0"/>
              <w:jc w:val="center"/>
              <w:rPr>
                <w:sz w:val="22"/>
                <w:szCs w:val="22"/>
              </w:rPr>
            </w:pPr>
            <w:r w:rsidRPr="00641BA9">
              <w:rPr>
                <w:sz w:val="22"/>
                <w:szCs w:val="22"/>
              </w:rPr>
              <w:t>Total Annual Benefits</w:t>
            </w:r>
            <w:r w:rsidRPr="00641BA9">
              <w:rPr>
                <w:sz w:val="22"/>
                <w:szCs w:val="22"/>
              </w:rPr>
              <w:br/>
              <w:t>($M)</w:t>
            </w:r>
          </w:p>
        </w:tc>
        <w:tc>
          <w:tcPr>
            <w:tcW w:w="1972" w:type="dxa"/>
          </w:tcPr>
          <w:p w14:paraId="5AE7340C" w14:textId="77777777" w:rsidR="00101352" w:rsidRPr="00641BA9" w:rsidRDefault="00101352" w:rsidP="005553E8">
            <w:pPr>
              <w:spacing w:line="240" w:lineRule="auto"/>
              <w:ind w:firstLine="0"/>
              <w:jc w:val="center"/>
              <w:rPr>
                <w:sz w:val="22"/>
                <w:szCs w:val="22"/>
              </w:rPr>
            </w:pPr>
            <w:r w:rsidRPr="00641BA9">
              <w:rPr>
                <w:sz w:val="22"/>
                <w:szCs w:val="22"/>
              </w:rPr>
              <w:t>Net Annual Benefits ($M)</w:t>
            </w:r>
          </w:p>
        </w:tc>
      </w:tr>
      <w:tr w:rsidR="00101352" w:rsidRPr="00641BA9" w14:paraId="2332516D" w14:textId="77777777" w:rsidTr="005553E8">
        <w:tc>
          <w:tcPr>
            <w:tcW w:w="899" w:type="dxa"/>
            <w:shd w:val="clear" w:color="auto" w:fill="auto"/>
          </w:tcPr>
          <w:p w14:paraId="78F69832" w14:textId="77777777" w:rsidR="00101352" w:rsidRPr="00641BA9" w:rsidRDefault="00101352" w:rsidP="005553E8">
            <w:pPr>
              <w:spacing w:line="240" w:lineRule="auto"/>
              <w:ind w:firstLine="0"/>
              <w:jc w:val="center"/>
              <w:rPr>
                <w:sz w:val="22"/>
                <w:szCs w:val="22"/>
              </w:rPr>
            </w:pPr>
            <w:r w:rsidRPr="00641BA9">
              <w:rPr>
                <w:sz w:val="22"/>
                <w:szCs w:val="22"/>
              </w:rPr>
              <w:t>3</w:t>
            </w:r>
          </w:p>
        </w:tc>
        <w:tc>
          <w:tcPr>
            <w:tcW w:w="1438" w:type="dxa"/>
            <w:shd w:val="clear" w:color="auto" w:fill="auto"/>
          </w:tcPr>
          <w:p w14:paraId="2739B612" w14:textId="77777777" w:rsidR="00101352" w:rsidRPr="00641BA9" w:rsidRDefault="00101352" w:rsidP="005553E8">
            <w:pPr>
              <w:spacing w:line="240" w:lineRule="auto"/>
              <w:ind w:firstLine="0"/>
              <w:jc w:val="right"/>
              <w:rPr>
                <w:sz w:val="22"/>
                <w:szCs w:val="22"/>
              </w:rPr>
            </w:pPr>
            <w:r w:rsidRPr="00641BA9">
              <w:rPr>
                <w:sz w:val="22"/>
                <w:szCs w:val="22"/>
              </w:rPr>
              <w:t>$792.1</w:t>
            </w:r>
          </w:p>
        </w:tc>
        <w:tc>
          <w:tcPr>
            <w:tcW w:w="1793" w:type="dxa"/>
            <w:shd w:val="clear" w:color="auto" w:fill="auto"/>
          </w:tcPr>
          <w:p w14:paraId="6C0A8669" w14:textId="77777777" w:rsidR="00101352" w:rsidRPr="00641BA9" w:rsidRDefault="00101352" w:rsidP="005553E8">
            <w:pPr>
              <w:spacing w:line="240" w:lineRule="auto"/>
              <w:ind w:firstLine="0"/>
              <w:jc w:val="right"/>
              <w:rPr>
                <w:sz w:val="22"/>
                <w:szCs w:val="22"/>
              </w:rPr>
            </w:pPr>
            <w:r w:rsidRPr="00641BA9">
              <w:rPr>
                <w:sz w:val="22"/>
                <w:szCs w:val="22"/>
              </w:rPr>
              <w:t>$58.2–$156.4</w:t>
            </w:r>
          </w:p>
        </w:tc>
        <w:tc>
          <w:tcPr>
            <w:tcW w:w="1614" w:type="dxa"/>
            <w:shd w:val="clear" w:color="auto" w:fill="auto"/>
          </w:tcPr>
          <w:p w14:paraId="6AD35AFC" w14:textId="77777777" w:rsidR="00101352" w:rsidRPr="00641BA9" w:rsidRDefault="00101352" w:rsidP="005553E8">
            <w:pPr>
              <w:spacing w:line="240" w:lineRule="auto"/>
              <w:ind w:firstLine="0"/>
              <w:jc w:val="right"/>
              <w:rPr>
                <w:sz w:val="22"/>
                <w:szCs w:val="22"/>
              </w:rPr>
            </w:pPr>
            <w:r w:rsidRPr="00641BA9">
              <w:rPr>
                <w:sz w:val="22"/>
                <w:szCs w:val="22"/>
              </w:rPr>
              <w:t>$155.6–$334.5</w:t>
            </w:r>
          </w:p>
        </w:tc>
        <w:tc>
          <w:tcPr>
            <w:tcW w:w="1614" w:type="dxa"/>
            <w:shd w:val="clear" w:color="auto" w:fill="auto"/>
          </w:tcPr>
          <w:p w14:paraId="495664AA" w14:textId="77777777" w:rsidR="00101352" w:rsidRPr="00641BA9" w:rsidRDefault="00101352" w:rsidP="005553E8">
            <w:pPr>
              <w:spacing w:line="240" w:lineRule="auto"/>
              <w:ind w:firstLine="0"/>
              <w:jc w:val="right"/>
              <w:rPr>
                <w:sz w:val="22"/>
                <w:szCs w:val="22"/>
              </w:rPr>
            </w:pPr>
            <w:r w:rsidRPr="00641BA9">
              <w:rPr>
                <w:sz w:val="22"/>
                <w:szCs w:val="22"/>
              </w:rPr>
              <w:t>$213.8–$490.0</w:t>
            </w:r>
          </w:p>
        </w:tc>
        <w:tc>
          <w:tcPr>
            <w:tcW w:w="1972" w:type="dxa"/>
          </w:tcPr>
          <w:p w14:paraId="1260B5FC" w14:textId="77777777" w:rsidR="00101352" w:rsidRPr="00641BA9" w:rsidRDefault="00101352" w:rsidP="005553E8">
            <w:pPr>
              <w:spacing w:line="240" w:lineRule="auto"/>
              <w:ind w:firstLine="0"/>
              <w:jc w:val="right"/>
              <w:rPr>
                <w:color w:val="FF0000"/>
                <w:sz w:val="22"/>
                <w:szCs w:val="22"/>
              </w:rPr>
            </w:pPr>
            <w:r w:rsidRPr="00641BA9">
              <w:rPr>
                <w:color w:val="FF0000"/>
                <w:sz w:val="22"/>
                <w:szCs w:val="22"/>
              </w:rPr>
              <w:t>($578.3)–($302.1)</w:t>
            </w:r>
          </w:p>
        </w:tc>
      </w:tr>
      <w:tr w:rsidR="00101352" w:rsidRPr="00641BA9" w14:paraId="1E6CACC7" w14:textId="77777777" w:rsidTr="005553E8">
        <w:tc>
          <w:tcPr>
            <w:tcW w:w="899" w:type="dxa"/>
            <w:shd w:val="clear" w:color="auto" w:fill="auto"/>
          </w:tcPr>
          <w:p w14:paraId="5C6A8402" w14:textId="77777777" w:rsidR="00101352" w:rsidRPr="00641BA9" w:rsidRDefault="00101352" w:rsidP="005553E8">
            <w:pPr>
              <w:spacing w:line="240" w:lineRule="auto"/>
              <w:ind w:firstLine="0"/>
              <w:jc w:val="center"/>
              <w:rPr>
                <w:sz w:val="22"/>
                <w:szCs w:val="22"/>
              </w:rPr>
            </w:pPr>
            <w:r w:rsidRPr="00641BA9">
              <w:rPr>
                <w:sz w:val="22"/>
                <w:szCs w:val="22"/>
              </w:rPr>
              <w:t>5</w:t>
            </w:r>
          </w:p>
        </w:tc>
        <w:tc>
          <w:tcPr>
            <w:tcW w:w="1438" w:type="dxa"/>
            <w:shd w:val="clear" w:color="auto" w:fill="auto"/>
          </w:tcPr>
          <w:p w14:paraId="7D573084" w14:textId="77777777" w:rsidR="00101352" w:rsidRPr="00641BA9" w:rsidRDefault="00101352" w:rsidP="005553E8">
            <w:pPr>
              <w:spacing w:line="240" w:lineRule="auto"/>
              <w:ind w:firstLine="0"/>
              <w:jc w:val="right"/>
              <w:rPr>
                <w:sz w:val="22"/>
                <w:szCs w:val="22"/>
              </w:rPr>
            </w:pPr>
            <w:r w:rsidRPr="00641BA9">
              <w:rPr>
                <w:sz w:val="22"/>
                <w:szCs w:val="22"/>
              </w:rPr>
              <w:t>471.7</w:t>
            </w:r>
          </w:p>
        </w:tc>
        <w:tc>
          <w:tcPr>
            <w:tcW w:w="1793" w:type="dxa"/>
            <w:shd w:val="clear" w:color="auto" w:fill="auto"/>
          </w:tcPr>
          <w:p w14:paraId="14ED3875" w14:textId="77777777" w:rsidR="00101352" w:rsidRPr="00641BA9" w:rsidRDefault="00101352" w:rsidP="005553E8">
            <w:pPr>
              <w:spacing w:line="240" w:lineRule="auto"/>
              <w:ind w:firstLine="0"/>
              <w:jc w:val="right"/>
              <w:rPr>
                <w:sz w:val="22"/>
                <w:szCs w:val="22"/>
              </w:rPr>
            </w:pPr>
            <w:r w:rsidRPr="00641BA9">
              <w:rPr>
                <w:sz w:val="22"/>
                <w:szCs w:val="22"/>
              </w:rPr>
              <w:t>$52.0–$113.3</w:t>
            </w:r>
          </w:p>
        </w:tc>
        <w:tc>
          <w:tcPr>
            <w:tcW w:w="1614" w:type="dxa"/>
            <w:shd w:val="clear" w:color="auto" w:fill="auto"/>
          </w:tcPr>
          <w:p w14:paraId="6B9BA7C2" w14:textId="77777777" w:rsidR="00101352" w:rsidRPr="00641BA9" w:rsidRDefault="00101352" w:rsidP="005553E8">
            <w:pPr>
              <w:spacing w:line="240" w:lineRule="auto"/>
              <w:ind w:firstLine="0"/>
              <w:jc w:val="right"/>
              <w:rPr>
                <w:sz w:val="22"/>
                <w:szCs w:val="22"/>
              </w:rPr>
            </w:pPr>
            <w:r w:rsidRPr="00641BA9">
              <w:rPr>
                <w:sz w:val="22"/>
                <w:szCs w:val="22"/>
              </w:rPr>
              <w:t>$139.1–$242.3</w:t>
            </w:r>
          </w:p>
        </w:tc>
        <w:tc>
          <w:tcPr>
            <w:tcW w:w="1614" w:type="dxa"/>
            <w:shd w:val="clear" w:color="auto" w:fill="auto"/>
          </w:tcPr>
          <w:p w14:paraId="4D7FB3B7" w14:textId="77777777" w:rsidR="00101352" w:rsidRPr="00641BA9" w:rsidRDefault="00101352" w:rsidP="005553E8">
            <w:pPr>
              <w:spacing w:line="240" w:lineRule="auto"/>
              <w:ind w:firstLine="0"/>
              <w:jc w:val="right"/>
              <w:rPr>
                <w:sz w:val="22"/>
                <w:szCs w:val="22"/>
              </w:rPr>
            </w:pPr>
            <w:r w:rsidRPr="00641BA9">
              <w:rPr>
                <w:sz w:val="22"/>
                <w:szCs w:val="22"/>
              </w:rPr>
              <w:t>$191.1–$355.6</w:t>
            </w:r>
          </w:p>
        </w:tc>
        <w:tc>
          <w:tcPr>
            <w:tcW w:w="1972" w:type="dxa"/>
          </w:tcPr>
          <w:p w14:paraId="371E3F3C" w14:textId="77777777" w:rsidR="00101352" w:rsidRPr="00641BA9" w:rsidRDefault="00101352" w:rsidP="005553E8">
            <w:pPr>
              <w:spacing w:line="240" w:lineRule="auto"/>
              <w:ind w:firstLine="0"/>
              <w:jc w:val="right"/>
              <w:rPr>
                <w:color w:val="FF0000"/>
                <w:sz w:val="22"/>
                <w:szCs w:val="22"/>
              </w:rPr>
            </w:pPr>
            <w:r w:rsidRPr="00641BA9">
              <w:rPr>
                <w:color w:val="FF0000"/>
                <w:sz w:val="22"/>
                <w:szCs w:val="22"/>
              </w:rPr>
              <w:t>($280.6)–($116.1)</w:t>
            </w:r>
          </w:p>
        </w:tc>
      </w:tr>
      <w:tr w:rsidR="00101352" w:rsidRPr="00641BA9" w14:paraId="712CA6C8" w14:textId="77777777" w:rsidTr="005553E8">
        <w:tc>
          <w:tcPr>
            <w:tcW w:w="899" w:type="dxa"/>
            <w:shd w:val="clear" w:color="auto" w:fill="auto"/>
          </w:tcPr>
          <w:p w14:paraId="4A2D08D0" w14:textId="77777777" w:rsidR="00101352" w:rsidRPr="00641BA9" w:rsidRDefault="00101352" w:rsidP="005553E8">
            <w:pPr>
              <w:spacing w:line="240" w:lineRule="auto"/>
              <w:ind w:firstLine="0"/>
              <w:jc w:val="center"/>
              <w:rPr>
                <w:sz w:val="22"/>
                <w:szCs w:val="22"/>
              </w:rPr>
            </w:pPr>
            <w:r w:rsidRPr="00641BA9">
              <w:rPr>
                <w:sz w:val="22"/>
                <w:szCs w:val="22"/>
              </w:rPr>
              <w:t>10</w:t>
            </w:r>
          </w:p>
        </w:tc>
        <w:tc>
          <w:tcPr>
            <w:tcW w:w="1438" w:type="dxa"/>
            <w:shd w:val="clear" w:color="auto" w:fill="auto"/>
          </w:tcPr>
          <w:p w14:paraId="3CB7E815" w14:textId="77777777" w:rsidR="00101352" w:rsidRPr="00641BA9" w:rsidRDefault="00101352" w:rsidP="005553E8">
            <w:pPr>
              <w:spacing w:line="240" w:lineRule="auto"/>
              <w:ind w:firstLine="0"/>
              <w:jc w:val="right"/>
              <w:rPr>
                <w:sz w:val="22"/>
                <w:szCs w:val="22"/>
              </w:rPr>
            </w:pPr>
            <w:r w:rsidRPr="00641BA9">
              <w:rPr>
                <w:sz w:val="22"/>
                <w:szCs w:val="22"/>
              </w:rPr>
              <w:t>205.6</w:t>
            </w:r>
          </w:p>
        </w:tc>
        <w:tc>
          <w:tcPr>
            <w:tcW w:w="1793" w:type="dxa"/>
            <w:shd w:val="clear" w:color="auto" w:fill="auto"/>
          </w:tcPr>
          <w:p w14:paraId="764F4345" w14:textId="77777777" w:rsidR="00101352" w:rsidRPr="00641BA9" w:rsidRDefault="00101352" w:rsidP="005553E8">
            <w:pPr>
              <w:spacing w:line="240" w:lineRule="auto"/>
              <w:ind w:firstLine="0"/>
              <w:jc w:val="right"/>
              <w:rPr>
                <w:sz w:val="22"/>
                <w:szCs w:val="22"/>
              </w:rPr>
            </w:pPr>
            <w:r w:rsidRPr="00641BA9">
              <w:rPr>
                <w:sz w:val="22"/>
                <w:szCs w:val="22"/>
              </w:rPr>
              <w:t>$38.0–$  63.0</w:t>
            </w:r>
          </w:p>
        </w:tc>
        <w:tc>
          <w:tcPr>
            <w:tcW w:w="1614" w:type="dxa"/>
            <w:shd w:val="clear" w:color="auto" w:fill="auto"/>
          </w:tcPr>
          <w:p w14:paraId="59D49F82" w14:textId="77777777" w:rsidR="00101352" w:rsidRPr="00641BA9" w:rsidRDefault="00101352" w:rsidP="005553E8">
            <w:pPr>
              <w:spacing w:line="240" w:lineRule="auto"/>
              <w:ind w:firstLine="0"/>
              <w:jc w:val="right"/>
              <w:rPr>
                <w:sz w:val="22"/>
                <w:szCs w:val="22"/>
              </w:rPr>
            </w:pPr>
            <w:r w:rsidRPr="00641BA9">
              <w:rPr>
                <w:sz w:val="22"/>
                <w:szCs w:val="22"/>
              </w:rPr>
              <w:t>$101.5–$134.7</w:t>
            </w:r>
          </w:p>
        </w:tc>
        <w:tc>
          <w:tcPr>
            <w:tcW w:w="1614" w:type="dxa"/>
            <w:shd w:val="clear" w:color="auto" w:fill="auto"/>
          </w:tcPr>
          <w:p w14:paraId="4CF8185D" w14:textId="77777777" w:rsidR="00101352" w:rsidRPr="00641BA9" w:rsidRDefault="00101352" w:rsidP="005553E8">
            <w:pPr>
              <w:spacing w:line="240" w:lineRule="auto"/>
              <w:ind w:firstLine="0"/>
              <w:jc w:val="right"/>
              <w:rPr>
                <w:sz w:val="22"/>
                <w:szCs w:val="22"/>
              </w:rPr>
            </w:pPr>
            <w:r w:rsidRPr="00641BA9">
              <w:rPr>
                <w:sz w:val="22"/>
                <w:szCs w:val="22"/>
              </w:rPr>
              <w:t>$139.6–$197.1</w:t>
            </w:r>
          </w:p>
        </w:tc>
        <w:tc>
          <w:tcPr>
            <w:tcW w:w="1972" w:type="dxa"/>
          </w:tcPr>
          <w:p w14:paraId="64CB9554" w14:textId="77777777" w:rsidR="00101352" w:rsidRPr="00641BA9" w:rsidRDefault="00101352" w:rsidP="005553E8">
            <w:pPr>
              <w:spacing w:line="240" w:lineRule="auto"/>
              <w:ind w:firstLine="0"/>
              <w:jc w:val="right"/>
              <w:rPr>
                <w:color w:val="FF0000"/>
                <w:sz w:val="22"/>
                <w:szCs w:val="22"/>
              </w:rPr>
            </w:pPr>
            <w:r w:rsidRPr="00641BA9">
              <w:rPr>
                <w:color w:val="FF0000"/>
                <w:sz w:val="22"/>
                <w:szCs w:val="22"/>
              </w:rPr>
              <w:t>($  66.0)–($    8.5)</w:t>
            </w:r>
          </w:p>
        </w:tc>
      </w:tr>
      <w:tr w:rsidR="00101352" w:rsidRPr="00641BA9" w14:paraId="7F765EE0" w14:textId="77777777" w:rsidTr="005553E8">
        <w:tc>
          <w:tcPr>
            <w:tcW w:w="899" w:type="dxa"/>
            <w:tcBorders>
              <w:bottom w:val="double" w:sz="4" w:space="0" w:color="auto"/>
            </w:tcBorders>
            <w:shd w:val="clear" w:color="auto" w:fill="auto"/>
          </w:tcPr>
          <w:p w14:paraId="59073CBE" w14:textId="77777777" w:rsidR="00101352" w:rsidRPr="00641BA9" w:rsidRDefault="00101352" w:rsidP="005553E8">
            <w:pPr>
              <w:spacing w:line="240" w:lineRule="auto"/>
              <w:ind w:firstLine="0"/>
              <w:jc w:val="center"/>
              <w:rPr>
                <w:sz w:val="22"/>
                <w:szCs w:val="22"/>
              </w:rPr>
            </w:pPr>
            <w:r w:rsidRPr="00641BA9">
              <w:rPr>
                <w:sz w:val="22"/>
                <w:szCs w:val="22"/>
              </w:rPr>
              <w:t>20</w:t>
            </w:r>
          </w:p>
        </w:tc>
        <w:tc>
          <w:tcPr>
            <w:tcW w:w="1438" w:type="dxa"/>
            <w:tcBorders>
              <w:bottom w:val="double" w:sz="4" w:space="0" w:color="auto"/>
            </w:tcBorders>
            <w:shd w:val="clear" w:color="auto" w:fill="auto"/>
          </w:tcPr>
          <w:p w14:paraId="05B2290E" w14:textId="77777777" w:rsidR="00101352" w:rsidRPr="00641BA9" w:rsidRDefault="00101352" w:rsidP="005553E8">
            <w:pPr>
              <w:spacing w:line="240" w:lineRule="auto"/>
              <w:ind w:firstLine="0"/>
              <w:jc w:val="right"/>
              <w:rPr>
                <w:sz w:val="22"/>
                <w:szCs w:val="22"/>
              </w:rPr>
            </w:pPr>
            <w:r w:rsidRPr="00641BA9">
              <w:rPr>
                <w:sz w:val="22"/>
                <w:szCs w:val="22"/>
              </w:rPr>
              <w:t>76.5</w:t>
            </w:r>
          </w:p>
        </w:tc>
        <w:tc>
          <w:tcPr>
            <w:tcW w:w="1793" w:type="dxa"/>
            <w:tcBorders>
              <w:bottom w:val="double" w:sz="4" w:space="0" w:color="auto"/>
            </w:tcBorders>
            <w:shd w:val="clear" w:color="auto" w:fill="auto"/>
          </w:tcPr>
          <w:p w14:paraId="1EDDC45F" w14:textId="77777777" w:rsidR="00101352" w:rsidRPr="00641BA9" w:rsidRDefault="00101352" w:rsidP="005553E8">
            <w:pPr>
              <w:spacing w:line="240" w:lineRule="auto"/>
              <w:ind w:firstLine="0"/>
              <w:jc w:val="right"/>
              <w:rPr>
                <w:sz w:val="22"/>
                <w:szCs w:val="22"/>
              </w:rPr>
            </w:pPr>
            <w:r w:rsidRPr="00641BA9">
              <w:rPr>
                <w:sz w:val="22"/>
                <w:szCs w:val="22"/>
              </w:rPr>
              <w:t>$20.1–$  21.5</w:t>
            </w:r>
          </w:p>
        </w:tc>
        <w:tc>
          <w:tcPr>
            <w:tcW w:w="1614" w:type="dxa"/>
            <w:tcBorders>
              <w:bottom w:val="double" w:sz="4" w:space="0" w:color="auto"/>
            </w:tcBorders>
            <w:shd w:val="clear" w:color="auto" w:fill="auto"/>
          </w:tcPr>
          <w:p w14:paraId="3CC33286" w14:textId="77777777" w:rsidR="00101352" w:rsidRPr="00641BA9" w:rsidRDefault="00101352" w:rsidP="005553E8">
            <w:pPr>
              <w:spacing w:line="240" w:lineRule="auto"/>
              <w:ind w:firstLine="0"/>
              <w:jc w:val="right"/>
              <w:rPr>
                <w:sz w:val="22"/>
                <w:szCs w:val="22"/>
              </w:rPr>
            </w:pPr>
            <w:r w:rsidRPr="00641BA9">
              <w:rPr>
                <w:sz w:val="22"/>
                <w:szCs w:val="22"/>
              </w:rPr>
              <w:t>$46.1–$  53.8</w:t>
            </w:r>
          </w:p>
        </w:tc>
        <w:tc>
          <w:tcPr>
            <w:tcW w:w="1614" w:type="dxa"/>
            <w:tcBorders>
              <w:bottom w:val="double" w:sz="4" w:space="0" w:color="auto"/>
            </w:tcBorders>
            <w:shd w:val="clear" w:color="auto" w:fill="auto"/>
          </w:tcPr>
          <w:p w14:paraId="2776197F" w14:textId="77777777" w:rsidR="00101352" w:rsidRPr="00641BA9" w:rsidRDefault="00101352" w:rsidP="005553E8">
            <w:pPr>
              <w:spacing w:line="240" w:lineRule="auto"/>
              <w:ind w:firstLine="0"/>
              <w:jc w:val="right"/>
              <w:rPr>
                <w:sz w:val="22"/>
                <w:szCs w:val="22"/>
              </w:rPr>
            </w:pPr>
            <w:r w:rsidRPr="00641BA9">
              <w:rPr>
                <w:sz w:val="22"/>
                <w:szCs w:val="22"/>
              </w:rPr>
              <w:t>$  66.2–$  75.3</w:t>
            </w:r>
          </w:p>
        </w:tc>
        <w:tc>
          <w:tcPr>
            <w:tcW w:w="1972" w:type="dxa"/>
            <w:tcBorders>
              <w:bottom w:val="double" w:sz="4" w:space="0" w:color="auto"/>
            </w:tcBorders>
          </w:tcPr>
          <w:p w14:paraId="78BCD64E" w14:textId="77777777" w:rsidR="00101352" w:rsidRPr="00641BA9" w:rsidRDefault="00101352" w:rsidP="005553E8">
            <w:pPr>
              <w:spacing w:line="240" w:lineRule="auto"/>
              <w:ind w:firstLine="0"/>
              <w:jc w:val="right"/>
              <w:rPr>
                <w:color w:val="FF0000"/>
                <w:sz w:val="22"/>
                <w:szCs w:val="22"/>
              </w:rPr>
            </w:pPr>
            <w:r w:rsidRPr="00641BA9">
              <w:rPr>
                <w:color w:val="FF0000"/>
                <w:sz w:val="22"/>
                <w:szCs w:val="22"/>
              </w:rPr>
              <w:t>($</w:t>
            </w:r>
            <w:r>
              <w:rPr>
                <w:color w:val="FF0000"/>
                <w:sz w:val="22"/>
                <w:szCs w:val="22"/>
              </w:rPr>
              <w:t xml:space="preserve">  </w:t>
            </w:r>
            <w:r w:rsidRPr="00641BA9">
              <w:rPr>
                <w:color w:val="FF0000"/>
                <w:sz w:val="22"/>
                <w:szCs w:val="22"/>
              </w:rPr>
              <w:t>10.3)–($    1.2)</w:t>
            </w:r>
          </w:p>
        </w:tc>
      </w:tr>
      <w:tr w:rsidR="00101352" w:rsidRPr="00641BA9" w14:paraId="7CEC85E4" w14:textId="77777777" w:rsidTr="005553E8">
        <w:tc>
          <w:tcPr>
            <w:tcW w:w="9330" w:type="dxa"/>
            <w:gridSpan w:val="6"/>
            <w:tcBorders>
              <w:top w:val="double" w:sz="4" w:space="0" w:color="auto"/>
              <w:bottom w:val="double" w:sz="4" w:space="0" w:color="auto"/>
            </w:tcBorders>
            <w:shd w:val="clear" w:color="auto" w:fill="auto"/>
          </w:tcPr>
          <w:p w14:paraId="7B22B0FB" w14:textId="77777777" w:rsidR="00101352" w:rsidRPr="00641BA9" w:rsidRDefault="00101352" w:rsidP="005553E8">
            <w:pPr>
              <w:spacing w:line="240" w:lineRule="auto"/>
              <w:ind w:firstLine="0"/>
              <w:rPr>
                <w:sz w:val="22"/>
                <w:szCs w:val="22"/>
              </w:rPr>
            </w:pPr>
            <w:r w:rsidRPr="00641BA9">
              <w:rPr>
                <w:sz w:val="22"/>
                <w:szCs w:val="22"/>
              </w:rPr>
              <w:t xml:space="preserve">Source: </w:t>
            </w:r>
            <w:r>
              <w:rPr>
                <w:noProof/>
                <w:sz w:val="22"/>
                <w:szCs w:val="22"/>
              </w:rPr>
              <w:t>USEPA (2000e)</w:t>
            </w:r>
            <w:r>
              <w:rPr>
                <w:sz w:val="22"/>
                <w:szCs w:val="22"/>
              </w:rPr>
              <w:t>.</w:t>
            </w:r>
          </w:p>
        </w:tc>
      </w:tr>
    </w:tbl>
    <w:p w14:paraId="18D96DA6" w14:textId="77777777" w:rsidR="00101352" w:rsidRDefault="00101352" w:rsidP="00101352">
      <w:pPr>
        <w:spacing w:line="240" w:lineRule="auto"/>
        <w:ind w:firstLine="0"/>
      </w:pPr>
    </w:p>
    <w:p w14:paraId="6850297B" w14:textId="77777777" w:rsidR="00101352" w:rsidRDefault="00101352" w:rsidP="00101352">
      <w:pPr>
        <w:spacing w:line="240" w:lineRule="auto"/>
        <w:ind w:firstLine="0"/>
      </w:pPr>
      <w:r>
        <w:br w:type="page"/>
      </w:r>
    </w:p>
    <w:p w14:paraId="66544C04" w14:textId="77777777" w:rsidR="00101352" w:rsidRDefault="00101352" w:rsidP="00101352">
      <w:pPr>
        <w:pStyle w:val="Caption"/>
        <w:keepNext/>
      </w:pPr>
      <w:bookmarkStart w:id="59" w:name="_Ref536529283"/>
      <w:r>
        <w:lastRenderedPageBreak/>
        <w:t xml:space="preserve">Table </w:t>
      </w:r>
      <w:fldSimple w:instr=" STYLEREF 1 \s ">
        <w:r>
          <w:rPr>
            <w:noProof/>
          </w:rPr>
          <w:t>7</w:t>
        </w:r>
      </w:fldSimple>
      <w:r>
        <w:noBreakHyphen/>
      </w:r>
      <w:fldSimple w:instr=" SEQ Table \* ARABIC \s 1 ">
        <w:r>
          <w:rPr>
            <w:noProof/>
          </w:rPr>
          <w:t>6</w:t>
        </w:r>
      </w:fldSimple>
      <w:bookmarkEnd w:id="59"/>
      <w:r>
        <w:t xml:space="preserve">: Arsenic NPDWR: USEPA-estimated </w:t>
      </w:r>
      <w:r w:rsidRPr="00F11A1D">
        <w:t xml:space="preserve">Value of </w:t>
      </w:r>
      <w:r>
        <w:t xml:space="preserve">per Capita </w:t>
      </w:r>
      <w:r w:rsidRPr="00F11A1D">
        <w:t>Cancer Risk Reduction</w:t>
      </w:r>
      <w:r>
        <w:t xml:space="preserve"> by System Size and MCL</w:t>
      </w:r>
    </w:p>
    <w:tbl>
      <w:tblPr>
        <w:tblStyle w:val="GridTable1Light1"/>
        <w:tblW w:w="9291" w:type="dxa"/>
        <w:jc w:val="center"/>
        <w:tblBorders>
          <w:top w:val="double" w:sz="4" w:space="0" w:color="999999" w:themeColor="text1" w:themeTint="66"/>
          <w:left w:val="double" w:sz="4" w:space="0" w:color="999999" w:themeColor="text1" w:themeTint="66"/>
          <w:bottom w:val="double" w:sz="4" w:space="0" w:color="999999" w:themeColor="text1" w:themeTint="66"/>
          <w:right w:val="double" w:sz="4" w:space="0" w:color="999999" w:themeColor="text1" w:themeTint="66"/>
        </w:tblBorders>
        <w:tblLook w:val="04A0" w:firstRow="1" w:lastRow="0" w:firstColumn="1" w:lastColumn="0" w:noHBand="0" w:noVBand="1"/>
      </w:tblPr>
      <w:tblGrid>
        <w:gridCol w:w="1425"/>
        <w:gridCol w:w="1800"/>
        <w:gridCol w:w="1800"/>
        <w:gridCol w:w="2340"/>
        <w:gridCol w:w="1926"/>
      </w:tblGrid>
      <w:tr w:rsidR="00101352" w:rsidRPr="00F140B0" w14:paraId="2BA3D932" w14:textId="77777777" w:rsidTr="005553E8">
        <w:trPr>
          <w:cnfStyle w:val="100000000000" w:firstRow="1" w:lastRow="0" w:firstColumn="0" w:lastColumn="0" w:oddVBand="0" w:evenVBand="0" w:oddHBand="0" w:evenHBand="0" w:firstRowFirstColumn="0" w:firstRowLastColumn="0" w:lastRowFirstColumn="0" w:lastRowLastColumn="0"/>
          <w:trHeight w:val="413"/>
          <w:jc w:val="center"/>
        </w:trPr>
        <w:tc>
          <w:tcPr>
            <w:cnfStyle w:val="001000000000" w:firstRow="0" w:lastRow="0" w:firstColumn="1" w:lastColumn="0" w:oddVBand="0" w:evenVBand="0" w:oddHBand="0" w:evenHBand="0" w:firstRowFirstColumn="0" w:firstRowLastColumn="0" w:lastRowFirstColumn="0" w:lastRowLastColumn="0"/>
            <w:tcW w:w="1425" w:type="dxa"/>
            <w:vMerge w:val="restart"/>
            <w:noWrap/>
            <w:vAlign w:val="center"/>
            <w:hideMark/>
          </w:tcPr>
          <w:p w14:paraId="4AF52AB7" w14:textId="77777777" w:rsidR="00101352" w:rsidRPr="00F140B0" w:rsidRDefault="00101352" w:rsidP="005553E8">
            <w:pPr>
              <w:spacing w:line="240" w:lineRule="auto"/>
              <w:ind w:firstLine="0"/>
              <w:contextualSpacing/>
              <w:jc w:val="center"/>
              <w:rPr>
                <w:b w:val="0"/>
                <w:bCs w:val="0"/>
                <w:color w:val="000000"/>
              </w:rPr>
            </w:pPr>
            <w:r w:rsidRPr="00F140B0">
              <w:rPr>
                <w:b w:val="0"/>
                <w:color w:val="000000"/>
              </w:rPr>
              <w:t>MCL</w:t>
            </w:r>
          </w:p>
          <w:p w14:paraId="3A749296" w14:textId="77777777" w:rsidR="00101352" w:rsidRPr="00F140B0" w:rsidRDefault="00101352" w:rsidP="005553E8">
            <w:pPr>
              <w:spacing w:line="240" w:lineRule="auto"/>
              <w:ind w:firstLine="0"/>
              <w:contextualSpacing/>
              <w:jc w:val="center"/>
              <w:rPr>
                <w:b w:val="0"/>
                <w:color w:val="000000"/>
              </w:rPr>
            </w:pPr>
            <w:r w:rsidRPr="00F140B0">
              <w:rPr>
                <w:b w:val="0"/>
                <w:color w:val="000000"/>
              </w:rPr>
              <w:t>(</w:t>
            </w:r>
            <w:r w:rsidRPr="00F140B0">
              <w:rPr>
                <w:b w:val="0"/>
                <w:color w:val="000000"/>
              </w:rPr>
              <w:sym w:font="Symbol" w:char="F06D"/>
            </w:r>
            <w:r w:rsidRPr="00F140B0">
              <w:rPr>
                <w:b w:val="0"/>
                <w:color w:val="000000"/>
              </w:rPr>
              <w:t>g/L)</w:t>
            </w:r>
          </w:p>
        </w:tc>
        <w:tc>
          <w:tcPr>
            <w:tcW w:w="1800" w:type="dxa"/>
            <w:vMerge w:val="restart"/>
            <w:vAlign w:val="center"/>
            <w:hideMark/>
          </w:tcPr>
          <w:p w14:paraId="252851BF" w14:textId="77777777" w:rsidR="00101352" w:rsidRPr="00F140B0" w:rsidRDefault="00101352" w:rsidP="005553E8">
            <w:pPr>
              <w:spacing w:line="240" w:lineRule="auto"/>
              <w:ind w:firstLine="0"/>
              <w:contextualSpacing/>
              <w:jc w:val="center"/>
              <w:cnfStyle w:val="100000000000" w:firstRow="1" w:lastRow="0" w:firstColumn="0" w:lastColumn="0" w:oddVBand="0" w:evenVBand="0" w:oddHBand="0" w:evenHBand="0" w:firstRowFirstColumn="0" w:firstRowLastColumn="0" w:lastRowFirstColumn="0" w:lastRowLastColumn="0"/>
              <w:rPr>
                <w:b w:val="0"/>
                <w:color w:val="000000"/>
              </w:rPr>
            </w:pPr>
            <w:r>
              <w:rPr>
                <w:b w:val="0"/>
                <w:color w:val="000000"/>
              </w:rPr>
              <w:t xml:space="preserve">Risk for </w:t>
            </w:r>
            <w:r w:rsidRPr="00F140B0">
              <w:rPr>
                <w:b w:val="0"/>
                <w:color w:val="000000"/>
              </w:rPr>
              <w:t>Mean Exposed Population Risk</w:t>
            </w:r>
          </w:p>
        </w:tc>
        <w:tc>
          <w:tcPr>
            <w:tcW w:w="1800" w:type="dxa"/>
            <w:vMerge w:val="restart"/>
            <w:vAlign w:val="center"/>
            <w:hideMark/>
          </w:tcPr>
          <w:p w14:paraId="16D4CA48" w14:textId="77777777" w:rsidR="00101352" w:rsidRPr="00F140B0" w:rsidRDefault="00101352" w:rsidP="005553E8">
            <w:pPr>
              <w:spacing w:line="240" w:lineRule="auto"/>
              <w:ind w:firstLine="0"/>
              <w:contextualSpacing/>
              <w:jc w:val="center"/>
              <w:cnfStyle w:val="100000000000" w:firstRow="1" w:lastRow="0" w:firstColumn="0" w:lastColumn="0" w:oddVBand="0" w:evenVBand="0" w:oddHBand="0" w:evenHBand="0" w:firstRowFirstColumn="0" w:firstRowLastColumn="0" w:lastRowFirstColumn="0" w:lastRowLastColumn="0"/>
              <w:rPr>
                <w:b w:val="0"/>
                <w:color w:val="000000"/>
              </w:rPr>
            </w:pPr>
            <w:r w:rsidRPr="00F140B0">
              <w:rPr>
                <w:b w:val="0"/>
                <w:color w:val="000000"/>
              </w:rPr>
              <w:t>PV Per Capita Risk Reduction</w:t>
            </w:r>
          </w:p>
        </w:tc>
        <w:tc>
          <w:tcPr>
            <w:tcW w:w="4266" w:type="dxa"/>
            <w:gridSpan w:val="2"/>
            <w:vAlign w:val="center"/>
            <w:hideMark/>
          </w:tcPr>
          <w:p w14:paraId="7C60E0FA" w14:textId="77777777" w:rsidR="00101352" w:rsidRPr="00F140B0" w:rsidRDefault="00101352" w:rsidP="005553E8">
            <w:pPr>
              <w:spacing w:line="240" w:lineRule="auto"/>
              <w:ind w:firstLine="0"/>
              <w:contextualSpacing/>
              <w:jc w:val="center"/>
              <w:cnfStyle w:val="100000000000" w:firstRow="1" w:lastRow="0" w:firstColumn="0" w:lastColumn="0" w:oddVBand="0" w:evenVBand="0" w:oddHBand="0" w:evenHBand="0" w:firstRowFirstColumn="0" w:firstRowLastColumn="0" w:lastRowFirstColumn="0" w:lastRowLastColumn="0"/>
              <w:rPr>
                <w:b w:val="0"/>
                <w:color w:val="000000"/>
              </w:rPr>
            </w:pPr>
            <w:r w:rsidRPr="00F140B0">
              <w:rPr>
                <w:b w:val="0"/>
                <w:color w:val="000000"/>
              </w:rPr>
              <w:t>Annualized Value of Per Capita Risk Reduction, 35 years</w:t>
            </w:r>
          </w:p>
        </w:tc>
      </w:tr>
      <w:tr w:rsidR="00101352" w:rsidRPr="00F140B0" w14:paraId="7CFFAC4F" w14:textId="77777777" w:rsidTr="005553E8">
        <w:trPr>
          <w:trHeight w:val="340"/>
          <w:jc w:val="center"/>
        </w:trPr>
        <w:tc>
          <w:tcPr>
            <w:cnfStyle w:val="001000000000" w:firstRow="0" w:lastRow="0" w:firstColumn="1" w:lastColumn="0" w:oddVBand="0" w:evenVBand="0" w:oddHBand="0" w:evenHBand="0" w:firstRowFirstColumn="0" w:firstRowLastColumn="0" w:lastRowFirstColumn="0" w:lastRowLastColumn="0"/>
            <w:tcW w:w="1425" w:type="dxa"/>
            <w:vMerge/>
            <w:tcBorders>
              <w:bottom w:val="double" w:sz="4" w:space="0" w:color="999999" w:themeColor="text1" w:themeTint="66"/>
            </w:tcBorders>
            <w:noWrap/>
            <w:hideMark/>
          </w:tcPr>
          <w:p w14:paraId="47D02F1A" w14:textId="77777777" w:rsidR="00101352" w:rsidRPr="00F140B0" w:rsidRDefault="00101352" w:rsidP="005553E8">
            <w:pPr>
              <w:spacing w:line="240" w:lineRule="auto"/>
              <w:ind w:firstLine="0"/>
              <w:contextualSpacing/>
              <w:jc w:val="right"/>
              <w:rPr>
                <w:color w:val="000000"/>
              </w:rPr>
            </w:pPr>
          </w:p>
        </w:tc>
        <w:tc>
          <w:tcPr>
            <w:tcW w:w="1800" w:type="dxa"/>
            <w:vMerge/>
            <w:tcBorders>
              <w:bottom w:val="double" w:sz="4" w:space="0" w:color="999999" w:themeColor="text1" w:themeTint="66"/>
            </w:tcBorders>
            <w:hideMark/>
          </w:tcPr>
          <w:p w14:paraId="18ABCD6B" w14:textId="77777777" w:rsidR="00101352" w:rsidRPr="00F140B0" w:rsidRDefault="00101352" w:rsidP="005553E8">
            <w:pPr>
              <w:spacing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rPr>
            </w:pPr>
          </w:p>
        </w:tc>
        <w:tc>
          <w:tcPr>
            <w:tcW w:w="1800" w:type="dxa"/>
            <w:vMerge/>
            <w:tcBorders>
              <w:bottom w:val="double" w:sz="4" w:space="0" w:color="999999" w:themeColor="text1" w:themeTint="66"/>
            </w:tcBorders>
            <w:hideMark/>
          </w:tcPr>
          <w:p w14:paraId="11F4349A" w14:textId="77777777" w:rsidR="00101352" w:rsidRPr="00F140B0" w:rsidRDefault="00101352" w:rsidP="005553E8">
            <w:pPr>
              <w:spacing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i/>
                <w:color w:val="000000"/>
              </w:rPr>
            </w:pPr>
          </w:p>
        </w:tc>
        <w:tc>
          <w:tcPr>
            <w:tcW w:w="2340" w:type="dxa"/>
            <w:tcBorders>
              <w:bottom w:val="double" w:sz="4" w:space="0" w:color="999999" w:themeColor="text1" w:themeTint="66"/>
            </w:tcBorders>
            <w:hideMark/>
          </w:tcPr>
          <w:p w14:paraId="6092AA4C" w14:textId="77777777" w:rsidR="00101352" w:rsidRPr="00F140B0" w:rsidRDefault="00101352" w:rsidP="005553E8">
            <w:pPr>
              <w:spacing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rPr>
            </w:pPr>
            <w:r w:rsidRPr="00F140B0">
              <w:rPr>
                <w:i/>
                <w:color w:val="000000"/>
              </w:rPr>
              <w:t>r</w:t>
            </w:r>
            <w:r w:rsidRPr="00F140B0">
              <w:rPr>
                <w:color w:val="000000"/>
              </w:rPr>
              <w:t xml:space="preserve"> = 3%</w:t>
            </w:r>
          </w:p>
        </w:tc>
        <w:tc>
          <w:tcPr>
            <w:tcW w:w="1926" w:type="dxa"/>
            <w:tcBorders>
              <w:bottom w:val="double" w:sz="4" w:space="0" w:color="999999" w:themeColor="text1" w:themeTint="66"/>
            </w:tcBorders>
            <w:hideMark/>
          </w:tcPr>
          <w:p w14:paraId="759C01D8" w14:textId="77777777" w:rsidR="00101352" w:rsidRPr="00F140B0" w:rsidRDefault="00101352" w:rsidP="005553E8">
            <w:pPr>
              <w:spacing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rPr>
            </w:pPr>
            <w:r w:rsidRPr="00F140B0">
              <w:rPr>
                <w:i/>
                <w:color w:val="000000"/>
              </w:rPr>
              <w:t>r</w:t>
            </w:r>
            <w:r w:rsidRPr="00F140B0">
              <w:rPr>
                <w:color w:val="000000"/>
              </w:rPr>
              <w:t xml:space="preserve"> = 7%</w:t>
            </w:r>
          </w:p>
        </w:tc>
      </w:tr>
      <w:tr w:rsidR="00101352" w:rsidRPr="00F140B0" w14:paraId="5B23D726" w14:textId="77777777" w:rsidTr="005553E8">
        <w:trPr>
          <w:trHeight w:val="320"/>
          <w:jc w:val="center"/>
        </w:trPr>
        <w:tc>
          <w:tcPr>
            <w:cnfStyle w:val="001000000000" w:firstRow="0" w:lastRow="0" w:firstColumn="1" w:lastColumn="0" w:oddVBand="0" w:evenVBand="0" w:oddHBand="0" w:evenHBand="0" w:firstRowFirstColumn="0" w:firstRowLastColumn="0" w:lastRowFirstColumn="0" w:lastRowLastColumn="0"/>
            <w:tcW w:w="9291" w:type="dxa"/>
            <w:gridSpan w:val="5"/>
            <w:tcBorders>
              <w:top w:val="double" w:sz="4" w:space="0" w:color="999999" w:themeColor="text1" w:themeTint="66"/>
              <w:bottom w:val="single" w:sz="4" w:space="0" w:color="999999" w:themeColor="text1" w:themeTint="66"/>
            </w:tcBorders>
            <w:noWrap/>
          </w:tcPr>
          <w:p w14:paraId="778241D1" w14:textId="77777777" w:rsidR="00101352" w:rsidRPr="00F140B0" w:rsidRDefault="00101352" w:rsidP="005553E8">
            <w:pPr>
              <w:spacing w:line="240" w:lineRule="auto"/>
              <w:ind w:firstLine="0"/>
              <w:contextualSpacing/>
              <w:jc w:val="center"/>
              <w:rPr>
                <w:color w:val="000000"/>
              </w:rPr>
            </w:pPr>
            <w:r>
              <w:rPr>
                <w:color w:val="000000"/>
              </w:rPr>
              <w:t>“Lower Bound” Exposure Scenario</w:t>
            </w:r>
          </w:p>
        </w:tc>
      </w:tr>
      <w:tr w:rsidR="00101352" w:rsidRPr="00F140B0" w14:paraId="3B3B43F3" w14:textId="77777777" w:rsidTr="005553E8">
        <w:trPr>
          <w:trHeight w:val="320"/>
          <w:jc w:val="center"/>
        </w:trPr>
        <w:tc>
          <w:tcPr>
            <w:cnfStyle w:val="001000000000" w:firstRow="0" w:lastRow="0" w:firstColumn="1" w:lastColumn="0" w:oddVBand="0" w:evenVBand="0" w:oddHBand="0" w:evenHBand="0" w:firstRowFirstColumn="0" w:firstRowLastColumn="0" w:lastRowFirstColumn="0" w:lastRowLastColumn="0"/>
            <w:tcW w:w="1425" w:type="dxa"/>
            <w:tcBorders>
              <w:top w:val="double" w:sz="4" w:space="0" w:color="999999" w:themeColor="text1" w:themeTint="66"/>
              <w:bottom w:val="single" w:sz="4" w:space="0" w:color="999999" w:themeColor="text1" w:themeTint="66"/>
            </w:tcBorders>
            <w:noWrap/>
            <w:hideMark/>
          </w:tcPr>
          <w:p w14:paraId="0901C01F" w14:textId="77777777" w:rsidR="00101352" w:rsidRPr="00F140B0" w:rsidRDefault="00101352" w:rsidP="005553E8">
            <w:pPr>
              <w:spacing w:line="240" w:lineRule="auto"/>
              <w:ind w:firstLine="0"/>
              <w:contextualSpacing/>
              <w:jc w:val="right"/>
              <w:rPr>
                <w:b w:val="0"/>
                <w:color w:val="000000"/>
              </w:rPr>
            </w:pPr>
            <w:r w:rsidRPr="00F140B0">
              <w:rPr>
                <w:b w:val="0"/>
                <w:color w:val="000000"/>
              </w:rPr>
              <w:t>3</w:t>
            </w:r>
          </w:p>
        </w:tc>
        <w:tc>
          <w:tcPr>
            <w:tcW w:w="1800" w:type="dxa"/>
            <w:tcBorders>
              <w:top w:val="double" w:sz="4" w:space="0" w:color="999999" w:themeColor="text1" w:themeTint="66"/>
              <w:bottom w:val="single" w:sz="4" w:space="0" w:color="999999" w:themeColor="text1" w:themeTint="66"/>
            </w:tcBorders>
            <w:noWrap/>
          </w:tcPr>
          <w:p w14:paraId="23342DA5" w14:textId="77777777" w:rsidR="00101352" w:rsidRPr="00165797" w:rsidRDefault="00101352" w:rsidP="005553E8">
            <w:pPr>
              <w:spacing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vertAlign w:val="superscript"/>
              </w:rPr>
            </w:pPr>
            <w:r>
              <w:rPr>
                <w:color w:val="000000"/>
              </w:rPr>
              <w:t>1.10E</w:t>
            </w:r>
            <w:r>
              <w:rPr>
                <w:color w:val="000000"/>
                <w:vertAlign w:val="superscript"/>
              </w:rPr>
              <w:t>-4</w:t>
            </w:r>
          </w:p>
        </w:tc>
        <w:tc>
          <w:tcPr>
            <w:tcW w:w="1800" w:type="dxa"/>
            <w:tcBorders>
              <w:top w:val="double" w:sz="4" w:space="0" w:color="999999" w:themeColor="text1" w:themeTint="66"/>
              <w:bottom w:val="single" w:sz="4" w:space="0" w:color="999999" w:themeColor="text1" w:themeTint="66"/>
            </w:tcBorders>
            <w:noWrap/>
          </w:tcPr>
          <w:p w14:paraId="23C7D841" w14:textId="77777777" w:rsidR="00101352" w:rsidRPr="00F140B0" w:rsidRDefault="00101352" w:rsidP="005553E8">
            <w:pPr>
              <w:spacing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$67</w:t>
            </w:r>
          </w:p>
        </w:tc>
        <w:tc>
          <w:tcPr>
            <w:tcW w:w="2340" w:type="dxa"/>
            <w:tcBorders>
              <w:top w:val="double" w:sz="4" w:space="0" w:color="999999" w:themeColor="text1" w:themeTint="66"/>
              <w:bottom w:val="single" w:sz="4" w:space="0" w:color="999999" w:themeColor="text1" w:themeTint="66"/>
            </w:tcBorders>
            <w:noWrap/>
          </w:tcPr>
          <w:p w14:paraId="44BFE9C3" w14:textId="77777777" w:rsidR="00101352" w:rsidRPr="00F140B0" w:rsidRDefault="00101352" w:rsidP="005553E8">
            <w:pPr>
              <w:spacing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$3.12</w:t>
            </w:r>
          </w:p>
        </w:tc>
        <w:tc>
          <w:tcPr>
            <w:tcW w:w="1926" w:type="dxa"/>
            <w:tcBorders>
              <w:top w:val="double" w:sz="4" w:space="0" w:color="999999" w:themeColor="text1" w:themeTint="66"/>
              <w:bottom w:val="single" w:sz="4" w:space="0" w:color="999999" w:themeColor="text1" w:themeTint="66"/>
            </w:tcBorders>
            <w:noWrap/>
          </w:tcPr>
          <w:p w14:paraId="1177C7DE" w14:textId="77777777" w:rsidR="00101352" w:rsidRPr="00F140B0" w:rsidRDefault="00101352" w:rsidP="005553E8">
            <w:pPr>
              <w:spacing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$0.24</w:t>
            </w:r>
          </w:p>
        </w:tc>
      </w:tr>
      <w:tr w:rsidR="00101352" w:rsidRPr="00F140B0" w14:paraId="44AAD812" w14:textId="77777777" w:rsidTr="005553E8">
        <w:trPr>
          <w:trHeight w:val="320"/>
          <w:jc w:val="center"/>
        </w:trPr>
        <w:tc>
          <w:tcPr>
            <w:cnfStyle w:val="001000000000" w:firstRow="0" w:lastRow="0" w:firstColumn="1" w:lastColumn="0" w:oddVBand="0" w:evenVBand="0" w:oddHBand="0" w:evenHBand="0" w:firstRowFirstColumn="0" w:firstRowLastColumn="0" w:lastRowFirstColumn="0" w:lastRowLastColumn="0"/>
            <w:tcW w:w="1425" w:type="dxa"/>
            <w:tcBorders>
              <w:top w:val="single" w:sz="4" w:space="0" w:color="999999" w:themeColor="text1" w:themeTint="66"/>
            </w:tcBorders>
            <w:noWrap/>
            <w:hideMark/>
          </w:tcPr>
          <w:p w14:paraId="6BAA92DF" w14:textId="77777777" w:rsidR="00101352" w:rsidRPr="00F140B0" w:rsidRDefault="00101352" w:rsidP="005553E8">
            <w:pPr>
              <w:spacing w:line="240" w:lineRule="auto"/>
              <w:ind w:firstLine="0"/>
              <w:contextualSpacing/>
              <w:jc w:val="right"/>
              <w:rPr>
                <w:b w:val="0"/>
                <w:color w:val="000000"/>
              </w:rPr>
            </w:pPr>
            <w:r w:rsidRPr="00F140B0">
              <w:rPr>
                <w:b w:val="0"/>
                <w:color w:val="000000"/>
              </w:rPr>
              <w:t>5</w:t>
            </w:r>
          </w:p>
        </w:tc>
        <w:tc>
          <w:tcPr>
            <w:tcW w:w="1800" w:type="dxa"/>
            <w:tcBorders>
              <w:top w:val="single" w:sz="4" w:space="0" w:color="999999" w:themeColor="text1" w:themeTint="66"/>
            </w:tcBorders>
            <w:noWrap/>
          </w:tcPr>
          <w:p w14:paraId="09D16DCD" w14:textId="77777777" w:rsidR="00101352" w:rsidRPr="00F140B0" w:rsidRDefault="00101352" w:rsidP="005553E8">
            <w:pPr>
              <w:spacing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2.70E</w:t>
            </w:r>
            <w:r w:rsidRPr="00165797">
              <w:rPr>
                <w:color w:val="000000"/>
                <w:vertAlign w:val="superscript"/>
              </w:rPr>
              <w:t>-4</w:t>
            </w:r>
          </w:p>
        </w:tc>
        <w:tc>
          <w:tcPr>
            <w:tcW w:w="1800" w:type="dxa"/>
            <w:tcBorders>
              <w:top w:val="single" w:sz="4" w:space="0" w:color="999999" w:themeColor="text1" w:themeTint="66"/>
            </w:tcBorders>
            <w:noWrap/>
          </w:tcPr>
          <w:p w14:paraId="426DFD75" w14:textId="77777777" w:rsidR="00101352" w:rsidRPr="00F140B0" w:rsidRDefault="00101352" w:rsidP="005553E8">
            <w:pPr>
              <w:spacing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$165</w:t>
            </w:r>
          </w:p>
        </w:tc>
        <w:tc>
          <w:tcPr>
            <w:tcW w:w="2340" w:type="dxa"/>
            <w:tcBorders>
              <w:top w:val="single" w:sz="4" w:space="0" w:color="999999" w:themeColor="text1" w:themeTint="66"/>
            </w:tcBorders>
            <w:noWrap/>
          </w:tcPr>
          <w:p w14:paraId="10A13CE3" w14:textId="77777777" w:rsidR="00101352" w:rsidRPr="00F140B0" w:rsidRDefault="00101352" w:rsidP="005553E8">
            <w:pPr>
              <w:spacing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$7.67</w:t>
            </w:r>
          </w:p>
        </w:tc>
        <w:tc>
          <w:tcPr>
            <w:tcW w:w="1926" w:type="dxa"/>
            <w:tcBorders>
              <w:top w:val="single" w:sz="4" w:space="0" w:color="999999" w:themeColor="text1" w:themeTint="66"/>
            </w:tcBorders>
            <w:noWrap/>
          </w:tcPr>
          <w:p w14:paraId="14A9799A" w14:textId="77777777" w:rsidR="00101352" w:rsidRPr="00F140B0" w:rsidRDefault="00101352" w:rsidP="005553E8">
            <w:pPr>
              <w:spacing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$0.59</w:t>
            </w:r>
          </w:p>
        </w:tc>
      </w:tr>
      <w:tr w:rsidR="00101352" w:rsidRPr="00F140B0" w14:paraId="64E291AD" w14:textId="77777777" w:rsidTr="005553E8">
        <w:trPr>
          <w:trHeight w:val="320"/>
          <w:jc w:val="center"/>
        </w:trPr>
        <w:tc>
          <w:tcPr>
            <w:cnfStyle w:val="001000000000" w:firstRow="0" w:lastRow="0" w:firstColumn="1" w:lastColumn="0" w:oddVBand="0" w:evenVBand="0" w:oddHBand="0" w:evenHBand="0" w:firstRowFirstColumn="0" w:firstRowLastColumn="0" w:lastRowFirstColumn="0" w:lastRowLastColumn="0"/>
            <w:tcW w:w="1425" w:type="dxa"/>
            <w:noWrap/>
            <w:hideMark/>
          </w:tcPr>
          <w:p w14:paraId="692FFD2F" w14:textId="77777777" w:rsidR="00101352" w:rsidRPr="00F140B0" w:rsidRDefault="00101352" w:rsidP="005553E8">
            <w:pPr>
              <w:spacing w:line="240" w:lineRule="auto"/>
              <w:ind w:firstLine="0"/>
              <w:contextualSpacing/>
              <w:jc w:val="right"/>
              <w:rPr>
                <w:b w:val="0"/>
                <w:color w:val="000000"/>
              </w:rPr>
            </w:pPr>
            <w:r w:rsidRPr="00F140B0">
              <w:rPr>
                <w:b w:val="0"/>
                <w:color w:val="000000"/>
              </w:rPr>
              <w:t>10</w:t>
            </w:r>
          </w:p>
        </w:tc>
        <w:tc>
          <w:tcPr>
            <w:tcW w:w="1800" w:type="dxa"/>
            <w:noWrap/>
          </w:tcPr>
          <w:p w14:paraId="7110DB53" w14:textId="77777777" w:rsidR="00101352" w:rsidRPr="00F140B0" w:rsidRDefault="00101352" w:rsidP="005553E8">
            <w:pPr>
              <w:spacing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6.30E</w:t>
            </w:r>
            <w:r w:rsidRPr="00165797">
              <w:rPr>
                <w:color w:val="000000"/>
                <w:vertAlign w:val="superscript"/>
              </w:rPr>
              <w:t>-4</w:t>
            </w:r>
          </w:p>
        </w:tc>
        <w:tc>
          <w:tcPr>
            <w:tcW w:w="1800" w:type="dxa"/>
            <w:noWrap/>
          </w:tcPr>
          <w:p w14:paraId="2EBAE488" w14:textId="77777777" w:rsidR="00101352" w:rsidRPr="00F140B0" w:rsidRDefault="00101352" w:rsidP="005553E8">
            <w:pPr>
              <w:spacing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$384</w:t>
            </w:r>
          </w:p>
        </w:tc>
        <w:tc>
          <w:tcPr>
            <w:tcW w:w="2340" w:type="dxa"/>
            <w:noWrap/>
          </w:tcPr>
          <w:p w14:paraId="52DE061A" w14:textId="77777777" w:rsidR="00101352" w:rsidRPr="00F140B0" w:rsidRDefault="00101352" w:rsidP="005553E8">
            <w:pPr>
              <w:spacing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$17.89</w:t>
            </w:r>
          </w:p>
        </w:tc>
        <w:tc>
          <w:tcPr>
            <w:tcW w:w="1926" w:type="dxa"/>
            <w:noWrap/>
          </w:tcPr>
          <w:p w14:paraId="2A9D0557" w14:textId="77777777" w:rsidR="00101352" w:rsidRPr="00F140B0" w:rsidRDefault="00101352" w:rsidP="005553E8">
            <w:pPr>
              <w:spacing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$1.38</w:t>
            </w:r>
          </w:p>
        </w:tc>
      </w:tr>
      <w:tr w:rsidR="00101352" w:rsidRPr="00F140B0" w14:paraId="3A3116B7" w14:textId="77777777" w:rsidTr="005553E8">
        <w:trPr>
          <w:trHeight w:val="340"/>
          <w:jc w:val="center"/>
        </w:trPr>
        <w:tc>
          <w:tcPr>
            <w:cnfStyle w:val="001000000000" w:firstRow="0" w:lastRow="0" w:firstColumn="1" w:lastColumn="0" w:oddVBand="0" w:evenVBand="0" w:oddHBand="0" w:evenHBand="0" w:firstRowFirstColumn="0" w:firstRowLastColumn="0" w:lastRowFirstColumn="0" w:lastRowLastColumn="0"/>
            <w:tcW w:w="1425" w:type="dxa"/>
            <w:tcBorders>
              <w:bottom w:val="double" w:sz="4" w:space="0" w:color="999999" w:themeColor="text1" w:themeTint="66"/>
            </w:tcBorders>
            <w:noWrap/>
            <w:hideMark/>
          </w:tcPr>
          <w:p w14:paraId="62FB8717" w14:textId="77777777" w:rsidR="00101352" w:rsidRPr="00F140B0" w:rsidRDefault="00101352" w:rsidP="005553E8">
            <w:pPr>
              <w:spacing w:line="240" w:lineRule="auto"/>
              <w:ind w:firstLine="0"/>
              <w:contextualSpacing/>
              <w:jc w:val="right"/>
              <w:rPr>
                <w:b w:val="0"/>
                <w:color w:val="000000"/>
              </w:rPr>
            </w:pPr>
            <w:r w:rsidRPr="00F140B0">
              <w:rPr>
                <w:b w:val="0"/>
                <w:color w:val="000000"/>
              </w:rPr>
              <w:t>20</w:t>
            </w:r>
          </w:p>
        </w:tc>
        <w:tc>
          <w:tcPr>
            <w:tcW w:w="1800" w:type="dxa"/>
            <w:tcBorders>
              <w:bottom w:val="double" w:sz="4" w:space="0" w:color="999999" w:themeColor="text1" w:themeTint="66"/>
            </w:tcBorders>
            <w:noWrap/>
          </w:tcPr>
          <w:p w14:paraId="667A771D" w14:textId="77777777" w:rsidR="00101352" w:rsidRPr="00F140B0" w:rsidRDefault="00101352" w:rsidP="005553E8">
            <w:pPr>
              <w:spacing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1.10E</w:t>
            </w:r>
            <w:r w:rsidRPr="00165797">
              <w:rPr>
                <w:color w:val="000000"/>
                <w:vertAlign w:val="superscript"/>
              </w:rPr>
              <w:t>-4</w:t>
            </w:r>
          </w:p>
        </w:tc>
        <w:tc>
          <w:tcPr>
            <w:tcW w:w="1800" w:type="dxa"/>
            <w:tcBorders>
              <w:bottom w:val="double" w:sz="4" w:space="0" w:color="999999" w:themeColor="text1" w:themeTint="66"/>
            </w:tcBorders>
            <w:noWrap/>
          </w:tcPr>
          <w:p w14:paraId="033873BF" w14:textId="77777777" w:rsidR="00101352" w:rsidRPr="00F140B0" w:rsidRDefault="00101352" w:rsidP="005553E8">
            <w:pPr>
              <w:spacing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$671</w:t>
            </w:r>
          </w:p>
        </w:tc>
        <w:tc>
          <w:tcPr>
            <w:tcW w:w="2340" w:type="dxa"/>
            <w:tcBorders>
              <w:bottom w:val="double" w:sz="4" w:space="0" w:color="999999" w:themeColor="text1" w:themeTint="66"/>
            </w:tcBorders>
            <w:noWrap/>
          </w:tcPr>
          <w:p w14:paraId="27BD228E" w14:textId="77777777" w:rsidR="00101352" w:rsidRPr="00F140B0" w:rsidRDefault="00101352" w:rsidP="005553E8">
            <w:pPr>
              <w:spacing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$31.23</w:t>
            </w:r>
          </w:p>
        </w:tc>
        <w:tc>
          <w:tcPr>
            <w:tcW w:w="1926" w:type="dxa"/>
            <w:tcBorders>
              <w:bottom w:val="double" w:sz="4" w:space="0" w:color="999999" w:themeColor="text1" w:themeTint="66"/>
            </w:tcBorders>
            <w:noWrap/>
          </w:tcPr>
          <w:p w14:paraId="1DE375F6" w14:textId="77777777" w:rsidR="00101352" w:rsidRPr="00F140B0" w:rsidRDefault="00101352" w:rsidP="005553E8">
            <w:pPr>
              <w:spacing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$2.41</w:t>
            </w:r>
          </w:p>
        </w:tc>
      </w:tr>
      <w:tr w:rsidR="00101352" w:rsidRPr="00F140B0" w14:paraId="4890EA5C" w14:textId="77777777" w:rsidTr="005553E8">
        <w:trPr>
          <w:trHeight w:val="340"/>
          <w:jc w:val="center"/>
        </w:trPr>
        <w:tc>
          <w:tcPr>
            <w:cnfStyle w:val="001000000000" w:firstRow="0" w:lastRow="0" w:firstColumn="1" w:lastColumn="0" w:oddVBand="0" w:evenVBand="0" w:oddHBand="0" w:evenHBand="0" w:firstRowFirstColumn="0" w:firstRowLastColumn="0" w:lastRowFirstColumn="0" w:lastRowLastColumn="0"/>
            <w:tcW w:w="9291" w:type="dxa"/>
            <w:gridSpan w:val="5"/>
            <w:tcBorders>
              <w:bottom w:val="double" w:sz="4" w:space="0" w:color="999999" w:themeColor="text1" w:themeTint="66"/>
            </w:tcBorders>
            <w:noWrap/>
          </w:tcPr>
          <w:p w14:paraId="084134BD" w14:textId="77777777" w:rsidR="00101352" w:rsidRPr="00F140B0" w:rsidRDefault="00101352" w:rsidP="005553E8">
            <w:pPr>
              <w:spacing w:line="240" w:lineRule="auto"/>
              <w:ind w:firstLine="0"/>
              <w:contextualSpacing/>
              <w:jc w:val="center"/>
              <w:rPr>
                <w:color w:val="000000"/>
              </w:rPr>
            </w:pPr>
            <w:r>
              <w:rPr>
                <w:color w:val="000000"/>
              </w:rPr>
              <w:t>“Upper Bound” Exposure Scenario</w:t>
            </w:r>
          </w:p>
        </w:tc>
      </w:tr>
      <w:tr w:rsidR="00101352" w:rsidRPr="00F140B0" w14:paraId="67EA0004" w14:textId="77777777" w:rsidTr="005553E8">
        <w:trPr>
          <w:trHeight w:val="340"/>
          <w:jc w:val="center"/>
        </w:trPr>
        <w:tc>
          <w:tcPr>
            <w:cnfStyle w:val="001000000000" w:firstRow="0" w:lastRow="0" w:firstColumn="1" w:lastColumn="0" w:oddVBand="0" w:evenVBand="0" w:oddHBand="0" w:evenHBand="0" w:firstRowFirstColumn="0" w:firstRowLastColumn="0" w:lastRowFirstColumn="0" w:lastRowLastColumn="0"/>
            <w:tcW w:w="1425" w:type="dxa"/>
            <w:tcBorders>
              <w:bottom w:val="double" w:sz="4" w:space="0" w:color="999999" w:themeColor="text1" w:themeTint="66"/>
            </w:tcBorders>
            <w:noWrap/>
          </w:tcPr>
          <w:p w14:paraId="7A7BB1FF" w14:textId="77777777" w:rsidR="00101352" w:rsidRPr="00F140B0" w:rsidRDefault="00101352" w:rsidP="005553E8">
            <w:pPr>
              <w:spacing w:line="240" w:lineRule="auto"/>
              <w:ind w:firstLine="0"/>
              <w:contextualSpacing/>
              <w:jc w:val="right"/>
              <w:rPr>
                <w:b w:val="0"/>
                <w:color w:val="000000"/>
              </w:rPr>
            </w:pPr>
            <w:r w:rsidRPr="00F140B0">
              <w:rPr>
                <w:b w:val="0"/>
                <w:color w:val="000000"/>
              </w:rPr>
              <w:t>3</w:t>
            </w:r>
          </w:p>
        </w:tc>
        <w:tc>
          <w:tcPr>
            <w:tcW w:w="1800" w:type="dxa"/>
            <w:tcBorders>
              <w:bottom w:val="double" w:sz="4" w:space="0" w:color="999999" w:themeColor="text1" w:themeTint="66"/>
            </w:tcBorders>
            <w:noWrap/>
          </w:tcPr>
          <w:p w14:paraId="76687706" w14:textId="77777777" w:rsidR="00101352" w:rsidRPr="00F140B0" w:rsidRDefault="00101352" w:rsidP="005553E8">
            <w:pPr>
              <w:spacing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1.25E</w:t>
            </w:r>
            <w:r w:rsidRPr="00165797">
              <w:rPr>
                <w:color w:val="000000"/>
                <w:vertAlign w:val="superscript"/>
              </w:rPr>
              <w:t>-4</w:t>
            </w:r>
          </w:p>
        </w:tc>
        <w:tc>
          <w:tcPr>
            <w:tcW w:w="1800" w:type="dxa"/>
            <w:tcBorders>
              <w:bottom w:val="double" w:sz="4" w:space="0" w:color="999999" w:themeColor="text1" w:themeTint="66"/>
            </w:tcBorders>
            <w:noWrap/>
          </w:tcPr>
          <w:p w14:paraId="20AB16E5" w14:textId="77777777" w:rsidR="00101352" w:rsidRPr="00F140B0" w:rsidRDefault="00101352" w:rsidP="005553E8">
            <w:pPr>
              <w:spacing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$763</w:t>
            </w:r>
          </w:p>
        </w:tc>
        <w:tc>
          <w:tcPr>
            <w:tcW w:w="2340" w:type="dxa"/>
            <w:tcBorders>
              <w:bottom w:val="double" w:sz="4" w:space="0" w:color="999999" w:themeColor="text1" w:themeTint="66"/>
            </w:tcBorders>
            <w:noWrap/>
          </w:tcPr>
          <w:p w14:paraId="5E9A1074" w14:textId="77777777" w:rsidR="00101352" w:rsidRPr="00F140B0" w:rsidRDefault="00101352" w:rsidP="005553E8">
            <w:pPr>
              <w:spacing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$35.49</w:t>
            </w:r>
          </w:p>
        </w:tc>
        <w:tc>
          <w:tcPr>
            <w:tcW w:w="1926" w:type="dxa"/>
            <w:tcBorders>
              <w:bottom w:val="double" w:sz="4" w:space="0" w:color="999999" w:themeColor="text1" w:themeTint="66"/>
            </w:tcBorders>
            <w:noWrap/>
          </w:tcPr>
          <w:p w14:paraId="577613FF" w14:textId="77777777" w:rsidR="00101352" w:rsidRPr="00F140B0" w:rsidRDefault="00101352" w:rsidP="005553E8">
            <w:pPr>
              <w:spacing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$2.74</w:t>
            </w:r>
          </w:p>
        </w:tc>
      </w:tr>
      <w:tr w:rsidR="00101352" w:rsidRPr="00F140B0" w14:paraId="045EE4C6" w14:textId="77777777" w:rsidTr="005553E8">
        <w:trPr>
          <w:trHeight w:val="340"/>
          <w:jc w:val="center"/>
        </w:trPr>
        <w:tc>
          <w:tcPr>
            <w:cnfStyle w:val="001000000000" w:firstRow="0" w:lastRow="0" w:firstColumn="1" w:lastColumn="0" w:oddVBand="0" w:evenVBand="0" w:oddHBand="0" w:evenHBand="0" w:firstRowFirstColumn="0" w:firstRowLastColumn="0" w:lastRowFirstColumn="0" w:lastRowLastColumn="0"/>
            <w:tcW w:w="1425" w:type="dxa"/>
            <w:tcBorders>
              <w:bottom w:val="double" w:sz="4" w:space="0" w:color="999999" w:themeColor="text1" w:themeTint="66"/>
            </w:tcBorders>
            <w:noWrap/>
          </w:tcPr>
          <w:p w14:paraId="170F8640" w14:textId="77777777" w:rsidR="00101352" w:rsidRPr="00F140B0" w:rsidRDefault="00101352" w:rsidP="005553E8">
            <w:pPr>
              <w:spacing w:line="240" w:lineRule="auto"/>
              <w:ind w:firstLine="0"/>
              <w:contextualSpacing/>
              <w:jc w:val="right"/>
              <w:rPr>
                <w:b w:val="0"/>
                <w:color w:val="000000"/>
              </w:rPr>
            </w:pPr>
            <w:r w:rsidRPr="00F140B0">
              <w:rPr>
                <w:b w:val="0"/>
                <w:color w:val="000000"/>
              </w:rPr>
              <w:t>5</w:t>
            </w:r>
          </w:p>
        </w:tc>
        <w:tc>
          <w:tcPr>
            <w:tcW w:w="1800" w:type="dxa"/>
            <w:tcBorders>
              <w:bottom w:val="double" w:sz="4" w:space="0" w:color="999999" w:themeColor="text1" w:themeTint="66"/>
            </w:tcBorders>
            <w:noWrap/>
          </w:tcPr>
          <w:p w14:paraId="499E1533" w14:textId="77777777" w:rsidR="00101352" w:rsidRPr="00F140B0" w:rsidRDefault="00101352" w:rsidP="005553E8">
            <w:pPr>
              <w:spacing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2.02E</w:t>
            </w:r>
            <w:r w:rsidRPr="00165797">
              <w:rPr>
                <w:color w:val="000000"/>
                <w:vertAlign w:val="superscript"/>
              </w:rPr>
              <w:t>-4</w:t>
            </w:r>
          </w:p>
        </w:tc>
        <w:tc>
          <w:tcPr>
            <w:tcW w:w="1800" w:type="dxa"/>
            <w:tcBorders>
              <w:bottom w:val="double" w:sz="4" w:space="0" w:color="999999" w:themeColor="text1" w:themeTint="66"/>
            </w:tcBorders>
            <w:noWrap/>
          </w:tcPr>
          <w:p w14:paraId="50A01819" w14:textId="77777777" w:rsidR="00101352" w:rsidRPr="00F140B0" w:rsidRDefault="00101352" w:rsidP="005553E8">
            <w:pPr>
              <w:spacing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$1,232</w:t>
            </w:r>
          </w:p>
        </w:tc>
        <w:tc>
          <w:tcPr>
            <w:tcW w:w="2340" w:type="dxa"/>
            <w:tcBorders>
              <w:bottom w:val="double" w:sz="4" w:space="0" w:color="999999" w:themeColor="text1" w:themeTint="66"/>
            </w:tcBorders>
            <w:noWrap/>
          </w:tcPr>
          <w:p w14:paraId="28C9575E" w14:textId="77777777" w:rsidR="00101352" w:rsidRPr="00F140B0" w:rsidRDefault="00101352" w:rsidP="005553E8">
            <w:pPr>
              <w:spacing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$57.35</w:t>
            </w:r>
          </w:p>
        </w:tc>
        <w:tc>
          <w:tcPr>
            <w:tcW w:w="1926" w:type="dxa"/>
            <w:tcBorders>
              <w:bottom w:val="double" w:sz="4" w:space="0" w:color="999999" w:themeColor="text1" w:themeTint="66"/>
            </w:tcBorders>
            <w:noWrap/>
          </w:tcPr>
          <w:p w14:paraId="4F297449" w14:textId="77777777" w:rsidR="00101352" w:rsidRPr="00F140B0" w:rsidRDefault="00101352" w:rsidP="005553E8">
            <w:pPr>
              <w:spacing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$4.43</w:t>
            </w:r>
          </w:p>
        </w:tc>
      </w:tr>
      <w:tr w:rsidR="00101352" w:rsidRPr="00F140B0" w14:paraId="562EFB75" w14:textId="77777777" w:rsidTr="005553E8">
        <w:trPr>
          <w:trHeight w:val="340"/>
          <w:jc w:val="center"/>
        </w:trPr>
        <w:tc>
          <w:tcPr>
            <w:cnfStyle w:val="001000000000" w:firstRow="0" w:lastRow="0" w:firstColumn="1" w:lastColumn="0" w:oddVBand="0" w:evenVBand="0" w:oddHBand="0" w:evenHBand="0" w:firstRowFirstColumn="0" w:firstRowLastColumn="0" w:lastRowFirstColumn="0" w:lastRowLastColumn="0"/>
            <w:tcW w:w="1425" w:type="dxa"/>
            <w:tcBorders>
              <w:bottom w:val="double" w:sz="4" w:space="0" w:color="999999" w:themeColor="text1" w:themeTint="66"/>
            </w:tcBorders>
            <w:noWrap/>
          </w:tcPr>
          <w:p w14:paraId="477B21A6" w14:textId="77777777" w:rsidR="00101352" w:rsidRPr="00F140B0" w:rsidRDefault="00101352" w:rsidP="005553E8">
            <w:pPr>
              <w:spacing w:line="240" w:lineRule="auto"/>
              <w:ind w:firstLine="0"/>
              <w:contextualSpacing/>
              <w:jc w:val="right"/>
              <w:rPr>
                <w:b w:val="0"/>
                <w:color w:val="000000"/>
              </w:rPr>
            </w:pPr>
            <w:r w:rsidRPr="00F140B0">
              <w:rPr>
                <w:b w:val="0"/>
                <w:color w:val="000000"/>
              </w:rPr>
              <w:t>10</w:t>
            </w:r>
          </w:p>
        </w:tc>
        <w:tc>
          <w:tcPr>
            <w:tcW w:w="1800" w:type="dxa"/>
            <w:tcBorders>
              <w:bottom w:val="double" w:sz="4" w:space="0" w:color="999999" w:themeColor="text1" w:themeTint="66"/>
            </w:tcBorders>
            <w:noWrap/>
          </w:tcPr>
          <w:p w14:paraId="59C6AD1A" w14:textId="77777777" w:rsidR="00101352" w:rsidRPr="00F140B0" w:rsidRDefault="00101352" w:rsidP="005553E8">
            <w:pPr>
              <w:spacing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2.99E</w:t>
            </w:r>
            <w:r w:rsidRPr="00165797">
              <w:rPr>
                <w:color w:val="000000"/>
                <w:vertAlign w:val="superscript"/>
              </w:rPr>
              <w:t>-4</w:t>
            </w:r>
          </w:p>
        </w:tc>
        <w:tc>
          <w:tcPr>
            <w:tcW w:w="1800" w:type="dxa"/>
            <w:tcBorders>
              <w:bottom w:val="double" w:sz="4" w:space="0" w:color="999999" w:themeColor="text1" w:themeTint="66"/>
            </w:tcBorders>
            <w:noWrap/>
          </w:tcPr>
          <w:p w14:paraId="35EBA972" w14:textId="77777777" w:rsidR="00101352" w:rsidRPr="00F140B0" w:rsidRDefault="00101352" w:rsidP="005553E8">
            <w:pPr>
              <w:spacing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$1,824</w:t>
            </w:r>
          </w:p>
        </w:tc>
        <w:tc>
          <w:tcPr>
            <w:tcW w:w="2340" w:type="dxa"/>
            <w:tcBorders>
              <w:bottom w:val="double" w:sz="4" w:space="0" w:color="999999" w:themeColor="text1" w:themeTint="66"/>
            </w:tcBorders>
            <w:noWrap/>
          </w:tcPr>
          <w:p w14:paraId="2CD03C94" w14:textId="77777777" w:rsidR="00101352" w:rsidRPr="00F140B0" w:rsidRDefault="00101352" w:rsidP="005553E8">
            <w:pPr>
              <w:spacing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$84.88</w:t>
            </w:r>
          </w:p>
        </w:tc>
        <w:tc>
          <w:tcPr>
            <w:tcW w:w="1926" w:type="dxa"/>
            <w:tcBorders>
              <w:bottom w:val="double" w:sz="4" w:space="0" w:color="999999" w:themeColor="text1" w:themeTint="66"/>
            </w:tcBorders>
            <w:noWrap/>
          </w:tcPr>
          <w:p w14:paraId="4BB0BC27" w14:textId="77777777" w:rsidR="00101352" w:rsidRPr="00F140B0" w:rsidRDefault="00101352" w:rsidP="005553E8">
            <w:pPr>
              <w:spacing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$6.56</w:t>
            </w:r>
          </w:p>
        </w:tc>
      </w:tr>
      <w:tr w:rsidR="00101352" w:rsidRPr="00F140B0" w14:paraId="7B13F130" w14:textId="77777777" w:rsidTr="005553E8">
        <w:trPr>
          <w:trHeight w:val="340"/>
          <w:jc w:val="center"/>
        </w:trPr>
        <w:tc>
          <w:tcPr>
            <w:cnfStyle w:val="001000000000" w:firstRow="0" w:lastRow="0" w:firstColumn="1" w:lastColumn="0" w:oddVBand="0" w:evenVBand="0" w:oddHBand="0" w:evenHBand="0" w:firstRowFirstColumn="0" w:firstRowLastColumn="0" w:lastRowFirstColumn="0" w:lastRowLastColumn="0"/>
            <w:tcW w:w="1425" w:type="dxa"/>
            <w:tcBorders>
              <w:bottom w:val="double" w:sz="4" w:space="0" w:color="999999" w:themeColor="text1" w:themeTint="66"/>
            </w:tcBorders>
            <w:noWrap/>
          </w:tcPr>
          <w:p w14:paraId="6371A8CB" w14:textId="77777777" w:rsidR="00101352" w:rsidRPr="00F140B0" w:rsidRDefault="00101352" w:rsidP="005553E8">
            <w:pPr>
              <w:spacing w:line="240" w:lineRule="auto"/>
              <w:ind w:firstLine="0"/>
              <w:contextualSpacing/>
              <w:jc w:val="right"/>
              <w:rPr>
                <w:b w:val="0"/>
                <w:color w:val="000000"/>
              </w:rPr>
            </w:pPr>
            <w:r w:rsidRPr="00F140B0">
              <w:rPr>
                <w:b w:val="0"/>
                <w:color w:val="000000"/>
              </w:rPr>
              <w:t>20</w:t>
            </w:r>
          </w:p>
        </w:tc>
        <w:tc>
          <w:tcPr>
            <w:tcW w:w="1800" w:type="dxa"/>
            <w:tcBorders>
              <w:bottom w:val="double" w:sz="4" w:space="0" w:color="999999" w:themeColor="text1" w:themeTint="66"/>
            </w:tcBorders>
            <w:noWrap/>
          </w:tcPr>
          <w:p w14:paraId="1A65662A" w14:textId="77777777" w:rsidR="00101352" w:rsidRPr="00F140B0" w:rsidRDefault="00101352" w:rsidP="005553E8">
            <w:pPr>
              <w:spacing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3.85E</w:t>
            </w:r>
            <w:r w:rsidRPr="00165797">
              <w:rPr>
                <w:color w:val="000000"/>
                <w:vertAlign w:val="superscript"/>
              </w:rPr>
              <w:t>-4</w:t>
            </w:r>
          </w:p>
        </w:tc>
        <w:tc>
          <w:tcPr>
            <w:tcW w:w="1800" w:type="dxa"/>
            <w:tcBorders>
              <w:bottom w:val="double" w:sz="4" w:space="0" w:color="999999" w:themeColor="text1" w:themeTint="66"/>
            </w:tcBorders>
            <w:noWrap/>
          </w:tcPr>
          <w:p w14:paraId="3F0D1ABF" w14:textId="77777777" w:rsidR="00101352" w:rsidRPr="00F140B0" w:rsidRDefault="00101352" w:rsidP="005553E8">
            <w:pPr>
              <w:spacing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$2,349</w:t>
            </w:r>
          </w:p>
        </w:tc>
        <w:tc>
          <w:tcPr>
            <w:tcW w:w="2340" w:type="dxa"/>
            <w:tcBorders>
              <w:bottom w:val="double" w:sz="4" w:space="0" w:color="999999" w:themeColor="text1" w:themeTint="66"/>
            </w:tcBorders>
            <w:noWrap/>
          </w:tcPr>
          <w:p w14:paraId="74C7E1C8" w14:textId="77777777" w:rsidR="00101352" w:rsidRPr="00F140B0" w:rsidRDefault="00101352" w:rsidP="005553E8">
            <w:pPr>
              <w:spacing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$109.30</w:t>
            </w:r>
          </w:p>
        </w:tc>
        <w:tc>
          <w:tcPr>
            <w:tcW w:w="1926" w:type="dxa"/>
            <w:tcBorders>
              <w:bottom w:val="double" w:sz="4" w:space="0" w:color="999999" w:themeColor="text1" w:themeTint="66"/>
            </w:tcBorders>
            <w:noWrap/>
          </w:tcPr>
          <w:p w14:paraId="332DB20A" w14:textId="77777777" w:rsidR="00101352" w:rsidRPr="00F140B0" w:rsidRDefault="00101352" w:rsidP="005553E8">
            <w:pPr>
              <w:spacing w:line="240" w:lineRule="auto"/>
              <w:ind w:firstLine="0"/>
              <w:contextualSpacing/>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$8.44</w:t>
            </w:r>
          </w:p>
        </w:tc>
      </w:tr>
      <w:tr w:rsidR="00101352" w:rsidRPr="00F140B0" w14:paraId="1845AEB5" w14:textId="77777777" w:rsidTr="005553E8">
        <w:trPr>
          <w:trHeight w:val="340"/>
          <w:jc w:val="center"/>
        </w:trPr>
        <w:tc>
          <w:tcPr>
            <w:cnfStyle w:val="001000000000" w:firstRow="0" w:lastRow="0" w:firstColumn="1" w:lastColumn="0" w:oddVBand="0" w:evenVBand="0" w:oddHBand="0" w:evenHBand="0" w:firstRowFirstColumn="0" w:firstRowLastColumn="0" w:lastRowFirstColumn="0" w:lastRowLastColumn="0"/>
            <w:tcW w:w="9291" w:type="dxa"/>
            <w:gridSpan w:val="5"/>
            <w:tcBorders>
              <w:top w:val="double" w:sz="4" w:space="0" w:color="999999" w:themeColor="text1" w:themeTint="66"/>
              <w:bottom w:val="double" w:sz="4" w:space="0" w:color="999999" w:themeColor="text1" w:themeTint="66"/>
            </w:tcBorders>
            <w:noWrap/>
          </w:tcPr>
          <w:p w14:paraId="4718AA2F" w14:textId="77777777" w:rsidR="00101352" w:rsidRPr="00E84F29" w:rsidRDefault="00101352" w:rsidP="005553E8">
            <w:pPr>
              <w:spacing w:line="240" w:lineRule="auto"/>
              <w:ind w:firstLine="0"/>
              <w:contextualSpacing/>
              <w:rPr>
                <w:b w:val="0"/>
                <w:color w:val="000000"/>
              </w:rPr>
            </w:pPr>
            <w:r w:rsidRPr="00E84F29">
              <w:rPr>
                <w:b w:val="0"/>
                <w:color w:val="000000"/>
              </w:rPr>
              <w:t xml:space="preserve">Source: </w:t>
            </w:r>
            <w:r>
              <w:rPr>
                <w:b w:val="0"/>
                <w:noProof/>
                <w:color w:val="000000"/>
              </w:rPr>
              <w:t>USEPA</w:t>
            </w:r>
            <w:r w:rsidRPr="00E84F29">
              <w:rPr>
                <w:b w:val="0"/>
                <w:noProof/>
                <w:color w:val="000000"/>
              </w:rPr>
              <w:t xml:space="preserve"> (2000</w:t>
            </w:r>
            <w:r>
              <w:rPr>
                <w:b w:val="0"/>
                <w:noProof/>
                <w:color w:val="000000"/>
              </w:rPr>
              <w:t>e</w:t>
            </w:r>
            <w:r w:rsidRPr="00E84F29">
              <w:rPr>
                <w:b w:val="0"/>
                <w:noProof/>
                <w:color w:val="000000"/>
              </w:rPr>
              <w:t>)</w:t>
            </w:r>
            <w:r w:rsidRPr="00E84F29">
              <w:rPr>
                <w:b w:val="0"/>
                <w:bCs w:val="0"/>
                <w:color w:val="000000"/>
              </w:rPr>
              <w:t xml:space="preserve">. </w:t>
            </w:r>
            <w:r w:rsidRPr="00E84F29">
              <w:rPr>
                <w:b w:val="0"/>
                <w:color w:val="000000"/>
              </w:rPr>
              <w:t>VSL = $6.1 million. “Lower Bound” and “Upper Bound” exposure scenarios as described on p. 5-13.</w:t>
            </w:r>
          </w:p>
        </w:tc>
      </w:tr>
    </w:tbl>
    <w:p w14:paraId="444C233B" w14:textId="77777777" w:rsidR="00101352" w:rsidRDefault="00101352" w:rsidP="00101352">
      <w:pPr>
        <w:spacing w:line="240" w:lineRule="auto"/>
        <w:ind w:firstLine="0"/>
      </w:pPr>
    </w:p>
    <w:p w14:paraId="37F0613B" w14:textId="77777777" w:rsidR="00101352" w:rsidRDefault="00101352" w:rsidP="00101352">
      <w:pPr>
        <w:spacing w:line="240" w:lineRule="auto"/>
        <w:ind w:firstLine="0"/>
      </w:pPr>
      <w:r>
        <w:br w:type="page"/>
      </w:r>
    </w:p>
    <w:p w14:paraId="1BCEE343" w14:textId="77777777" w:rsidR="00101352" w:rsidRDefault="00101352" w:rsidP="00101352">
      <w:pPr>
        <w:spacing w:line="240" w:lineRule="auto"/>
        <w:ind w:firstLine="0"/>
      </w:pPr>
    </w:p>
    <w:p w14:paraId="6AF1381C" w14:textId="77777777" w:rsidR="00101352" w:rsidRDefault="00101352" w:rsidP="00101352">
      <w:pPr>
        <w:pStyle w:val="Caption"/>
      </w:pPr>
      <w:bookmarkStart w:id="60" w:name="_Ref536529305"/>
      <w:r>
        <w:t xml:space="preserve">Table </w:t>
      </w:r>
      <w:fldSimple w:instr=" STYLEREF 1 \s ">
        <w:r>
          <w:rPr>
            <w:noProof/>
          </w:rPr>
          <w:t>7</w:t>
        </w:r>
      </w:fldSimple>
      <w:r>
        <w:noBreakHyphen/>
      </w:r>
      <w:fldSimple w:instr=" SEQ Table \* ARABIC \s 1 ">
        <w:r>
          <w:rPr>
            <w:noProof/>
          </w:rPr>
          <w:t>7</w:t>
        </w:r>
      </w:fldSimple>
      <w:bookmarkEnd w:id="60"/>
      <w:r>
        <w:t xml:space="preserve">: Arsenic NPDWR: USEPA-estimated </w:t>
      </w:r>
      <w:r w:rsidRPr="00756915">
        <w:t xml:space="preserve">Average Annual Household Cost </w:t>
      </w:r>
      <w:r>
        <w:t>by System Size and MCL</w:t>
      </w:r>
    </w:p>
    <w:tbl>
      <w:tblPr>
        <w:tblW w:w="937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515"/>
        <w:gridCol w:w="1716"/>
        <w:gridCol w:w="1716"/>
        <w:gridCol w:w="1716"/>
        <w:gridCol w:w="1716"/>
      </w:tblGrid>
      <w:tr w:rsidR="00101352" w:rsidRPr="00F140B0" w14:paraId="438D1458" w14:textId="77777777" w:rsidTr="005553E8">
        <w:trPr>
          <w:trHeight w:val="320"/>
          <w:jc w:val="center"/>
        </w:trPr>
        <w:tc>
          <w:tcPr>
            <w:tcW w:w="2515" w:type="dxa"/>
            <w:vMerge w:val="restart"/>
            <w:tcBorders>
              <w:top w:val="double" w:sz="4" w:space="0" w:color="auto"/>
            </w:tcBorders>
            <w:shd w:val="clear" w:color="auto" w:fill="auto"/>
            <w:noWrap/>
            <w:vAlign w:val="center"/>
            <w:hideMark/>
          </w:tcPr>
          <w:p w14:paraId="430281E8" w14:textId="77777777" w:rsidR="00101352" w:rsidRPr="0059722E" w:rsidRDefault="00101352" w:rsidP="005553E8">
            <w:pPr>
              <w:spacing w:line="240" w:lineRule="auto"/>
              <w:ind w:firstLine="0"/>
              <w:contextualSpacing/>
              <w:jc w:val="both"/>
              <w:rPr>
                <w:b/>
              </w:rPr>
            </w:pPr>
            <w:r w:rsidRPr="0059722E">
              <w:rPr>
                <w:b/>
                <w:color w:val="000000"/>
              </w:rPr>
              <w:t>System Size</w:t>
            </w:r>
          </w:p>
        </w:tc>
        <w:tc>
          <w:tcPr>
            <w:tcW w:w="6864" w:type="dxa"/>
            <w:gridSpan w:val="4"/>
            <w:tcBorders>
              <w:top w:val="double" w:sz="4" w:space="0" w:color="auto"/>
              <w:bottom w:val="nil"/>
            </w:tcBorders>
            <w:shd w:val="clear" w:color="auto" w:fill="auto"/>
            <w:noWrap/>
            <w:vAlign w:val="center"/>
            <w:hideMark/>
          </w:tcPr>
          <w:p w14:paraId="523E854F" w14:textId="77777777" w:rsidR="00101352" w:rsidRPr="0059722E" w:rsidRDefault="00101352" w:rsidP="005553E8">
            <w:pPr>
              <w:spacing w:line="240" w:lineRule="auto"/>
              <w:ind w:firstLine="0"/>
              <w:contextualSpacing/>
              <w:jc w:val="center"/>
              <w:rPr>
                <w:b/>
                <w:color w:val="000000"/>
                <w:u w:val="single"/>
              </w:rPr>
            </w:pPr>
            <w:r w:rsidRPr="0059722E">
              <w:rPr>
                <w:b/>
                <w:color w:val="000000"/>
                <w:u w:val="single"/>
              </w:rPr>
              <w:t>MCL (</w:t>
            </w:r>
            <w:r w:rsidRPr="0059722E">
              <w:rPr>
                <w:b/>
                <w:color w:val="000000"/>
                <w:u w:val="single"/>
              </w:rPr>
              <w:sym w:font="Symbol" w:char="F06D"/>
            </w:r>
            <w:r w:rsidRPr="0059722E">
              <w:rPr>
                <w:b/>
                <w:color w:val="000000"/>
                <w:u w:val="single"/>
              </w:rPr>
              <w:t>g/L)</w:t>
            </w:r>
          </w:p>
        </w:tc>
      </w:tr>
      <w:tr w:rsidR="00101352" w:rsidRPr="00F140B0" w14:paraId="36291F62" w14:textId="77777777" w:rsidTr="005553E8">
        <w:trPr>
          <w:trHeight w:val="320"/>
          <w:jc w:val="center"/>
        </w:trPr>
        <w:tc>
          <w:tcPr>
            <w:tcW w:w="2515" w:type="dxa"/>
            <w:vMerge/>
            <w:tcBorders>
              <w:bottom w:val="double" w:sz="4" w:space="0" w:color="auto"/>
            </w:tcBorders>
            <w:shd w:val="clear" w:color="auto" w:fill="auto"/>
            <w:noWrap/>
            <w:vAlign w:val="center"/>
            <w:hideMark/>
          </w:tcPr>
          <w:p w14:paraId="16525C59" w14:textId="77777777" w:rsidR="00101352" w:rsidRPr="0059722E" w:rsidRDefault="00101352" w:rsidP="005553E8">
            <w:pPr>
              <w:spacing w:line="240" w:lineRule="auto"/>
              <w:ind w:firstLine="0"/>
              <w:contextualSpacing/>
              <w:jc w:val="both"/>
              <w:rPr>
                <w:b/>
                <w:color w:val="000000"/>
                <w:u w:val="single"/>
              </w:rPr>
            </w:pPr>
          </w:p>
        </w:tc>
        <w:tc>
          <w:tcPr>
            <w:tcW w:w="1716" w:type="dxa"/>
            <w:tcBorders>
              <w:top w:val="nil"/>
              <w:bottom w:val="double" w:sz="4" w:space="0" w:color="auto"/>
            </w:tcBorders>
            <w:shd w:val="clear" w:color="auto" w:fill="auto"/>
            <w:noWrap/>
            <w:vAlign w:val="center"/>
            <w:hideMark/>
          </w:tcPr>
          <w:p w14:paraId="70AD76C7" w14:textId="77777777" w:rsidR="00101352" w:rsidRPr="0059722E" w:rsidRDefault="00101352" w:rsidP="005553E8">
            <w:pPr>
              <w:spacing w:line="240" w:lineRule="auto"/>
              <w:ind w:firstLine="0"/>
              <w:contextualSpacing/>
              <w:jc w:val="center"/>
              <w:rPr>
                <w:b/>
                <w:color w:val="000000"/>
              </w:rPr>
            </w:pPr>
            <w:r w:rsidRPr="0059722E">
              <w:rPr>
                <w:b/>
                <w:color w:val="000000"/>
              </w:rPr>
              <w:t>3</w:t>
            </w:r>
          </w:p>
        </w:tc>
        <w:tc>
          <w:tcPr>
            <w:tcW w:w="1716" w:type="dxa"/>
            <w:tcBorders>
              <w:top w:val="nil"/>
              <w:bottom w:val="double" w:sz="4" w:space="0" w:color="auto"/>
            </w:tcBorders>
            <w:shd w:val="clear" w:color="auto" w:fill="auto"/>
            <w:noWrap/>
            <w:vAlign w:val="center"/>
            <w:hideMark/>
          </w:tcPr>
          <w:p w14:paraId="49B2B631" w14:textId="77777777" w:rsidR="00101352" w:rsidRPr="0059722E" w:rsidRDefault="00101352" w:rsidP="005553E8">
            <w:pPr>
              <w:spacing w:line="240" w:lineRule="auto"/>
              <w:ind w:firstLine="0"/>
              <w:contextualSpacing/>
              <w:jc w:val="center"/>
              <w:rPr>
                <w:b/>
                <w:color w:val="000000"/>
              </w:rPr>
            </w:pPr>
            <w:r w:rsidRPr="0059722E">
              <w:rPr>
                <w:b/>
                <w:color w:val="000000"/>
              </w:rPr>
              <w:t>5</w:t>
            </w:r>
          </w:p>
        </w:tc>
        <w:tc>
          <w:tcPr>
            <w:tcW w:w="1716" w:type="dxa"/>
            <w:tcBorders>
              <w:top w:val="nil"/>
              <w:bottom w:val="double" w:sz="4" w:space="0" w:color="auto"/>
            </w:tcBorders>
            <w:shd w:val="clear" w:color="auto" w:fill="auto"/>
            <w:noWrap/>
            <w:vAlign w:val="center"/>
            <w:hideMark/>
          </w:tcPr>
          <w:p w14:paraId="6804400D" w14:textId="77777777" w:rsidR="00101352" w:rsidRPr="0059722E" w:rsidRDefault="00101352" w:rsidP="005553E8">
            <w:pPr>
              <w:spacing w:line="240" w:lineRule="auto"/>
              <w:ind w:firstLine="0"/>
              <w:contextualSpacing/>
              <w:jc w:val="center"/>
              <w:rPr>
                <w:b/>
                <w:color w:val="000000"/>
              </w:rPr>
            </w:pPr>
            <w:r w:rsidRPr="0059722E">
              <w:rPr>
                <w:b/>
                <w:color w:val="000000"/>
              </w:rPr>
              <w:t>10</w:t>
            </w:r>
          </w:p>
        </w:tc>
        <w:tc>
          <w:tcPr>
            <w:tcW w:w="1716" w:type="dxa"/>
            <w:tcBorders>
              <w:top w:val="nil"/>
              <w:bottom w:val="double" w:sz="4" w:space="0" w:color="auto"/>
            </w:tcBorders>
            <w:shd w:val="clear" w:color="auto" w:fill="auto"/>
            <w:noWrap/>
            <w:vAlign w:val="center"/>
            <w:hideMark/>
          </w:tcPr>
          <w:p w14:paraId="061A3327" w14:textId="77777777" w:rsidR="00101352" w:rsidRPr="0059722E" w:rsidRDefault="00101352" w:rsidP="005553E8">
            <w:pPr>
              <w:spacing w:line="240" w:lineRule="auto"/>
              <w:ind w:firstLine="0"/>
              <w:contextualSpacing/>
              <w:jc w:val="center"/>
              <w:rPr>
                <w:b/>
                <w:color w:val="000000"/>
              </w:rPr>
            </w:pPr>
            <w:r w:rsidRPr="0059722E">
              <w:rPr>
                <w:b/>
                <w:color w:val="000000"/>
              </w:rPr>
              <w:t>20</w:t>
            </w:r>
          </w:p>
        </w:tc>
      </w:tr>
      <w:tr w:rsidR="00101352" w:rsidRPr="00F140B0" w14:paraId="3C7C849E" w14:textId="77777777" w:rsidTr="005553E8">
        <w:trPr>
          <w:trHeight w:val="320"/>
          <w:jc w:val="center"/>
        </w:trPr>
        <w:tc>
          <w:tcPr>
            <w:tcW w:w="2515" w:type="dxa"/>
            <w:shd w:val="clear" w:color="auto" w:fill="auto"/>
            <w:noWrap/>
            <w:vAlign w:val="center"/>
            <w:hideMark/>
          </w:tcPr>
          <w:p w14:paraId="62A5BFA0" w14:textId="77777777" w:rsidR="00101352" w:rsidRPr="00F140B0" w:rsidRDefault="00101352" w:rsidP="005553E8">
            <w:pPr>
              <w:spacing w:line="240" w:lineRule="auto"/>
              <w:ind w:firstLine="0"/>
              <w:contextualSpacing/>
              <w:jc w:val="both"/>
              <w:rPr>
                <w:color w:val="000000"/>
              </w:rPr>
            </w:pPr>
            <w:r w:rsidRPr="00F140B0">
              <w:rPr>
                <w:color w:val="000000"/>
              </w:rPr>
              <w:t>&lt; 100</w:t>
            </w:r>
          </w:p>
        </w:tc>
        <w:tc>
          <w:tcPr>
            <w:tcW w:w="1716" w:type="dxa"/>
            <w:shd w:val="clear" w:color="auto" w:fill="auto"/>
            <w:noWrap/>
            <w:vAlign w:val="center"/>
            <w:hideMark/>
          </w:tcPr>
          <w:p w14:paraId="0BB552D7" w14:textId="77777777" w:rsidR="00101352" w:rsidRPr="00F140B0" w:rsidRDefault="00101352" w:rsidP="005553E8">
            <w:pPr>
              <w:spacing w:line="240" w:lineRule="auto"/>
              <w:ind w:firstLine="0"/>
              <w:contextualSpacing/>
              <w:jc w:val="right"/>
              <w:rPr>
                <w:color w:val="000000"/>
              </w:rPr>
            </w:pPr>
            <w:r w:rsidRPr="00F140B0">
              <w:rPr>
                <w:color w:val="000000"/>
              </w:rPr>
              <w:t>$317.00</w:t>
            </w:r>
          </w:p>
        </w:tc>
        <w:tc>
          <w:tcPr>
            <w:tcW w:w="1716" w:type="dxa"/>
            <w:shd w:val="clear" w:color="auto" w:fill="auto"/>
            <w:noWrap/>
            <w:vAlign w:val="center"/>
            <w:hideMark/>
          </w:tcPr>
          <w:p w14:paraId="4637C34B" w14:textId="77777777" w:rsidR="00101352" w:rsidRPr="00F140B0" w:rsidRDefault="00101352" w:rsidP="005553E8">
            <w:pPr>
              <w:spacing w:line="240" w:lineRule="auto"/>
              <w:ind w:firstLine="0"/>
              <w:contextualSpacing/>
              <w:jc w:val="right"/>
              <w:rPr>
                <w:color w:val="000000"/>
              </w:rPr>
            </w:pPr>
            <w:r w:rsidRPr="00F140B0">
              <w:rPr>
                <w:color w:val="000000"/>
              </w:rPr>
              <w:t xml:space="preserve">$318.26 </w:t>
            </w:r>
          </w:p>
        </w:tc>
        <w:tc>
          <w:tcPr>
            <w:tcW w:w="1716" w:type="dxa"/>
            <w:shd w:val="clear" w:color="auto" w:fill="auto"/>
            <w:noWrap/>
            <w:vAlign w:val="center"/>
            <w:hideMark/>
          </w:tcPr>
          <w:p w14:paraId="644BEF22" w14:textId="77777777" w:rsidR="00101352" w:rsidRPr="00F140B0" w:rsidRDefault="00101352" w:rsidP="005553E8">
            <w:pPr>
              <w:spacing w:line="240" w:lineRule="auto"/>
              <w:ind w:firstLine="0"/>
              <w:contextualSpacing/>
              <w:jc w:val="right"/>
              <w:rPr>
                <w:color w:val="000000"/>
              </w:rPr>
            </w:pPr>
            <w:r w:rsidRPr="00F140B0">
              <w:rPr>
                <w:color w:val="000000"/>
              </w:rPr>
              <w:t xml:space="preserve">$326.82 </w:t>
            </w:r>
          </w:p>
        </w:tc>
        <w:tc>
          <w:tcPr>
            <w:tcW w:w="1716" w:type="dxa"/>
            <w:shd w:val="clear" w:color="auto" w:fill="auto"/>
            <w:noWrap/>
            <w:vAlign w:val="center"/>
            <w:hideMark/>
          </w:tcPr>
          <w:p w14:paraId="5021D1DA" w14:textId="77777777" w:rsidR="00101352" w:rsidRPr="00F140B0" w:rsidRDefault="00101352" w:rsidP="005553E8">
            <w:pPr>
              <w:spacing w:line="240" w:lineRule="auto"/>
              <w:ind w:firstLine="0"/>
              <w:contextualSpacing/>
              <w:jc w:val="right"/>
              <w:rPr>
                <w:color w:val="000000"/>
              </w:rPr>
            </w:pPr>
            <w:r w:rsidRPr="00F140B0">
              <w:rPr>
                <w:color w:val="000000"/>
              </w:rPr>
              <w:t xml:space="preserve">$351.15 </w:t>
            </w:r>
          </w:p>
        </w:tc>
      </w:tr>
      <w:tr w:rsidR="00101352" w:rsidRPr="00F140B0" w14:paraId="5768A16E" w14:textId="77777777" w:rsidTr="005553E8">
        <w:trPr>
          <w:trHeight w:val="320"/>
          <w:jc w:val="center"/>
        </w:trPr>
        <w:tc>
          <w:tcPr>
            <w:tcW w:w="2515" w:type="dxa"/>
            <w:shd w:val="clear" w:color="auto" w:fill="auto"/>
            <w:noWrap/>
            <w:vAlign w:val="center"/>
            <w:hideMark/>
          </w:tcPr>
          <w:p w14:paraId="0FF874DF" w14:textId="77777777" w:rsidR="00101352" w:rsidRPr="00F140B0" w:rsidRDefault="00101352" w:rsidP="005553E8">
            <w:pPr>
              <w:spacing w:line="240" w:lineRule="auto"/>
              <w:ind w:firstLine="0"/>
              <w:contextualSpacing/>
              <w:jc w:val="both"/>
              <w:rPr>
                <w:color w:val="000000"/>
              </w:rPr>
            </w:pPr>
            <w:r w:rsidRPr="00F140B0">
              <w:rPr>
                <w:color w:val="000000"/>
              </w:rPr>
              <w:t>101-500</w:t>
            </w:r>
          </w:p>
        </w:tc>
        <w:tc>
          <w:tcPr>
            <w:tcW w:w="1716" w:type="dxa"/>
            <w:shd w:val="clear" w:color="auto" w:fill="auto"/>
            <w:noWrap/>
            <w:vAlign w:val="center"/>
            <w:hideMark/>
          </w:tcPr>
          <w:p w14:paraId="49A84FD3" w14:textId="77777777" w:rsidR="00101352" w:rsidRPr="00F140B0" w:rsidRDefault="00101352" w:rsidP="005553E8">
            <w:pPr>
              <w:spacing w:line="240" w:lineRule="auto"/>
              <w:ind w:firstLine="0"/>
              <w:contextualSpacing/>
              <w:jc w:val="right"/>
              <w:rPr>
                <w:color w:val="000000"/>
              </w:rPr>
            </w:pPr>
            <w:r w:rsidRPr="00F140B0">
              <w:rPr>
                <w:color w:val="000000"/>
              </w:rPr>
              <w:t xml:space="preserve"> 166.91 </w:t>
            </w:r>
          </w:p>
        </w:tc>
        <w:tc>
          <w:tcPr>
            <w:tcW w:w="1716" w:type="dxa"/>
            <w:shd w:val="clear" w:color="auto" w:fill="auto"/>
            <w:noWrap/>
            <w:vAlign w:val="center"/>
            <w:hideMark/>
          </w:tcPr>
          <w:p w14:paraId="590B3010" w14:textId="77777777" w:rsidR="00101352" w:rsidRPr="00F140B0" w:rsidRDefault="00101352" w:rsidP="005553E8">
            <w:pPr>
              <w:spacing w:line="240" w:lineRule="auto"/>
              <w:ind w:firstLine="0"/>
              <w:contextualSpacing/>
              <w:jc w:val="right"/>
              <w:rPr>
                <w:color w:val="000000"/>
              </w:rPr>
            </w:pPr>
            <w:r w:rsidRPr="00F140B0">
              <w:rPr>
                <w:color w:val="000000"/>
              </w:rPr>
              <w:t xml:space="preserve">164.02 </w:t>
            </w:r>
          </w:p>
        </w:tc>
        <w:tc>
          <w:tcPr>
            <w:tcW w:w="1716" w:type="dxa"/>
            <w:shd w:val="clear" w:color="auto" w:fill="auto"/>
            <w:noWrap/>
            <w:vAlign w:val="center"/>
            <w:hideMark/>
          </w:tcPr>
          <w:p w14:paraId="1D3FAA8F" w14:textId="77777777" w:rsidR="00101352" w:rsidRPr="00F140B0" w:rsidRDefault="00101352" w:rsidP="005553E8">
            <w:pPr>
              <w:spacing w:line="240" w:lineRule="auto"/>
              <w:ind w:firstLine="0"/>
              <w:contextualSpacing/>
              <w:jc w:val="right"/>
              <w:rPr>
                <w:color w:val="000000"/>
              </w:rPr>
            </w:pPr>
            <w:r w:rsidRPr="00F140B0">
              <w:rPr>
                <w:color w:val="000000"/>
              </w:rPr>
              <w:t xml:space="preserve">162.50 </w:t>
            </w:r>
          </w:p>
        </w:tc>
        <w:tc>
          <w:tcPr>
            <w:tcW w:w="1716" w:type="dxa"/>
            <w:shd w:val="clear" w:color="auto" w:fill="auto"/>
            <w:noWrap/>
            <w:vAlign w:val="center"/>
            <w:hideMark/>
          </w:tcPr>
          <w:p w14:paraId="2E7EF423" w14:textId="77777777" w:rsidR="00101352" w:rsidRPr="00F140B0" w:rsidRDefault="00101352" w:rsidP="005553E8">
            <w:pPr>
              <w:spacing w:line="240" w:lineRule="auto"/>
              <w:ind w:firstLine="0"/>
              <w:contextualSpacing/>
              <w:jc w:val="right"/>
              <w:rPr>
                <w:color w:val="000000"/>
              </w:rPr>
            </w:pPr>
            <w:r w:rsidRPr="00F140B0">
              <w:rPr>
                <w:color w:val="000000"/>
              </w:rPr>
              <w:t xml:space="preserve">166.72 </w:t>
            </w:r>
          </w:p>
        </w:tc>
      </w:tr>
      <w:tr w:rsidR="00101352" w:rsidRPr="00F140B0" w14:paraId="60AF1A33" w14:textId="77777777" w:rsidTr="005553E8">
        <w:trPr>
          <w:trHeight w:val="320"/>
          <w:jc w:val="center"/>
        </w:trPr>
        <w:tc>
          <w:tcPr>
            <w:tcW w:w="2515" w:type="dxa"/>
            <w:shd w:val="clear" w:color="auto" w:fill="auto"/>
            <w:noWrap/>
            <w:vAlign w:val="center"/>
            <w:hideMark/>
          </w:tcPr>
          <w:p w14:paraId="6405D412" w14:textId="77777777" w:rsidR="00101352" w:rsidRPr="00F140B0" w:rsidRDefault="00101352" w:rsidP="005553E8">
            <w:pPr>
              <w:spacing w:line="240" w:lineRule="auto"/>
              <w:ind w:firstLine="0"/>
              <w:contextualSpacing/>
              <w:jc w:val="both"/>
              <w:rPr>
                <w:color w:val="000000"/>
              </w:rPr>
            </w:pPr>
            <w:r w:rsidRPr="00F140B0">
              <w:rPr>
                <w:color w:val="000000"/>
              </w:rPr>
              <w:t>501-1,000</w:t>
            </w:r>
          </w:p>
        </w:tc>
        <w:tc>
          <w:tcPr>
            <w:tcW w:w="1716" w:type="dxa"/>
            <w:shd w:val="clear" w:color="auto" w:fill="auto"/>
            <w:noWrap/>
            <w:vAlign w:val="center"/>
            <w:hideMark/>
          </w:tcPr>
          <w:p w14:paraId="4EA5B1F2" w14:textId="77777777" w:rsidR="00101352" w:rsidRPr="00F140B0" w:rsidRDefault="00101352" w:rsidP="005553E8">
            <w:pPr>
              <w:spacing w:line="240" w:lineRule="auto"/>
              <w:ind w:firstLine="0"/>
              <w:contextualSpacing/>
              <w:jc w:val="right"/>
              <w:rPr>
                <w:color w:val="000000"/>
              </w:rPr>
            </w:pPr>
            <w:r w:rsidRPr="00F140B0">
              <w:rPr>
                <w:color w:val="000000"/>
              </w:rPr>
              <w:t xml:space="preserve">   74.81 </w:t>
            </w:r>
          </w:p>
        </w:tc>
        <w:tc>
          <w:tcPr>
            <w:tcW w:w="1716" w:type="dxa"/>
            <w:shd w:val="clear" w:color="auto" w:fill="auto"/>
            <w:noWrap/>
            <w:vAlign w:val="center"/>
            <w:hideMark/>
          </w:tcPr>
          <w:p w14:paraId="45A870F9" w14:textId="77777777" w:rsidR="00101352" w:rsidRPr="00F140B0" w:rsidRDefault="00101352" w:rsidP="005553E8">
            <w:pPr>
              <w:spacing w:line="240" w:lineRule="auto"/>
              <w:ind w:firstLine="0"/>
              <w:contextualSpacing/>
              <w:jc w:val="right"/>
              <w:rPr>
                <w:color w:val="000000"/>
              </w:rPr>
            </w:pPr>
            <w:r w:rsidRPr="00F140B0">
              <w:rPr>
                <w:color w:val="000000"/>
              </w:rPr>
              <w:t xml:space="preserve">73.11 </w:t>
            </w:r>
          </w:p>
        </w:tc>
        <w:tc>
          <w:tcPr>
            <w:tcW w:w="1716" w:type="dxa"/>
            <w:shd w:val="clear" w:color="auto" w:fill="auto"/>
            <w:noWrap/>
            <w:vAlign w:val="center"/>
            <w:hideMark/>
          </w:tcPr>
          <w:p w14:paraId="6A02D50D" w14:textId="77777777" w:rsidR="00101352" w:rsidRPr="00F140B0" w:rsidRDefault="00101352" w:rsidP="005553E8">
            <w:pPr>
              <w:spacing w:line="240" w:lineRule="auto"/>
              <w:ind w:firstLine="0"/>
              <w:contextualSpacing/>
              <w:jc w:val="right"/>
              <w:rPr>
                <w:color w:val="000000"/>
              </w:rPr>
            </w:pPr>
            <w:r w:rsidRPr="00F140B0">
              <w:rPr>
                <w:color w:val="000000"/>
              </w:rPr>
              <w:t xml:space="preserve">70.72 </w:t>
            </w:r>
          </w:p>
        </w:tc>
        <w:tc>
          <w:tcPr>
            <w:tcW w:w="1716" w:type="dxa"/>
            <w:shd w:val="clear" w:color="auto" w:fill="auto"/>
            <w:noWrap/>
            <w:vAlign w:val="center"/>
            <w:hideMark/>
          </w:tcPr>
          <w:p w14:paraId="09B43056" w14:textId="77777777" w:rsidR="00101352" w:rsidRPr="00F140B0" w:rsidRDefault="00101352" w:rsidP="005553E8">
            <w:pPr>
              <w:spacing w:line="240" w:lineRule="auto"/>
              <w:ind w:firstLine="0"/>
              <w:contextualSpacing/>
              <w:jc w:val="right"/>
              <w:rPr>
                <w:color w:val="000000"/>
              </w:rPr>
            </w:pPr>
            <w:r w:rsidRPr="00F140B0">
              <w:rPr>
                <w:color w:val="000000"/>
              </w:rPr>
              <w:t xml:space="preserve"> 68.24 </w:t>
            </w:r>
          </w:p>
        </w:tc>
      </w:tr>
      <w:tr w:rsidR="00101352" w:rsidRPr="00F140B0" w14:paraId="710E383E" w14:textId="77777777" w:rsidTr="005553E8">
        <w:trPr>
          <w:trHeight w:val="320"/>
          <w:jc w:val="center"/>
        </w:trPr>
        <w:tc>
          <w:tcPr>
            <w:tcW w:w="2515" w:type="dxa"/>
            <w:shd w:val="clear" w:color="auto" w:fill="auto"/>
            <w:noWrap/>
            <w:vAlign w:val="center"/>
            <w:hideMark/>
          </w:tcPr>
          <w:p w14:paraId="388CF0E4" w14:textId="77777777" w:rsidR="00101352" w:rsidRPr="00F140B0" w:rsidRDefault="00101352" w:rsidP="005553E8">
            <w:pPr>
              <w:spacing w:line="240" w:lineRule="auto"/>
              <w:ind w:firstLine="0"/>
              <w:contextualSpacing/>
              <w:jc w:val="both"/>
              <w:rPr>
                <w:color w:val="000000"/>
              </w:rPr>
            </w:pPr>
            <w:r w:rsidRPr="00F140B0">
              <w:rPr>
                <w:color w:val="000000"/>
              </w:rPr>
              <w:t>1,001-3,300</w:t>
            </w:r>
          </w:p>
        </w:tc>
        <w:tc>
          <w:tcPr>
            <w:tcW w:w="1716" w:type="dxa"/>
            <w:shd w:val="clear" w:color="auto" w:fill="auto"/>
            <w:noWrap/>
            <w:vAlign w:val="center"/>
            <w:hideMark/>
          </w:tcPr>
          <w:p w14:paraId="120236EB" w14:textId="77777777" w:rsidR="00101352" w:rsidRPr="00F140B0" w:rsidRDefault="00101352" w:rsidP="005553E8">
            <w:pPr>
              <w:spacing w:line="240" w:lineRule="auto"/>
              <w:ind w:firstLine="0"/>
              <w:contextualSpacing/>
              <w:jc w:val="right"/>
              <w:rPr>
                <w:color w:val="000000"/>
              </w:rPr>
            </w:pPr>
            <w:r w:rsidRPr="00F140B0">
              <w:rPr>
                <w:color w:val="000000"/>
              </w:rPr>
              <w:t xml:space="preserve">  63.76 </w:t>
            </w:r>
          </w:p>
        </w:tc>
        <w:tc>
          <w:tcPr>
            <w:tcW w:w="1716" w:type="dxa"/>
            <w:shd w:val="clear" w:color="auto" w:fill="auto"/>
            <w:noWrap/>
            <w:vAlign w:val="center"/>
            <w:hideMark/>
          </w:tcPr>
          <w:p w14:paraId="7A0191E9" w14:textId="77777777" w:rsidR="00101352" w:rsidRPr="00F140B0" w:rsidRDefault="00101352" w:rsidP="005553E8">
            <w:pPr>
              <w:spacing w:line="240" w:lineRule="auto"/>
              <w:ind w:firstLine="0"/>
              <w:contextualSpacing/>
              <w:jc w:val="right"/>
              <w:rPr>
                <w:color w:val="000000"/>
              </w:rPr>
            </w:pPr>
            <w:r w:rsidRPr="00F140B0">
              <w:rPr>
                <w:color w:val="000000"/>
              </w:rPr>
              <w:t xml:space="preserve">61.94 </w:t>
            </w:r>
          </w:p>
        </w:tc>
        <w:tc>
          <w:tcPr>
            <w:tcW w:w="1716" w:type="dxa"/>
            <w:shd w:val="clear" w:color="auto" w:fill="auto"/>
            <w:noWrap/>
            <w:vAlign w:val="center"/>
            <w:hideMark/>
          </w:tcPr>
          <w:p w14:paraId="29478EDB" w14:textId="77777777" w:rsidR="00101352" w:rsidRPr="00F140B0" w:rsidRDefault="00101352" w:rsidP="005553E8">
            <w:pPr>
              <w:spacing w:line="240" w:lineRule="auto"/>
              <w:ind w:firstLine="0"/>
              <w:contextualSpacing/>
              <w:jc w:val="right"/>
              <w:rPr>
                <w:color w:val="000000"/>
              </w:rPr>
            </w:pPr>
            <w:r w:rsidRPr="00F140B0">
              <w:rPr>
                <w:color w:val="000000"/>
              </w:rPr>
              <w:t xml:space="preserve">58.24 </w:t>
            </w:r>
          </w:p>
        </w:tc>
        <w:tc>
          <w:tcPr>
            <w:tcW w:w="1716" w:type="dxa"/>
            <w:shd w:val="clear" w:color="auto" w:fill="auto"/>
            <w:noWrap/>
            <w:vAlign w:val="center"/>
            <w:hideMark/>
          </w:tcPr>
          <w:p w14:paraId="39404119" w14:textId="77777777" w:rsidR="00101352" w:rsidRPr="00F140B0" w:rsidRDefault="00101352" w:rsidP="005553E8">
            <w:pPr>
              <w:spacing w:line="240" w:lineRule="auto"/>
              <w:ind w:firstLine="0"/>
              <w:contextualSpacing/>
              <w:jc w:val="right"/>
              <w:rPr>
                <w:color w:val="000000"/>
              </w:rPr>
            </w:pPr>
            <w:r w:rsidRPr="00F140B0">
              <w:rPr>
                <w:color w:val="000000"/>
              </w:rPr>
              <w:t xml:space="preserve">54.36 </w:t>
            </w:r>
          </w:p>
        </w:tc>
      </w:tr>
      <w:tr w:rsidR="00101352" w:rsidRPr="00F140B0" w14:paraId="43C62873" w14:textId="77777777" w:rsidTr="005553E8">
        <w:trPr>
          <w:trHeight w:val="320"/>
          <w:jc w:val="center"/>
        </w:trPr>
        <w:tc>
          <w:tcPr>
            <w:tcW w:w="2515" w:type="dxa"/>
            <w:shd w:val="clear" w:color="auto" w:fill="auto"/>
            <w:noWrap/>
            <w:vAlign w:val="center"/>
            <w:hideMark/>
          </w:tcPr>
          <w:p w14:paraId="49908C66" w14:textId="77777777" w:rsidR="00101352" w:rsidRPr="00F140B0" w:rsidRDefault="00101352" w:rsidP="005553E8">
            <w:pPr>
              <w:spacing w:line="240" w:lineRule="auto"/>
              <w:ind w:firstLine="0"/>
              <w:contextualSpacing/>
              <w:jc w:val="both"/>
              <w:rPr>
                <w:color w:val="000000"/>
              </w:rPr>
            </w:pPr>
            <w:r w:rsidRPr="00F140B0">
              <w:rPr>
                <w:color w:val="000000"/>
              </w:rPr>
              <w:t>3,301-10,000</w:t>
            </w:r>
          </w:p>
        </w:tc>
        <w:tc>
          <w:tcPr>
            <w:tcW w:w="1716" w:type="dxa"/>
            <w:shd w:val="clear" w:color="auto" w:fill="auto"/>
            <w:noWrap/>
            <w:vAlign w:val="center"/>
            <w:hideMark/>
          </w:tcPr>
          <w:p w14:paraId="4966F1DB" w14:textId="77777777" w:rsidR="00101352" w:rsidRPr="00F140B0" w:rsidRDefault="00101352" w:rsidP="005553E8">
            <w:pPr>
              <w:spacing w:line="240" w:lineRule="auto"/>
              <w:ind w:firstLine="0"/>
              <w:contextualSpacing/>
              <w:jc w:val="right"/>
              <w:rPr>
                <w:color w:val="000000"/>
              </w:rPr>
            </w:pPr>
            <w:r w:rsidRPr="00F140B0">
              <w:rPr>
                <w:color w:val="000000"/>
              </w:rPr>
              <w:t xml:space="preserve">42.84 </w:t>
            </w:r>
          </w:p>
        </w:tc>
        <w:tc>
          <w:tcPr>
            <w:tcW w:w="1716" w:type="dxa"/>
            <w:shd w:val="clear" w:color="auto" w:fill="auto"/>
            <w:noWrap/>
            <w:vAlign w:val="center"/>
            <w:hideMark/>
          </w:tcPr>
          <w:p w14:paraId="0D593F5F" w14:textId="77777777" w:rsidR="00101352" w:rsidRPr="00F140B0" w:rsidRDefault="00101352" w:rsidP="005553E8">
            <w:pPr>
              <w:spacing w:line="240" w:lineRule="auto"/>
              <w:ind w:firstLine="0"/>
              <w:contextualSpacing/>
              <w:jc w:val="right"/>
              <w:rPr>
                <w:color w:val="000000"/>
              </w:rPr>
            </w:pPr>
            <w:r w:rsidRPr="00F140B0">
              <w:rPr>
                <w:color w:val="000000"/>
              </w:rPr>
              <w:t xml:space="preserve">40.18 </w:t>
            </w:r>
          </w:p>
        </w:tc>
        <w:tc>
          <w:tcPr>
            <w:tcW w:w="1716" w:type="dxa"/>
            <w:shd w:val="clear" w:color="auto" w:fill="auto"/>
            <w:noWrap/>
            <w:vAlign w:val="center"/>
            <w:hideMark/>
          </w:tcPr>
          <w:p w14:paraId="33E0C6B3" w14:textId="77777777" w:rsidR="00101352" w:rsidRPr="00F140B0" w:rsidRDefault="00101352" w:rsidP="005553E8">
            <w:pPr>
              <w:spacing w:line="240" w:lineRule="auto"/>
              <w:ind w:firstLine="0"/>
              <w:contextualSpacing/>
              <w:jc w:val="right"/>
              <w:rPr>
                <w:color w:val="000000"/>
              </w:rPr>
            </w:pPr>
            <w:r w:rsidRPr="00F140B0">
              <w:rPr>
                <w:color w:val="000000"/>
              </w:rPr>
              <w:t xml:space="preserve">37.71 </w:t>
            </w:r>
          </w:p>
        </w:tc>
        <w:tc>
          <w:tcPr>
            <w:tcW w:w="1716" w:type="dxa"/>
            <w:shd w:val="clear" w:color="auto" w:fill="auto"/>
            <w:noWrap/>
            <w:vAlign w:val="center"/>
            <w:hideMark/>
          </w:tcPr>
          <w:p w14:paraId="51339ACA" w14:textId="77777777" w:rsidR="00101352" w:rsidRPr="00F140B0" w:rsidRDefault="00101352" w:rsidP="005553E8">
            <w:pPr>
              <w:spacing w:line="240" w:lineRule="auto"/>
              <w:ind w:firstLine="0"/>
              <w:contextualSpacing/>
              <w:jc w:val="right"/>
              <w:rPr>
                <w:color w:val="000000"/>
              </w:rPr>
            </w:pPr>
            <w:r w:rsidRPr="00F140B0">
              <w:rPr>
                <w:color w:val="000000"/>
              </w:rPr>
              <w:t xml:space="preserve">34.63 </w:t>
            </w:r>
          </w:p>
        </w:tc>
      </w:tr>
      <w:tr w:rsidR="00101352" w:rsidRPr="00F140B0" w14:paraId="21E6B6B2" w14:textId="77777777" w:rsidTr="005553E8">
        <w:trPr>
          <w:trHeight w:val="320"/>
          <w:jc w:val="center"/>
        </w:trPr>
        <w:tc>
          <w:tcPr>
            <w:tcW w:w="2515" w:type="dxa"/>
            <w:shd w:val="clear" w:color="auto" w:fill="auto"/>
            <w:noWrap/>
            <w:vAlign w:val="center"/>
            <w:hideMark/>
          </w:tcPr>
          <w:p w14:paraId="240AA14A" w14:textId="77777777" w:rsidR="00101352" w:rsidRPr="00F140B0" w:rsidRDefault="00101352" w:rsidP="005553E8">
            <w:pPr>
              <w:spacing w:line="240" w:lineRule="auto"/>
              <w:ind w:firstLine="0"/>
              <w:contextualSpacing/>
              <w:jc w:val="both"/>
              <w:rPr>
                <w:color w:val="000000"/>
              </w:rPr>
            </w:pPr>
            <w:r w:rsidRPr="00F140B0">
              <w:rPr>
                <w:color w:val="000000"/>
              </w:rPr>
              <w:t>10,001-50,000</w:t>
            </w:r>
          </w:p>
        </w:tc>
        <w:tc>
          <w:tcPr>
            <w:tcW w:w="1716" w:type="dxa"/>
            <w:shd w:val="clear" w:color="auto" w:fill="auto"/>
            <w:noWrap/>
            <w:vAlign w:val="center"/>
            <w:hideMark/>
          </w:tcPr>
          <w:p w14:paraId="46DA61BC" w14:textId="77777777" w:rsidR="00101352" w:rsidRPr="00F140B0" w:rsidRDefault="00101352" w:rsidP="005553E8">
            <w:pPr>
              <w:spacing w:line="240" w:lineRule="auto"/>
              <w:ind w:firstLine="0"/>
              <w:contextualSpacing/>
              <w:jc w:val="right"/>
              <w:rPr>
                <w:color w:val="000000"/>
              </w:rPr>
            </w:pPr>
            <w:r w:rsidRPr="00F140B0">
              <w:rPr>
                <w:color w:val="000000"/>
              </w:rPr>
              <w:t xml:space="preserve">38.40 </w:t>
            </w:r>
          </w:p>
        </w:tc>
        <w:tc>
          <w:tcPr>
            <w:tcW w:w="1716" w:type="dxa"/>
            <w:shd w:val="clear" w:color="auto" w:fill="auto"/>
            <w:noWrap/>
            <w:vAlign w:val="center"/>
            <w:hideMark/>
          </w:tcPr>
          <w:p w14:paraId="42E43892" w14:textId="77777777" w:rsidR="00101352" w:rsidRPr="00F140B0" w:rsidRDefault="00101352" w:rsidP="005553E8">
            <w:pPr>
              <w:spacing w:line="240" w:lineRule="auto"/>
              <w:ind w:firstLine="0"/>
              <w:contextualSpacing/>
              <w:jc w:val="right"/>
              <w:rPr>
                <w:color w:val="000000"/>
              </w:rPr>
            </w:pPr>
            <w:r w:rsidRPr="00F140B0">
              <w:rPr>
                <w:color w:val="000000"/>
              </w:rPr>
              <w:t xml:space="preserve">36.07 </w:t>
            </w:r>
          </w:p>
        </w:tc>
        <w:tc>
          <w:tcPr>
            <w:tcW w:w="1716" w:type="dxa"/>
            <w:shd w:val="clear" w:color="auto" w:fill="auto"/>
            <w:noWrap/>
            <w:vAlign w:val="center"/>
            <w:hideMark/>
          </w:tcPr>
          <w:p w14:paraId="485B199F" w14:textId="77777777" w:rsidR="00101352" w:rsidRPr="00F140B0" w:rsidRDefault="00101352" w:rsidP="005553E8">
            <w:pPr>
              <w:spacing w:line="240" w:lineRule="auto"/>
              <w:ind w:firstLine="0"/>
              <w:contextualSpacing/>
              <w:jc w:val="right"/>
              <w:rPr>
                <w:color w:val="000000"/>
              </w:rPr>
            </w:pPr>
            <w:r w:rsidRPr="00F140B0">
              <w:rPr>
                <w:color w:val="000000"/>
              </w:rPr>
              <w:t xml:space="preserve">32.37 </w:t>
            </w:r>
          </w:p>
        </w:tc>
        <w:tc>
          <w:tcPr>
            <w:tcW w:w="1716" w:type="dxa"/>
            <w:shd w:val="clear" w:color="auto" w:fill="auto"/>
            <w:noWrap/>
            <w:vAlign w:val="center"/>
            <w:hideMark/>
          </w:tcPr>
          <w:p w14:paraId="69F2C7C5" w14:textId="77777777" w:rsidR="00101352" w:rsidRPr="00F140B0" w:rsidRDefault="00101352" w:rsidP="005553E8">
            <w:pPr>
              <w:spacing w:line="240" w:lineRule="auto"/>
              <w:ind w:firstLine="0"/>
              <w:contextualSpacing/>
              <w:jc w:val="right"/>
              <w:rPr>
                <w:color w:val="000000"/>
              </w:rPr>
            </w:pPr>
            <w:r w:rsidRPr="00F140B0">
              <w:rPr>
                <w:color w:val="000000"/>
              </w:rPr>
              <w:t xml:space="preserve">29.05 </w:t>
            </w:r>
          </w:p>
        </w:tc>
      </w:tr>
      <w:tr w:rsidR="00101352" w:rsidRPr="00F140B0" w14:paraId="272145BC" w14:textId="77777777" w:rsidTr="005553E8">
        <w:trPr>
          <w:trHeight w:val="320"/>
          <w:jc w:val="center"/>
        </w:trPr>
        <w:tc>
          <w:tcPr>
            <w:tcW w:w="2515" w:type="dxa"/>
            <w:shd w:val="clear" w:color="auto" w:fill="auto"/>
            <w:noWrap/>
            <w:vAlign w:val="center"/>
            <w:hideMark/>
          </w:tcPr>
          <w:p w14:paraId="2AFB943F" w14:textId="77777777" w:rsidR="00101352" w:rsidRPr="00F140B0" w:rsidRDefault="00101352" w:rsidP="005553E8">
            <w:pPr>
              <w:spacing w:line="240" w:lineRule="auto"/>
              <w:ind w:firstLine="0"/>
              <w:contextualSpacing/>
              <w:jc w:val="both"/>
              <w:rPr>
                <w:color w:val="000000"/>
              </w:rPr>
            </w:pPr>
            <w:r w:rsidRPr="00F140B0">
              <w:rPr>
                <w:color w:val="000000"/>
              </w:rPr>
              <w:t>50,001-100,000</w:t>
            </w:r>
          </w:p>
        </w:tc>
        <w:tc>
          <w:tcPr>
            <w:tcW w:w="1716" w:type="dxa"/>
            <w:shd w:val="clear" w:color="auto" w:fill="auto"/>
            <w:noWrap/>
            <w:vAlign w:val="center"/>
            <w:hideMark/>
          </w:tcPr>
          <w:p w14:paraId="1072F69A" w14:textId="77777777" w:rsidR="00101352" w:rsidRPr="00F140B0" w:rsidRDefault="00101352" w:rsidP="005553E8">
            <w:pPr>
              <w:spacing w:line="240" w:lineRule="auto"/>
              <w:ind w:firstLine="0"/>
              <w:contextualSpacing/>
              <w:jc w:val="right"/>
              <w:rPr>
                <w:color w:val="000000"/>
              </w:rPr>
            </w:pPr>
            <w:r w:rsidRPr="00F140B0">
              <w:rPr>
                <w:color w:val="000000"/>
              </w:rPr>
              <w:t xml:space="preserve">31.63 </w:t>
            </w:r>
          </w:p>
        </w:tc>
        <w:tc>
          <w:tcPr>
            <w:tcW w:w="1716" w:type="dxa"/>
            <w:shd w:val="clear" w:color="auto" w:fill="auto"/>
            <w:noWrap/>
            <w:vAlign w:val="center"/>
            <w:hideMark/>
          </w:tcPr>
          <w:p w14:paraId="256B30E3" w14:textId="77777777" w:rsidR="00101352" w:rsidRPr="00F140B0" w:rsidRDefault="00101352" w:rsidP="005553E8">
            <w:pPr>
              <w:spacing w:line="240" w:lineRule="auto"/>
              <w:ind w:firstLine="0"/>
              <w:contextualSpacing/>
              <w:jc w:val="right"/>
              <w:rPr>
                <w:color w:val="000000"/>
              </w:rPr>
            </w:pPr>
            <w:r w:rsidRPr="00F140B0">
              <w:rPr>
                <w:color w:val="000000"/>
              </w:rPr>
              <w:t xml:space="preserve">29.45 </w:t>
            </w:r>
          </w:p>
        </w:tc>
        <w:tc>
          <w:tcPr>
            <w:tcW w:w="1716" w:type="dxa"/>
            <w:shd w:val="clear" w:color="auto" w:fill="auto"/>
            <w:noWrap/>
            <w:vAlign w:val="center"/>
            <w:hideMark/>
          </w:tcPr>
          <w:p w14:paraId="1C3F3E1F" w14:textId="77777777" w:rsidR="00101352" w:rsidRPr="00F140B0" w:rsidRDefault="00101352" w:rsidP="005553E8">
            <w:pPr>
              <w:spacing w:line="240" w:lineRule="auto"/>
              <w:ind w:firstLine="0"/>
              <w:contextualSpacing/>
              <w:jc w:val="right"/>
              <w:rPr>
                <w:color w:val="000000"/>
              </w:rPr>
            </w:pPr>
            <w:r w:rsidRPr="00F140B0">
              <w:rPr>
                <w:color w:val="000000"/>
              </w:rPr>
              <w:t xml:space="preserve">24.81 </w:t>
            </w:r>
          </w:p>
        </w:tc>
        <w:tc>
          <w:tcPr>
            <w:tcW w:w="1716" w:type="dxa"/>
            <w:shd w:val="clear" w:color="auto" w:fill="auto"/>
            <w:noWrap/>
            <w:vAlign w:val="center"/>
            <w:hideMark/>
          </w:tcPr>
          <w:p w14:paraId="413EF3F1" w14:textId="77777777" w:rsidR="00101352" w:rsidRPr="00F140B0" w:rsidRDefault="00101352" w:rsidP="005553E8">
            <w:pPr>
              <w:spacing w:line="240" w:lineRule="auto"/>
              <w:ind w:firstLine="0"/>
              <w:contextualSpacing/>
              <w:jc w:val="right"/>
              <w:rPr>
                <w:color w:val="000000"/>
              </w:rPr>
            </w:pPr>
            <w:r w:rsidRPr="00F140B0">
              <w:rPr>
                <w:color w:val="000000"/>
              </w:rPr>
              <w:t xml:space="preserve">22.63 </w:t>
            </w:r>
          </w:p>
        </w:tc>
      </w:tr>
      <w:tr w:rsidR="00101352" w:rsidRPr="00F140B0" w14:paraId="38ABCF05" w14:textId="77777777" w:rsidTr="005553E8">
        <w:trPr>
          <w:trHeight w:val="320"/>
          <w:jc w:val="center"/>
        </w:trPr>
        <w:tc>
          <w:tcPr>
            <w:tcW w:w="2515" w:type="dxa"/>
            <w:shd w:val="clear" w:color="auto" w:fill="auto"/>
            <w:noWrap/>
            <w:vAlign w:val="center"/>
            <w:hideMark/>
          </w:tcPr>
          <w:p w14:paraId="427D0754" w14:textId="77777777" w:rsidR="00101352" w:rsidRPr="00F140B0" w:rsidRDefault="00101352" w:rsidP="005553E8">
            <w:pPr>
              <w:spacing w:line="240" w:lineRule="auto"/>
              <w:ind w:firstLine="0"/>
              <w:contextualSpacing/>
              <w:jc w:val="both"/>
              <w:rPr>
                <w:color w:val="000000"/>
              </w:rPr>
            </w:pPr>
            <w:r w:rsidRPr="00F140B0">
              <w:rPr>
                <w:color w:val="000000"/>
              </w:rPr>
              <w:t>100,001-1,000,000</w:t>
            </w:r>
          </w:p>
        </w:tc>
        <w:tc>
          <w:tcPr>
            <w:tcW w:w="1716" w:type="dxa"/>
            <w:shd w:val="clear" w:color="auto" w:fill="auto"/>
            <w:noWrap/>
            <w:vAlign w:val="center"/>
            <w:hideMark/>
          </w:tcPr>
          <w:p w14:paraId="518EE6AC" w14:textId="77777777" w:rsidR="00101352" w:rsidRPr="00F140B0" w:rsidRDefault="00101352" w:rsidP="005553E8">
            <w:pPr>
              <w:spacing w:line="240" w:lineRule="auto"/>
              <w:ind w:firstLine="0"/>
              <w:contextualSpacing/>
              <w:jc w:val="right"/>
              <w:rPr>
                <w:color w:val="000000"/>
              </w:rPr>
            </w:pPr>
            <w:r w:rsidRPr="00F140B0">
              <w:rPr>
                <w:color w:val="000000"/>
              </w:rPr>
              <w:t xml:space="preserve">24.29 </w:t>
            </w:r>
          </w:p>
        </w:tc>
        <w:tc>
          <w:tcPr>
            <w:tcW w:w="1716" w:type="dxa"/>
            <w:shd w:val="clear" w:color="auto" w:fill="auto"/>
            <w:noWrap/>
            <w:vAlign w:val="center"/>
            <w:hideMark/>
          </w:tcPr>
          <w:p w14:paraId="7234476C" w14:textId="77777777" w:rsidR="00101352" w:rsidRPr="00F140B0" w:rsidRDefault="00101352" w:rsidP="005553E8">
            <w:pPr>
              <w:spacing w:line="240" w:lineRule="auto"/>
              <w:ind w:firstLine="0"/>
              <w:contextualSpacing/>
              <w:jc w:val="right"/>
              <w:rPr>
                <w:color w:val="000000"/>
              </w:rPr>
            </w:pPr>
            <w:r w:rsidRPr="00F140B0">
              <w:rPr>
                <w:color w:val="000000"/>
              </w:rPr>
              <w:t xml:space="preserve">23.34 </w:t>
            </w:r>
          </w:p>
        </w:tc>
        <w:tc>
          <w:tcPr>
            <w:tcW w:w="1716" w:type="dxa"/>
            <w:shd w:val="clear" w:color="auto" w:fill="auto"/>
            <w:noWrap/>
            <w:vAlign w:val="center"/>
            <w:hideMark/>
          </w:tcPr>
          <w:p w14:paraId="5AA4EC80" w14:textId="77777777" w:rsidR="00101352" w:rsidRPr="00F140B0" w:rsidRDefault="00101352" w:rsidP="005553E8">
            <w:pPr>
              <w:spacing w:line="240" w:lineRule="auto"/>
              <w:ind w:firstLine="0"/>
              <w:contextualSpacing/>
              <w:jc w:val="right"/>
              <w:rPr>
                <w:color w:val="000000"/>
              </w:rPr>
            </w:pPr>
            <w:r w:rsidRPr="00F140B0">
              <w:rPr>
                <w:color w:val="000000"/>
              </w:rPr>
              <w:t xml:space="preserve">20.52 </w:t>
            </w:r>
          </w:p>
        </w:tc>
        <w:tc>
          <w:tcPr>
            <w:tcW w:w="1716" w:type="dxa"/>
            <w:shd w:val="clear" w:color="auto" w:fill="auto"/>
            <w:noWrap/>
            <w:vAlign w:val="center"/>
            <w:hideMark/>
          </w:tcPr>
          <w:p w14:paraId="0411C47E" w14:textId="77777777" w:rsidR="00101352" w:rsidRPr="00F140B0" w:rsidRDefault="00101352" w:rsidP="005553E8">
            <w:pPr>
              <w:spacing w:line="240" w:lineRule="auto"/>
              <w:ind w:firstLine="0"/>
              <w:contextualSpacing/>
              <w:jc w:val="right"/>
              <w:rPr>
                <w:color w:val="000000"/>
              </w:rPr>
            </w:pPr>
            <w:r w:rsidRPr="00F140B0">
              <w:rPr>
                <w:color w:val="000000"/>
              </w:rPr>
              <w:t xml:space="preserve">19.26 </w:t>
            </w:r>
          </w:p>
        </w:tc>
      </w:tr>
      <w:tr w:rsidR="00101352" w:rsidRPr="00F140B0" w14:paraId="5B9B7B63" w14:textId="77777777" w:rsidTr="005553E8">
        <w:trPr>
          <w:trHeight w:val="320"/>
          <w:jc w:val="center"/>
        </w:trPr>
        <w:tc>
          <w:tcPr>
            <w:tcW w:w="2515" w:type="dxa"/>
            <w:tcBorders>
              <w:bottom w:val="double" w:sz="4" w:space="0" w:color="auto"/>
            </w:tcBorders>
            <w:shd w:val="clear" w:color="auto" w:fill="auto"/>
            <w:noWrap/>
            <w:vAlign w:val="center"/>
            <w:hideMark/>
          </w:tcPr>
          <w:p w14:paraId="3231C3F7" w14:textId="77777777" w:rsidR="00101352" w:rsidRPr="00F140B0" w:rsidRDefault="00101352" w:rsidP="005553E8">
            <w:pPr>
              <w:spacing w:line="240" w:lineRule="auto"/>
              <w:ind w:firstLine="0"/>
              <w:contextualSpacing/>
              <w:jc w:val="both"/>
              <w:rPr>
                <w:color w:val="000000"/>
              </w:rPr>
            </w:pPr>
            <w:r w:rsidRPr="00F140B0">
              <w:rPr>
                <w:color w:val="000000"/>
              </w:rPr>
              <w:t>&gt; 1,000,000</w:t>
            </w:r>
          </w:p>
        </w:tc>
        <w:tc>
          <w:tcPr>
            <w:tcW w:w="1716" w:type="dxa"/>
            <w:tcBorders>
              <w:bottom w:val="double" w:sz="4" w:space="0" w:color="auto"/>
            </w:tcBorders>
            <w:shd w:val="clear" w:color="auto" w:fill="auto"/>
            <w:noWrap/>
            <w:vAlign w:val="center"/>
            <w:hideMark/>
          </w:tcPr>
          <w:p w14:paraId="3A37A9B5" w14:textId="77777777" w:rsidR="00101352" w:rsidRPr="00F140B0" w:rsidRDefault="00101352" w:rsidP="005553E8">
            <w:pPr>
              <w:spacing w:line="240" w:lineRule="auto"/>
              <w:ind w:firstLine="0"/>
              <w:contextualSpacing/>
              <w:jc w:val="right"/>
              <w:rPr>
                <w:color w:val="000000"/>
              </w:rPr>
            </w:pPr>
            <w:r w:rsidRPr="00F140B0">
              <w:rPr>
                <w:color w:val="000000"/>
              </w:rPr>
              <w:t xml:space="preserve">7.41 </w:t>
            </w:r>
          </w:p>
        </w:tc>
        <w:tc>
          <w:tcPr>
            <w:tcW w:w="1716" w:type="dxa"/>
            <w:tcBorders>
              <w:bottom w:val="double" w:sz="4" w:space="0" w:color="auto"/>
            </w:tcBorders>
            <w:shd w:val="clear" w:color="auto" w:fill="auto"/>
            <w:noWrap/>
            <w:vAlign w:val="center"/>
            <w:hideMark/>
          </w:tcPr>
          <w:p w14:paraId="04764978" w14:textId="77777777" w:rsidR="00101352" w:rsidRPr="00F140B0" w:rsidRDefault="00101352" w:rsidP="005553E8">
            <w:pPr>
              <w:spacing w:line="240" w:lineRule="auto"/>
              <w:ind w:firstLine="0"/>
              <w:contextualSpacing/>
              <w:jc w:val="right"/>
              <w:rPr>
                <w:color w:val="000000"/>
              </w:rPr>
            </w:pPr>
            <w:r w:rsidRPr="00F140B0">
              <w:rPr>
                <w:color w:val="000000"/>
              </w:rPr>
              <w:t xml:space="preserve">2.79 </w:t>
            </w:r>
          </w:p>
        </w:tc>
        <w:tc>
          <w:tcPr>
            <w:tcW w:w="1716" w:type="dxa"/>
            <w:tcBorders>
              <w:bottom w:val="double" w:sz="4" w:space="0" w:color="auto"/>
            </w:tcBorders>
            <w:shd w:val="clear" w:color="auto" w:fill="auto"/>
            <w:noWrap/>
            <w:vAlign w:val="center"/>
            <w:hideMark/>
          </w:tcPr>
          <w:p w14:paraId="48ED235C" w14:textId="77777777" w:rsidR="00101352" w:rsidRPr="00F140B0" w:rsidRDefault="00101352" w:rsidP="005553E8">
            <w:pPr>
              <w:spacing w:line="240" w:lineRule="auto"/>
              <w:ind w:firstLine="0"/>
              <w:contextualSpacing/>
              <w:jc w:val="right"/>
              <w:rPr>
                <w:color w:val="000000"/>
              </w:rPr>
            </w:pPr>
            <w:r w:rsidRPr="00F140B0">
              <w:rPr>
                <w:color w:val="000000"/>
              </w:rPr>
              <w:t xml:space="preserve">0.86 </w:t>
            </w:r>
          </w:p>
        </w:tc>
        <w:tc>
          <w:tcPr>
            <w:tcW w:w="1716" w:type="dxa"/>
            <w:tcBorders>
              <w:bottom w:val="double" w:sz="4" w:space="0" w:color="auto"/>
            </w:tcBorders>
            <w:shd w:val="clear" w:color="auto" w:fill="auto"/>
            <w:noWrap/>
            <w:vAlign w:val="center"/>
            <w:hideMark/>
          </w:tcPr>
          <w:p w14:paraId="4C72650D" w14:textId="77777777" w:rsidR="00101352" w:rsidRPr="00F140B0" w:rsidRDefault="00101352" w:rsidP="005553E8">
            <w:pPr>
              <w:spacing w:line="240" w:lineRule="auto"/>
              <w:ind w:firstLine="0"/>
              <w:contextualSpacing/>
              <w:jc w:val="right"/>
              <w:rPr>
                <w:color w:val="000000"/>
              </w:rPr>
            </w:pPr>
            <w:r w:rsidRPr="00F140B0">
              <w:rPr>
                <w:color w:val="000000"/>
              </w:rPr>
              <w:t xml:space="preserve">0.15 </w:t>
            </w:r>
          </w:p>
        </w:tc>
      </w:tr>
      <w:tr w:rsidR="00101352" w:rsidRPr="00F140B0" w14:paraId="0F13741C" w14:textId="77777777" w:rsidTr="005553E8">
        <w:trPr>
          <w:trHeight w:val="320"/>
          <w:jc w:val="center"/>
        </w:trPr>
        <w:tc>
          <w:tcPr>
            <w:tcW w:w="9379" w:type="dxa"/>
            <w:gridSpan w:val="5"/>
            <w:tcBorders>
              <w:top w:val="double" w:sz="4" w:space="0" w:color="auto"/>
              <w:bottom w:val="double" w:sz="4" w:space="0" w:color="auto"/>
            </w:tcBorders>
            <w:shd w:val="clear" w:color="auto" w:fill="auto"/>
            <w:noWrap/>
            <w:vAlign w:val="center"/>
          </w:tcPr>
          <w:p w14:paraId="76D972BB" w14:textId="77777777" w:rsidR="00101352" w:rsidRPr="00F140B0" w:rsidRDefault="00101352" w:rsidP="005553E8">
            <w:pPr>
              <w:spacing w:line="240" w:lineRule="auto"/>
              <w:ind w:firstLine="0"/>
              <w:contextualSpacing/>
              <w:rPr>
                <w:color w:val="000000"/>
              </w:rPr>
            </w:pPr>
            <w:r w:rsidRPr="00F140B0">
              <w:rPr>
                <w:color w:val="000000"/>
              </w:rPr>
              <w:t>Source:</w:t>
            </w:r>
            <w:r>
              <w:rPr>
                <w:color w:val="000000"/>
              </w:rPr>
              <w:t xml:space="preserve"> </w:t>
            </w:r>
            <w:r>
              <w:rPr>
                <w:noProof/>
                <w:color w:val="000000"/>
              </w:rPr>
              <w:t>USEPA (2000e)</w:t>
            </w:r>
            <w:r>
              <w:rPr>
                <w:color w:val="000000"/>
              </w:rPr>
              <w:t>.</w:t>
            </w:r>
          </w:p>
        </w:tc>
      </w:tr>
    </w:tbl>
    <w:p w14:paraId="785A1988" w14:textId="77777777" w:rsidR="00101352" w:rsidRDefault="00101352" w:rsidP="00101352"/>
    <w:p w14:paraId="33925B8F" w14:textId="77777777" w:rsidR="00101352" w:rsidRDefault="00101352" w:rsidP="00101352"/>
    <w:p w14:paraId="10CF5F2F" w14:textId="77777777" w:rsidR="00101352" w:rsidRDefault="00101352" w:rsidP="00101352">
      <w:pPr>
        <w:ind w:firstLine="0"/>
      </w:pPr>
    </w:p>
    <w:p w14:paraId="7E834691" w14:textId="77777777" w:rsidR="00101352" w:rsidRDefault="00101352" w:rsidP="00101352">
      <w:pPr>
        <w:ind w:firstLine="0"/>
      </w:pPr>
    </w:p>
    <w:p w14:paraId="0D37273C" w14:textId="77777777" w:rsidR="00101352" w:rsidRDefault="00101352" w:rsidP="00101352">
      <w:pPr>
        <w:spacing w:line="240" w:lineRule="auto"/>
        <w:ind w:firstLine="0"/>
        <w:rPr>
          <w:iCs/>
          <w:color w:val="000000" w:themeColor="text1"/>
          <w:szCs w:val="18"/>
        </w:rPr>
      </w:pPr>
      <w:bookmarkStart w:id="61" w:name="_Ref536529356"/>
      <w:r>
        <w:br w:type="page"/>
      </w:r>
    </w:p>
    <w:p w14:paraId="17E8D455" w14:textId="77777777" w:rsidR="00101352" w:rsidRDefault="00101352" w:rsidP="00101352">
      <w:pPr>
        <w:pStyle w:val="Caption"/>
        <w:keepNext/>
      </w:pPr>
      <w:bookmarkStart w:id="62" w:name="_Ref1631832"/>
      <w:r>
        <w:lastRenderedPageBreak/>
        <w:t xml:space="preserve">Table </w:t>
      </w:r>
      <w:fldSimple w:instr=" STYLEREF 1 \s ">
        <w:r>
          <w:rPr>
            <w:noProof/>
          </w:rPr>
          <w:t>7</w:t>
        </w:r>
      </w:fldSimple>
      <w:r>
        <w:noBreakHyphen/>
      </w:r>
      <w:fldSimple w:instr=" SEQ Table \* ARABIC \s 1 ">
        <w:r>
          <w:rPr>
            <w:noProof/>
          </w:rPr>
          <w:t>8</w:t>
        </w:r>
      </w:fldSimple>
      <w:bookmarkEnd w:id="61"/>
      <w:bookmarkEnd w:id="62"/>
      <w:r>
        <w:t>: Arsenic NPDWR: USEPA-estimated Annualized Net Benefit per Household of “Lower Bound” Cancer Risk Reduction by System Size for Four Alternative Arsenic MCLs and Two Household Sizes, 7% Discount Rate</w:t>
      </w:r>
    </w:p>
    <w:tbl>
      <w:tblPr>
        <w:tblW w:w="930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090"/>
        <w:gridCol w:w="1798"/>
        <w:gridCol w:w="1814"/>
        <w:gridCol w:w="1814"/>
        <w:gridCol w:w="1814"/>
      </w:tblGrid>
      <w:tr w:rsidR="00101352" w:rsidRPr="00942C1A" w14:paraId="31E9037A" w14:textId="77777777" w:rsidTr="005553E8">
        <w:trPr>
          <w:trHeight w:val="340"/>
        </w:trPr>
        <w:tc>
          <w:tcPr>
            <w:tcW w:w="2092" w:type="dxa"/>
            <w:vMerge w:val="restart"/>
            <w:shd w:val="clear" w:color="auto" w:fill="auto"/>
            <w:noWrap/>
            <w:tcMar>
              <w:left w:w="0" w:type="dxa"/>
              <w:right w:w="115" w:type="dxa"/>
            </w:tcMar>
            <w:vAlign w:val="center"/>
            <w:hideMark/>
          </w:tcPr>
          <w:p w14:paraId="5A2688CF" w14:textId="77777777" w:rsidR="00101352" w:rsidRPr="004A2D5D" w:rsidRDefault="00101352" w:rsidP="005553E8">
            <w:pPr>
              <w:spacing w:line="240" w:lineRule="auto"/>
              <w:ind w:firstLine="0"/>
              <w:rPr>
                <w:b/>
                <w:color w:val="000000"/>
              </w:rPr>
            </w:pPr>
            <w:r w:rsidRPr="004A2D5D">
              <w:rPr>
                <w:b/>
                <w:color w:val="000000"/>
              </w:rPr>
              <w:t>System</w:t>
            </w:r>
            <w:r>
              <w:rPr>
                <w:b/>
                <w:color w:val="000000"/>
              </w:rPr>
              <w:br/>
            </w:r>
            <w:r w:rsidRPr="004A2D5D">
              <w:rPr>
                <w:b/>
                <w:color w:val="000000"/>
              </w:rPr>
              <w:t>Size</w:t>
            </w:r>
          </w:p>
        </w:tc>
        <w:tc>
          <w:tcPr>
            <w:tcW w:w="7212" w:type="dxa"/>
            <w:gridSpan w:val="4"/>
            <w:shd w:val="clear" w:color="auto" w:fill="auto"/>
            <w:noWrap/>
            <w:tcMar>
              <w:left w:w="0" w:type="dxa"/>
              <w:right w:w="115" w:type="dxa"/>
            </w:tcMar>
            <w:vAlign w:val="center"/>
            <w:hideMark/>
          </w:tcPr>
          <w:p w14:paraId="135B556D" w14:textId="77777777" w:rsidR="00101352" w:rsidRPr="004A2D5D" w:rsidRDefault="00101352" w:rsidP="005553E8">
            <w:pPr>
              <w:spacing w:line="240" w:lineRule="auto"/>
              <w:ind w:firstLine="0"/>
              <w:jc w:val="center"/>
              <w:rPr>
                <w:b/>
                <w:color w:val="000000"/>
                <w:u w:val="single"/>
              </w:rPr>
            </w:pPr>
            <w:r w:rsidRPr="004A2D5D">
              <w:rPr>
                <w:b/>
                <w:color w:val="000000"/>
                <w:u w:val="single"/>
              </w:rPr>
              <w:t>MCL (</w:t>
            </w:r>
            <w:r w:rsidRPr="00942C1A">
              <w:rPr>
                <w:b/>
                <w:color w:val="000000"/>
                <w:u w:val="single"/>
              </w:rPr>
              <w:sym w:font="Symbol" w:char="F06D"/>
            </w:r>
            <w:r w:rsidRPr="004A2D5D">
              <w:rPr>
                <w:b/>
                <w:color w:val="000000"/>
                <w:u w:val="single"/>
              </w:rPr>
              <w:t>g/L)</w:t>
            </w:r>
          </w:p>
        </w:tc>
      </w:tr>
      <w:tr w:rsidR="00101352" w:rsidRPr="00942C1A" w14:paraId="06208848" w14:textId="77777777" w:rsidTr="005553E8">
        <w:trPr>
          <w:trHeight w:val="340"/>
        </w:trPr>
        <w:tc>
          <w:tcPr>
            <w:tcW w:w="2092" w:type="dxa"/>
            <w:vMerge/>
            <w:tcBorders>
              <w:bottom w:val="double" w:sz="4" w:space="0" w:color="auto"/>
            </w:tcBorders>
            <w:shd w:val="clear" w:color="auto" w:fill="auto"/>
            <w:noWrap/>
            <w:tcMar>
              <w:left w:w="0" w:type="dxa"/>
              <w:right w:w="115" w:type="dxa"/>
            </w:tcMar>
            <w:vAlign w:val="center"/>
            <w:hideMark/>
          </w:tcPr>
          <w:p w14:paraId="533720BB" w14:textId="77777777" w:rsidR="00101352" w:rsidRPr="004A2D5D" w:rsidRDefault="00101352" w:rsidP="005553E8">
            <w:pPr>
              <w:spacing w:line="240" w:lineRule="auto"/>
              <w:ind w:firstLine="0"/>
              <w:rPr>
                <w:b/>
                <w:color w:val="000000"/>
              </w:rPr>
            </w:pPr>
          </w:p>
        </w:tc>
        <w:tc>
          <w:tcPr>
            <w:tcW w:w="1791" w:type="dxa"/>
            <w:tcBorders>
              <w:bottom w:val="double" w:sz="4" w:space="0" w:color="auto"/>
            </w:tcBorders>
            <w:shd w:val="clear" w:color="auto" w:fill="auto"/>
            <w:noWrap/>
            <w:tcMar>
              <w:left w:w="0" w:type="dxa"/>
              <w:right w:w="115" w:type="dxa"/>
            </w:tcMar>
            <w:vAlign w:val="center"/>
            <w:hideMark/>
          </w:tcPr>
          <w:p w14:paraId="04EF95BB" w14:textId="77777777" w:rsidR="00101352" w:rsidRPr="004A2D5D" w:rsidRDefault="00101352" w:rsidP="005553E8">
            <w:pPr>
              <w:spacing w:line="240" w:lineRule="auto"/>
              <w:ind w:firstLine="0"/>
              <w:jc w:val="center"/>
              <w:rPr>
                <w:b/>
                <w:color w:val="000000"/>
              </w:rPr>
            </w:pPr>
            <w:r w:rsidRPr="004A2D5D">
              <w:rPr>
                <w:b/>
                <w:color w:val="000000"/>
              </w:rPr>
              <w:t>3</w:t>
            </w:r>
          </w:p>
        </w:tc>
        <w:tc>
          <w:tcPr>
            <w:tcW w:w="1807" w:type="dxa"/>
            <w:tcBorders>
              <w:bottom w:val="double" w:sz="4" w:space="0" w:color="auto"/>
            </w:tcBorders>
            <w:shd w:val="clear" w:color="auto" w:fill="auto"/>
            <w:noWrap/>
            <w:tcMar>
              <w:left w:w="0" w:type="dxa"/>
              <w:right w:w="115" w:type="dxa"/>
            </w:tcMar>
            <w:vAlign w:val="center"/>
            <w:hideMark/>
          </w:tcPr>
          <w:p w14:paraId="764FDAB5" w14:textId="77777777" w:rsidR="00101352" w:rsidRPr="004A2D5D" w:rsidRDefault="00101352" w:rsidP="005553E8">
            <w:pPr>
              <w:spacing w:line="240" w:lineRule="auto"/>
              <w:ind w:firstLine="0"/>
              <w:jc w:val="center"/>
              <w:rPr>
                <w:b/>
                <w:color w:val="000000"/>
              </w:rPr>
            </w:pPr>
            <w:r w:rsidRPr="004A2D5D">
              <w:rPr>
                <w:b/>
                <w:color w:val="000000"/>
              </w:rPr>
              <w:t>5</w:t>
            </w:r>
          </w:p>
        </w:tc>
        <w:tc>
          <w:tcPr>
            <w:tcW w:w="1807" w:type="dxa"/>
            <w:tcBorders>
              <w:bottom w:val="double" w:sz="4" w:space="0" w:color="auto"/>
            </w:tcBorders>
            <w:shd w:val="clear" w:color="auto" w:fill="auto"/>
            <w:noWrap/>
            <w:tcMar>
              <w:left w:w="0" w:type="dxa"/>
              <w:right w:w="115" w:type="dxa"/>
            </w:tcMar>
            <w:vAlign w:val="center"/>
            <w:hideMark/>
          </w:tcPr>
          <w:p w14:paraId="70863F4C" w14:textId="77777777" w:rsidR="00101352" w:rsidRPr="004A2D5D" w:rsidRDefault="00101352" w:rsidP="005553E8">
            <w:pPr>
              <w:spacing w:line="240" w:lineRule="auto"/>
              <w:ind w:firstLine="0"/>
              <w:jc w:val="center"/>
              <w:rPr>
                <w:b/>
                <w:color w:val="000000"/>
              </w:rPr>
            </w:pPr>
            <w:r w:rsidRPr="004A2D5D">
              <w:rPr>
                <w:b/>
                <w:color w:val="000000"/>
              </w:rPr>
              <w:t>10</w:t>
            </w:r>
          </w:p>
        </w:tc>
        <w:tc>
          <w:tcPr>
            <w:tcW w:w="1807" w:type="dxa"/>
            <w:tcBorders>
              <w:bottom w:val="double" w:sz="4" w:space="0" w:color="auto"/>
            </w:tcBorders>
            <w:shd w:val="clear" w:color="auto" w:fill="auto"/>
            <w:noWrap/>
            <w:tcMar>
              <w:left w:w="0" w:type="dxa"/>
              <w:right w:w="115" w:type="dxa"/>
            </w:tcMar>
            <w:vAlign w:val="center"/>
            <w:hideMark/>
          </w:tcPr>
          <w:p w14:paraId="69373607" w14:textId="77777777" w:rsidR="00101352" w:rsidRPr="004A2D5D" w:rsidRDefault="00101352" w:rsidP="005553E8">
            <w:pPr>
              <w:spacing w:line="240" w:lineRule="auto"/>
              <w:ind w:firstLine="0"/>
              <w:jc w:val="center"/>
              <w:rPr>
                <w:b/>
                <w:color w:val="000000"/>
              </w:rPr>
            </w:pPr>
            <w:r w:rsidRPr="004A2D5D">
              <w:rPr>
                <w:b/>
                <w:color w:val="000000"/>
              </w:rPr>
              <w:t>20</w:t>
            </w:r>
          </w:p>
        </w:tc>
      </w:tr>
      <w:tr w:rsidR="00101352" w:rsidRPr="00942C1A" w14:paraId="3C845A22" w14:textId="77777777" w:rsidTr="005553E8">
        <w:trPr>
          <w:trHeight w:hRule="exact" w:val="346"/>
        </w:trPr>
        <w:tc>
          <w:tcPr>
            <w:tcW w:w="9304" w:type="dxa"/>
            <w:gridSpan w:val="5"/>
            <w:tcBorders>
              <w:top w:val="double" w:sz="4" w:space="0" w:color="auto"/>
              <w:bottom w:val="double" w:sz="4" w:space="0" w:color="auto"/>
            </w:tcBorders>
            <w:shd w:val="clear" w:color="auto" w:fill="auto"/>
            <w:noWrap/>
            <w:tcMar>
              <w:left w:w="0" w:type="dxa"/>
              <w:right w:w="115" w:type="dxa"/>
            </w:tcMar>
            <w:vAlign w:val="center"/>
          </w:tcPr>
          <w:p w14:paraId="2918EE8D" w14:textId="77777777" w:rsidR="00101352" w:rsidRPr="00942C1A" w:rsidRDefault="00101352" w:rsidP="005553E8">
            <w:pPr>
              <w:spacing w:line="240" w:lineRule="auto"/>
              <w:ind w:firstLine="0"/>
              <w:jc w:val="center"/>
              <w:rPr>
                <w:i/>
                <w:color w:val="FF0000"/>
              </w:rPr>
            </w:pPr>
            <w:r w:rsidRPr="00942C1A">
              <w:rPr>
                <w:i/>
                <w:color w:val="000000"/>
              </w:rPr>
              <w:t>Household Size = 3</w:t>
            </w:r>
          </w:p>
        </w:tc>
      </w:tr>
      <w:tr w:rsidR="00101352" w:rsidRPr="00942C1A" w14:paraId="6BB11732" w14:textId="77777777" w:rsidTr="005553E8">
        <w:trPr>
          <w:trHeight w:hRule="exact" w:val="346"/>
        </w:trPr>
        <w:tc>
          <w:tcPr>
            <w:tcW w:w="2092" w:type="dxa"/>
            <w:tcBorders>
              <w:top w:val="double" w:sz="4" w:space="0" w:color="auto"/>
            </w:tcBorders>
            <w:shd w:val="clear" w:color="auto" w:fill="auto"/>
            <w:noWrap/>
            <w:tcMar>
              <w:left w:w="0" w:type="dxa"/>
              <w:right w:w="115" w:type="dxa"/>
            </w:tcMar>
            <w:vAlign w:val="center"/>
            <w:hideMark/>
          </w:tcPr>
          <w:p w14:paraId="3C82AC0F" w14:textId="77777777" w:rsidR="00101352" w:rsidRPr="004A2D5D" w:rsidRDefault="00101352" w:rsidP="005553E8">
            <w:pPr>
              <w:spacing w:line="240" w:lineRule="auto"/>
              <w:ind w:firstLine="0"/>
              <w:contextualSpacing/>
              <w:rPr>
                <w:color w:val="000000"/>
              </w:rPr>
            </w:pPr>
            <w:r w:rsidRPr="004A2D5D">
              <w:rPr>
                <w:color w:val="000000"/>
              </w:rPr>
              <w:t>&lt;100</w:t>
            </w:r>
          </w:p>
        </w:tc>
        <w:tc>
          <w:tcPr>
            <w:tcW w:w="1791" w:type="dxa"/>
            <w:tcBorders>
              <w:top w:val="double" w:sz="4" w:space="0" w:color="auto"/>
            </w:tcBorders>
            <w:shd w:val="clear" w:color="auto" w:fill="auto"/>
            <w:noWrap/>
            <w:tcMar>
              <w:left w:w="0" w:type="dxa"/>
              <w:right w:w="115" w:type="dxa"/>
            </w:tcMar>
            <w:vAlign w:val="center"/>
          </w:tcPr>
          <w:p w14:paraId="7C0F8FE4" w14:textId="77777777" w:rsidR="00101352" w:rsidRPr="00942C1A" w:rsidRDefault="00101352" w:rsidP="005553E8">
            <w:pPr>
              <w:spacing w:line="240" w:lineRule="auto"/>
              <w:ind w:firstLine="0"/>
              <w:jc w:val="right"/>
              <w:rPr>
                <w:color w:val="000000"/>
              </w:rPr>
            </w:pPr>
            <w:r w:rsidRPr="00942C1A">
              <w:rPr>
                <w:color w:val="FF0000"/>
              </w:rPr>
              <w:t>($316.28)</w:t>
            </w:r>
          </w:p>
        </w:tc>
        <w:tc>
          <w:tcPr>
            <w:tcW w:w="1807" w:type="dxa"/>
            <w:tcBorders>
              <w:top w:val="double" w:sz="4" w:space="0" w:color="auto"/>
            </w:tcBorders>
            <w:shd w:val="clear" w:color="auto" w:fill="auto"/>
            <w:noWrap/>
            <w:tcMar>
              <w:left w:w="0" w:type="dxa"/>
              <w:right w:w="115" w:type="dxa"/>
            </w:tcMar>
            <w:vAlign w:val="center"/>
          </w:tcPr>
          <w:p w14:paraId="7C1012DD" w14:textId="77777777" w:rsidR="00101352" w:rsidRPr="00942C1A" w:rsidRDefault="00101352" w:rsidP="005553E8">
            <w:pPr>
              <w:jc w:val="right"/>
              <w:rPr>
                <w:color w:val="000000"/>
              </w:rPr>
            </w:pPr>
            <w:r w:rsidRPr="00942C1A">
              <w:rPr>
                <w:color w:val="FF0000"/>
              </w:rPr>
              <w:t>($316.48)</w:t>
            </w:r>
          </w:p>
        </w:tc>
        <w:tc>
          <w:tcPr>
            <w:tcW w:w="1807" w:type="dxa"/>
            <w:tcBorders>
              <w:top w:val="double" w:sz="4" w:space="0" w:color="auto"/>
            </w:tcBorders>
            <w:shd w:val="clear" w:color="auto" w:fill="auto"/>
            <w:noWrap/>
            <w:tcMar>
              <w:left w:w="0" w:type="dxa"/>
              <w:right w:w="115" w:type="dxa"/>
            </w:tcMar>
            <w:vAlign w:val="center"/>
          </w:tcPr>
          <w:p w14:paraId="0FB09E00" w14:textId="77777777" w:rsidR="00101352" w:rsidRPr="00942C1A" w:rsidRDefault="00101352" w:rsidP="005553E8">
            <w:pPr>
              <w:jc w:val="right"/>
              <w:rPr>
                <w:color w:val="000000"/>
              </w:rPr>
            </w:pPr>
            <w:r w:rsidRPr="00942C1A">
              <w:rPr>
                <w:color w:val="FF0000"/>
              </w:rPr>
              <w:t>($322.68)</w:t>
            </w:r>
          </w:p>
        </w:tc>
        <w:tc>
          <w:tcPr>
            <w:tcW w:w="1807" w:type="dxa"/>
            <w:tcBorders>
              <w:top w:val="double" w:sz="4" w:space="0" w:color="auto"/>
            </w:tcBorders>
            <w:shd w:val="clear" w:color="auto" w:fill="auto"/>
            <w:noWrap/>
            <w:tcMar>
              <w:left w:w="0" w:type="dxa"/>
              <w:right w:w="115" w:type="dxa"/>
            </w:tcMar>
            <w:vAlign w:val="center"/>
          </w:tcPr>
          <w:p w14:paraId="05AA2744" w14:textId="77777777" w:rsidR="00101352" w:rsidRPr="00942C1A" w:rsidRDefault="00101352" w:rsidP="005553E8">
            <w:pPr>
              <w:jc w:val="right"/>
              <w:rPr>
                <w:color w:val="000000"/>
              </w:rPr>
            </w:pPr>
            <w:r w:rsidRPr="00942C1A">
              <w:rPr>
                <w:color w:val="FF0000"/>
              </w:rPr>
              <w:t>($343.91)</w:t>
            </w:r>
          </w:p>
        </w:tc>
      </w:tr>
      <w:tr w:rsidR="00101352" w:rsidRPr="00942C1A" w14:paraId="0FA60BA3" w14:textId="77777777" w:rsidTr="005553E8">
        <w:trPr>
          <w:trHeight w:hRule="exact" w:val="346"/>
        </w:trPr>
        <w:tc>
          <w:tcPr>
            <w:tcW w:w="2092" w:type="dxa"/>
            <w:shd w:val="clear" w:color="auto" w:fill="auto"/>
            <w:noWrap/>
            <w:tcMar>
              <w:left w:w="0" w:type="dxa"/>
              <w:right w:w="115" w:type="dxa"/>
            </w:tcMar>
            <w:vAlign w:val="center"/>
            <w:hideMark/>
          </w:tcPr>
          <w:p w14:paraId="03D3BB8D" w14:textId="77777777" w:rsidR="00101352" w:rsidRPr="004A2D5D" w:rsidRDefault="00101352" w:rsidP="005553E8">
            <w:pPr>
              <w:spacing w:line="240" w:lineRule="auto"/>
              <w:ind w:firstLine="0"/>
              <w:rPr>
                <w:color w:val="000000"/>
              </w:rPr>
            </w:pPr>
            <w:r w:rsidRPr="004A2D5D">
              <w:rPr>
                <w:color w:val="000000"/>
              </w:rPr>
              <w:t>101-500</w:t>
            </w:r>
          </w:p>
        </w:tc>
        <w:tc>
          <w:tcPr>
            <w:tcW w:w="1791" w:type="dxa"/>
            <w:shd w:val="clear" w:color="auto" w:fill="auto"/>
            <w:noWrap/>
            <w:tcMar>
              <w:left w:w="0" w:type="dxa"/>
              <w:right w:w="115" w:type="dxa"/>
            </w:tcMar>
            <w:vAlign w:val="center"/>
          </w:tcPr>
          <w:p w14:paraId="6CCEB05D" w14:textId="77777777" w:rsidR="00101352" w:rsidRPr="00942C1A" w:rsidRDefault="00101352" w:rsidP="005553E8">
            <w:pPr>
              <w:jc w:val="right"/>
              <w:rPr>
                <w:color w:val="000000"/>
              </w:rPr>
            </w:pPr>
            <w:r w:rsidRPr="00942C1A">
              <w:rPr>
                <w:color w:val="FF0000"/>
              </w:rPr>
              <w:t>($166.19)</w:t>
            </w:r>
          </w:p>
        </w:tc>
        <w:tc>
          <w:tcPr>
            <w:tcW w:w="1807" w:type="dxa"/>
            <w:shd w:val="clear" w:color="auto" w:fill="auto"/>
            <w:noWrap/>
            <w:tcMar>
              <w:left w:w="0" w:type="dxa"/>
              <w:right w:w="115" w:type="dxa"/>
            </w:tcMar>
            <w:vAlign w:val="center"/>
          </w:tcPr>
          <w:p w14:paraId="5050DD11" w14:textId="77777777" w:rsidR="00101352" w:rsidRPr="00942C1A" w:rsidRDefault="00101352" w:rsidP="005553E8">
            <w:pPr>
              <w:jc w:val="right"/>
              <w:rPr>
                <w:color w:val="000000"/>
              </w:rPr>
            </w:pPr>
            <w:r w:rsidRPr="00942C1A">
              <w:rPr>
                <w:color w:val="FF0000"/>
              </w:rPr>
              <w:t>($162.24)</w:t>
            </w:r>
          </w:p>
        </w:tc>
        <w:tc>
          <w:tcPr>
            <w:tcW w:w="1807" w:type="dxa"/>
            <w:shd w:val="clear" w:color="auto" w:fill="auto"/>
            <w:noWrap/>
            <w:tcMar>
              <w:left w:w="0" w:type="dxa"/>
              <w:right w:w="115" w:type="dxa"/>
            </w:tcMar>
            <w:vAlign w:val="center"/>
          </w:tcPr>
          <w:p w14:paraId="493DA3A0" w14:textId="77777777" w:rsidR="00101352" w:rsidRPr="00942C1A" w:rsidRDefault="00101352" w:rsidP="005553E8">
            <w:pPr>
              <w:jc w:val="right"/>
              <w:rPr>
                <w:color w:val="000000"/>
              </w:rPr>
            </w:pPr>
            <w:r w:rsidRPr="00942C1A">
              <w:rPr>
                <w:color w:val="FF0000"/>
              </w:rPr>
              <w:t>($158.36)</w:t>
            </w:r>
          </w:p>
        </w:tc>
        <w:tc>
          <w:tcPr>
            <w:tcW w:w="1807" w:type="dxa"/>
            <w:shd w:val="clear" w:color="auto" w:fill="auto"/>
            <w:noWrap/>
            <w:tcMar>
              <w:left w:w="0" w:type="dxa"/>
              <w:right w:w="115" w:type="dxa"/>
            </w:tcMar>
            <w:vAlign w:val="center"/>
          </w:tcPr>
          <w:p w14:paraId="5CBB11C8" w14:textId="77777777" w:rsidR="00101352" w:rsidRPr="00942C1A" w:rsidRDefault="00101352" w:rsidP="005553E8">
            <w:pPr>
              <w:jc w:val="right"/>
              <w:rPr>
                <w:color w:val="000000"/>
              </w:rPr>
            </w:pPr>
            <w:r w:rsidRPr="00942C1A">
              <w:rPr>
                <w:color w:val="FF0000"/>
              </w:rPr>
              <w:t>($159.48)</w:t>
            </w:r>
          </w:p>
        </w:tc>
      </w:tr>
      <w:tr w:rsidR="00101352" w:rsidRPr="00942C1A" w14:paraId="6A0ED4B0" w14:textId="77777777" w:rsidTr="005553E8">
        <w:trPr>
          <w:trHeight w:hRule="exact" w:val="346"/>
        </w:trPr>
        <w:tc>
          <w:tcPr>
            <w:tcW w:w="2092" w:type="dxa"/>
            <w:shd w:val="clear" w:color="auto" w:fill="auto"/>
            <w:noWrap/>
            <w:tcMar>
              <w:left w:w="0" w:type="dxa"/>
              <w:right w:w="115" w:type="dxa"/>
            </w:tcMar>
            <w:vAlign w:val="center"/>
            <w:hideMark/>
          </w:tcPr>
          <w:p w14:paraId="701927DB" w14:textId="77777777" w:rsidR="00101352" w:rsidRPr="004A2D5D" w:rsidRDefault="00101352" w:rsidP="005553E8">
            <w:pPr>
              <w:spacing w:line="240" w:lineRule="auto"/>
              <w:ind w:firstLine="0"/>
              <w:rPr>
                <w:color w:val="000000"/>
              </w:rPr>
            </w:pPr>
            <w:r w:rsidRPr="004A2D5D">
              <w:rPr>
                <w:color w:val="000000"/>
              </w:rPr>
              <w:t>501-1,000</w:t>
            </w:r>
          </w:p>
        </w:tc>
        <w:tc>
          <w:tcPr>
            <w:tcW w:w="1791" w:type="dxa"/>
            <w:shd w:val="clear" w:color="auto" w:fill="auto"/>
            <w:noWrap/>
            <w:tcMar>
              <w:left w:w="0" w:type="dxa"/>
              <w:right w:w="115" w:type="dxa"/>
            </w:tcMar>
            <w:vAlign w:val="center"/>
          </w:tcPr>
          <w:p w14:paraId="101AECE1" w14:textId="77777777" w:rsidR="00101352" w:rsidRPr="00942C1A" w:rsidRDefault="00101352" w:rsidP="005553E8">
            <w:pPr>
              <w:jc w:val="right"/>
              <w:rPr>
                <w:color w:val="000000"/>
              </w:rPr>
            </w:pPr>
            <w:r w:rsidRPr="00942C1A">
              <w:rPr>
                <w:color w:val="FF0000"/>
              </w:rPr>
              <w:t>($74.09)</w:t>
            </w:r>
          </w:p>
        </w:tc>
        <w:tc>
          <w:tcPr>
            <w:tcW w:w="1807" w:type="dxa"/>
            <w:shd w:val="clear" w:color="auto" w:fill="auto"/>
            <w:noWrap/>
            <w:tcMar>
              <w:left w:w="0" w:type="dxa"/>
              <w:right w:w="115" w:type="dxa"/>
            </w:tcMar>
            <w:vAlign w:val="center"/>
          </w:tcPr>
          <w:p w14:paraId="73FE3200" w14:textId="77777777" w:rsidR="00101352" w:rsidRPr="00942C1A" w:rsidRDefault="00101352" w:rsidP="005553E8">
            <w:pPr>
              <w:jc w:val="right"/>
              <w:rPr>
                <w:color w:val="000000"/>
              </w:rPr>
            </w:pPr>
            <w:r w:rsidRPr="00942C1A">
              <w:rPr>
                <w:color w:val="FF0000"/>
              </w:rPr>
              <w:t>($71.33)</w:t>
            </w:r>
          </w:p>
        </w:tc>
        <w:tc>
          <w:tcPr>
            <w:tcW w:w="1807" w:type="dxa"/>
            <w:shd w:val="clear" w:color="auto" w:fill="auto"/>
            <w:noWrap/>
            <w:tcMar>
              <w:left w:w="0" w:type="dxa"/>
              <w:right w:w="115" w:type="dxa"/>
            </w:tcMar>
            <w:vAlign w:val="center"/>
          </w:tcPr>
          <w:p w14:paraId="79D12807" w14:textId="77777777" w:rsidR="00101352" w:rsidRPr="00942C1A" w:rsidRDefault="00101352" w:rsidP="005553E8">
            <w:pPr>
              <w:jc w:val="right"/>
              <w:rPr>
                <w:color w:val="000000"/>
              </w:rPr>
            </w:pPr>
            <w:r w:rsidRPr="00942C1A">
              <w:rPr>
                <w:color w:val="FF0000"/>
              </w:rPr>
              <w:t>($66.58)</w:t>
            </w:r>
          </w:p>
        </w:tc>
        <w:tc>
          <w:tcPr>
            <w:tcW w:w="1807" w:type="dxa"/>
            <w:shd w:val="clear" w:color="auto" w:fill="auto"/>
            <w:noWrap/>
            <w:tcMar>
              <w:left w:w="0" w:type="dxa"/>
              <w:right w:w="115" w:type="dxa"/>
            </w:tcMar>
            <w:vAlign w:val="center"/>
          </w:tcPr>
          <w:p w14:paraId="67F98276" w14:textId="77777777" w:rsidR="00101352" w:rsidRPr="00942C1A" w:rsidRDefault="00101352" w:rsidP="005553E8">
            <w:pPr>
              <w:jc w:val="right"/>
              <w:rPr>
                <w:color w:val="000000"/>
              </w:rPr>
            </w:pPr>
            <w:r w:rsidRPr="00942C1A">
              <w:rPr>
                <w:color w:val="FF0000"/>
              </w:rPr>
              <w:t>($61.00)</w:t>
            </w:r>
          </w:p>
        </w:tc>
      </w:tr>
      <w:tr w:rsidR="00101352" w:rsidRPr="00942C1A" w14:paraId="4CF720DC" w14:textId="77777777" w:rsidTr="005553E8">
        <w:trPr>
          <w:trHeight w:hRule="exact" w:val="346"/>
        </w:trPr>
        <w:tc>
          <w:tcPr>
            <w:tcW w:w="2092" w:type="dxa"/>
            <w:shd w:val="clear" w:color="auto" w:fill="auto"/>
            <w:noWrap/>
            <w:tcMar>
              <w:left w:w="0" w:type="dxa"/>
              <w:right w:w="115" w:type="dxa"/>
            </w:tcMar>
            <w:vAlign w:val="center"/>
            <w:hideMark/>
          </w:tcPr>
          <w:p w14:paraId="56024C63" w14:textId="77777777" w:rsidR="00101352" w:rsidRPr="004A2D5D" w:rsidRDefault="00101352" w:rsidP="005553E8">
            <w:pPr>
              <w:spacing w:line="240" w:lineRule="auto"/>
              <w:ind w:firstLine="0"/>
              <w:rPr>
                <w:color w:val="000000"/>
              </w:rPr>
            </w:pPr>
            <w:r w:rsidRPr="004A2D5D">
              <w:rPr>
                <w:color w:val="000000"/>
              </w:rPr>
              <w:t>1,001-3,300</w:t>
            </w:r>
          </w:p>
        </w:tc>
        <w:tc>
          <w:tcPr>
            <w:tcW w:w="1791" w:type="dxa"/>
            <w:shd w:val="clear" w:color="auto" w:fill="auto"/>
            <w:noWrap/>
            <w:tcMar>
              <w:left w:w="0" w:type="dxa"/>
              <w:right w:w="115" w:type="dxa"/>
            </w:tcMar>
            <w:vAlign w:val="center"/>
          </w:tcPr>
          <w:p w14:paraId="313953BF" w14:textId="77777777" w:rsidR="00101352" w:rsidRPr="00942C1A" w:rsidRDefault="00101352" w:rsidP="005553E8">
            <w:pPr>
              <w:jc w:val="right"/>
              <w:rPr>
                <w:color w:val="000000"/>
              </w:rPr>
            </w:pPr>
            <w:r w:rsidRPr="00942C1A">
              <w:rPr>
                <w:color w:val="FF0000"/>
              </w:rPr>
              <w:t>($63.04)</w:t>
            </w:r>
          </w:p>
        </w:tc>
        <w:tc>
          <w:tcPr>
            <w:tcW w:w="1807" w:type="dxa"/>
            <w:shd w:val="clear" w:color="auto" w:fill="auto"/>
            <w:noWrap/>
            <w:tcMar>
              <w:left w:w="0" w:type="dxa"/>
              <w:right w:w="115" w:type="dxa"/>
            </w:tcMar>
            <w:vAlign w:val="center"/>
          </w:tcPr>
          <w:p w14:paraId="7F4EA1CC" w14:textId="77777777" w:rsidR="00101352" w:rsidRPr="00942C1A" w:rsidRDefault="00101352" w:rsidP="005553E8">
            <w:pPr>
              <w:jc w:val="right"/>
              <w:rPr>
                <w:color w:val="000000"/>
              </w:rPr>
            </w:pPr>
            <w:r w:rsidRPr="00942C1A">
              <w:rPr>
                <w:color w:val="FF0000"/>
              </w:rPr>
              <w:t>($60.16)</w:t>
            </w:r>
          </w:p>
        </w:tc>
        <w:tc>
          <w:tcPr>
            <w:tcW w:w="1807" w:type="dxa"/>
            <w:shd w:val="clear" w:color="auto" w:fill="auto"/>
            <w:noWrap/>
            <w:tcMar>
              <w:left w:w="0" w:type="dxa"/>
              <w:right w:w="115" w:type="dxa"/>
            </w:tcMar>
            <w:vAlign w:val="center"/>
          </w:tcPr>
          <w:p w14:paraId="06A20008" w14:textId="77777777" w:rsidR="00101352" w:rsidRPr="00942C1A" w:rsidRDefault="00101352" w:rsidP="005553E8">
            <w:pPr>
              <w:jc w:val="right"/>
              <w:rPr>
                <w:color w:val="000000"/>
              </w:rPr>
            </w:pPr>
            <w:r w:rsidRPr="00942C1A">
              <w:rPr>
                <w:color w:val="FF0000"/>
              </w:rPr>
              <w:t>($54.10)</w:t>
            </w:r>
          </w:p>
        </w:tc>
        <w:tc>
          <w:tcPr>
            <w:tcW w:w="1807" w:type="dxa"/>
            <w:shd w:val="clear" w:color="auto" w:fill="auto"/>
            <w:noWrap/>
            <w:tcMar>
              <w:left w:w="0" w:type="dxa"/>
              <w:right w:w="115" w:type="dxa"/>
            </w:tcMar>
            <w:vAlign w:val="center"/>
          </w:tcPr>
          <w:p w14:paraId="0FE7DC32" w14:textId="77777777" w:rsidR="00101352" w:rsidRPr="00942C1A" w:rsidRDefault="00101352" w:rsidP="005553E8">
            <w:pPr>
              <w:jc w:val="right"/>
              <w:rPr>
                <w:color w:val="000000"/>
              </w:rPr>
            </w:pPr>
            <w:r w:rsidRPr="00942C1A">
              <w:rPr>
                <w:color w:val="FF0000"/>
              </w:rPr>
              <w:t>($47.12)</w:t>
            </w:r>
          </w:p>
        </w:tc>
      </w:tr>
      <w:tr w:rsidR="00101352" w:rsidRPr="00942C1A" w14:paraId="3ABA73E7" w14:textId="77777777" w:rsidTr="005553E8">
        <w:trPr>
          <w:trHeight w:hRule="exact" w:val="346"/>
        </w:trPr>
        <w:tc>
          <w:tcPr>
            <w:tcW w:w="2092" w:type="dxa"/>
            <w:shd w:val="clear" w:color="auto" w:fill="auto"/>
            <w:noWrap/>
            <w:tcMar>
              <w:left w:w="0" w:type="dxa"/>
              <w:right w:w="115" w:type="dxa"/>
            </w:tcMar>
            <w:vAlign w:val="center"/>
            <w:hideMark/>
          </w:tcPr>
          <w:p w14:paraId="3FB488B0" w14:textId="77777777" w:rsidR="00101352" w:rsidRPr="004A2D5D" w:rsidRDefault="00101352" w:rsidP="005553E8">
            <w:pPr>
              <w:spacing w:line="240" w:lineRule="auto"/>
              <w:ind w:firstLine="0"/>
              <w:rPr>
                <w:color w:val="000000"/>
              </w:rPr>
            </w:pPr>
            <w:r w:rsidRPr="004A2D5D">
              <w:rPr>
                <w:color w:val="000000"/>
              </w:rPr>
              <w:t>3,301-10,000</w:t>
            </w:r>
          </w:p>
        </w:tc>
        <w:tc>
          <w:tcPr>
            <w:tcW w:w="1791" w:type="dxa"/>
            <w:shd w:val="clear" w:color="auto" w:fill="auto"/>
            <w:noWrap/>
            <w:tcMar>
              <w:left w:w="0" w:type="dxa"/>
              <w:right w:w="115" w:type="dxa"/>
            </w:tcMar>
            <w:vAlign w:val="center"/>
          </w:tcPr>
          <w:p w14:paraId="0BECAFF1" w14:textId="77777777" w:rsidR="00101352" w:rsidRPr="00942C1A" w:rsidRDefault="00101352" w:rsidP="005553E8">
            <w:pPr>
              <w:jc w:val="right"/>
              <w:rPr>
                <w:color w:val="000000"/>
              </w:rPr>
            </w:pPr>
            <w:r w:rsidRPr="00942C1A">
              <w:rPr>
                <w:color w:val="FF0000"/>
              </w:rPr>
              <w:t>($42.12)</w:t>
            </w:r>
          </w:p>
        </w:tc>
        <w:tc>
          <w:tcPr>
            <w:tcW w:w="1807" w:type="dxa"/>
            <w:shd w:val="clear" w:color="auto" w:fill="auto"/>
            <w:noWrap/>
            <w:tcMar>
              <w:left w:w="0" w:type="dxa"/>
              <w:right w:w="115" w:type="dxa"/>
            </w:tcMar>
            <w:vAlign w:val="center"/>
          </w:tcPr>
          <w:p w14:paraId="12266886" w14:textId="77777777" w:rsidR="00101352" w:rsidRPr="00942C1A" w:rsidRDefault="00101352" w:rsidP="005553E8">
            <w:pPr>
              <w:jc w:val="right"/>
              <w:rPr>
                <w:color w:val="000000"/>
              </w:rPr>
            </w:pPr>
            <w:r w:rsidRPr="00942C1A">
              <w:rPr>
                <w:color w:val="FF0000"/>
              </w:rPr>
              <w:t>($38.40)</w:t>
            </w:r>
          </w:p>
        </w:tc>
        <w:tc>
          <w:tcPr>
            <w:tcW w:w="1807" w:type="dxa"/>
            <w:shd w:val="clear" w:color="auto" w:fill="auto"/>
            <w:noWrap/>
            <w:tcMar>
              <w:left w:w="0" w:type="dxa"/>
              <w:right w:w="115" w:type="dxa"/>
            </w:tcMar>
            <w:vAlign w:val="center"/>
          </w:tcPr>
          <w:p w14:paraId="6684AA74" w14:textId="77777777" w:rsidR="00101352" w:rsidRPr="00942C1A" w:rsidRDefault="00101352" w:rsidP="005553E8">
            <w:pPr>
              <w:jc w:val="right"/>
              <w:rPr>
                <w:color w:val="000000"/>
              </w:rPr>
            </w:pPr>
            <w:r w:rsidRPr="00942C1A">
              <w:rPr>
                <w:color w:val="FF0000"/>
              </w:rPr>
              <w:t>($33.57)</w:t>
            </w:r>
          </w:p>
        </w:tc>
        <w:tc>
          <w:tcPr>
            <w:tcW w:w="1807" w:type="dxa"/>
            <w:shd w:val="clear" w:color="auto" w:fill="auto"/>
            <w:noWrap/>
            <w:tcMar>
              <w:left w:w="0" w:type="dxa"/>
              <w:right w:w="115" w:type="dxa"/>
            </w:tcMar>
            <w:vAlign w:val="center"/>
          </w:tcPr>
          <w:p w14:paraId="0A8C12D0" w14:textId="77777777" w:rsidR="00101352" w:rsidRPr="00942C1A" w:rsidRDefault="00101352" w:rsidP="005553E8">
            <w:pPr>
              <w:jc w:val="right"/>
              <w:rPr>
                <w:color w:val="000000"/>
              </w:rPr>
            </w:pPr>
            <w:r w:rsidRPr="00942C1A">
              <w:rPr>
                <w:color w:val="FF0000"/>
              </w:rPr>
              <w:t>($27.39)</w:t>
            </w:r>
          </w:p>
        </w:tc>
      </w:tr>
      <w:tr w:rsidR="00101352" w:rsidRPr="00942C1A" w14:paraId="1E52409F" w14:textId="77777777" w:rsidTr="005553E8">
        <w:trPr>
          <w:trHeight w:hRule="exact" w:val="346"/>
        </w:trPr>
        <w:tc>
          <w:tcPr>
            <w:tcW w:w="2092" w:type="dxa"/>
            <w:shd w:val="clear" w:color="auto" w:fill="auto"/>
            <w:noWrap/>
            <w:tcMar>
              <w:left w:w="0" w:type="dxa"/>
              <w:right w:w="115" w:type="dxa"/>
            </w:tcMar>
            <w:vAlign w:val="center"/>
            <w:hideMark/>
          </w:tcPr>
          <w:p w14:paraId="1DFD438E" w14:textId="77777777" w:rsidR="00101352" w:rsidRPr="004A2D5D" w:rsidRDefault="00101352" w:rsidP="005553E8">
            <w:pPr>
              <w:spacing w:line="240" w:lineRule="auto"/>
              <w:ind w:firstLine="0"/>
              <w:rPr>
                <w:color w:val="000000"/>
              </w:rPr>
            </w:pPr>
            <w:r w:rsidRPr="004A2D5D">
              <w:rPr>
                <w:color w:val="000000"/>
              </w:rPr>
              <w:t>10,001-50,000</w:t>
            </w:r>
          </w:p>
        </w:tc>
        <w:tc>
          <w:tcPr>
            <w:tcW w:w="1791" w:type="dxa"/>
            <w:shd w:val="clear" w:color="auto" w:fill="auto"/>
            <w:noWrap/>
            <w:tcMar>
              <w:left w:w="0" w:type="dxa"/>
              <w:right w:w="115" w:type="dxa"/>
            </w:tcMar>
            <w:vAlign w:val="center"/>
          </w:tcPr>
          <w:p w14:paraId="181561E0" w14:textId="77777777" w:rsidR="00101352" w:rsidRPr="00942C1A" w:rsidRDefault="00101352" w:rsidP="005553E8">
            <w:pPr>
              <w:jc w:val="right"/>
              <w:rPr>
                <w:color w:val="000000"/>
              </w:rPr>
            </w:pPr>
            <w:r w:rsidRPr="00942C1A">
              <w:rPr>
                <w:color w:val="FF0000"/>
              </w:rPr>
              <w:t>($37.68)</w:t>
            </w:r>
          </w:p>
        </w:tc>
        <w:tc>
          <w:tcPr>
            <w:tcW w:w="1807" w:type="dxa"/>
            <w:shd w:val="clear" w:color="auto" w:fill="auto"/>
            <w:noWrap/>
            <w:tcMar>
              <w:left w:w="0" w:type="dxa"/>
              <w:right w:w="115" w:type="dxa"/>
            </w:tcMar>
            <w:vAlign w:val="center"/>
          </w:tcPr>
          <w:p w14:paraId="07588633" w14:textId="77777777" w:rsidR="00101352" w:rsidRPr="00942C1A" w:rsidRDefault="00101352" w:rsidP="005553E8">
            <w:pPr>
              <w:jc w:val="right"/>
              <w:rPr>
                <w:color w:val="000000"/>
              </w:rPr>
            </w:pPr>
            <w:r w:rsidRPr="00942C1A">
              <w:rPr>
                <w:color w:val="FF0000"/>
              </w:rPr>
              <w:t>($34.29)</w:t>
            </w:r>
          </w:p>
        </w:tc>
        <w:tc>
          <w:tcPr>
            <w:tcW w:w="1807" w:type="dxa"/>
            <w:shd w:val="clear" w:color="auto" w:fill="auto"/>
            <w:noWrap/>
            <w:tcMar>
              <w:left w:w="0" w:type="dxa"/>
              <w:right w:w="115" w:type="dxa"/>
            </w:tcMar>
            <w:vAlign w:val="center"/>
          </w:tcPr>
          <w:p w14:paraId="6A21125D" w14:textId="77777777" w:rsidR="00101352" w:rsidRPr="00942C1A" w:rsidRDefault="00101352" w:rsidP="005553E8">
            <w:pPr>
              <w:jc w:val="right"/>
              <w:rPr>
                <w:color w:val="000000"/>
              </w:rPr>
            </w:pPr>
            <w:r w:rsidRPr="00942C1A">
              <w:rPr>
                <w:color w:val="FF0000"/>
              </w:rPr>
              <w:t>($28.23)</w:t>
            </w:r>
          </w:p>
        </w:tc>
        <w:tc>
          <w:tcPr>
            <w:tcW w:w="1807" w:type="dxa"/>
            <w:shd w:val="clear" w:color="auto" w:fill="auto"/>
            <w:noWrap/>
            <w:tcMar>
              <w:left w:w="0" w:type="dxa"/>
              <w:right w:w="115" w:type="dxa"/>
            </w:tcMar>
            <w:vAlign w:val="center"/>
          </w:tcPr>
          <w:p w14:paraId="11CA70B3" w14:textId="77777777" w:rsidR="00101352" w:rsidRPr="00942C1A" w:rsidRDefault="00101352" w:rsidP="005553E8">
            <w:pPr>
              <w:jc w:val="right"/>
              <w:rPr>
                <w:color w:val="000000"/>
              </w:rPr>
            </w:pPr>
            <w:r w:rsidRPr="00942C1A">
              <w:rPr>
                <w:color w:val="FF0000"/>
              </w:rPr>
              <w:t>($21.81)</w:t>
            </w:r>
          </w:p>
        </w:tc>
      </w:tr>
      <w:tr w:rsidR="00101352" w:rsidRPr="00942C1A" w14:paraId="73197FB1" w14:textId="77777777" w:rsidTr="005553E8">
        <w:trPr>
          <w:trHeight w:hRule="exact" w:val="346"/>
        </w:trPr>
        <w:tc>
          <w:tcPr>
            <w:tcW w:w="2092" w:type="dxa"/>
            <w:shd w:val="clear" w:color="auto" w:fill="auto"/>
            <w:noWrap/>
            <w:tcMar>
              <w:left w:w="0" w:type="dxa"/>
              <w:right w:w="115" w:type="dxa"/>
            </w:tcMar>
            <w:vAlign w:val="center"/>
            <w:hideMark/>
          </w:tcPr>
          <w:p w14:paraId="5485D313" w14:textId="77777777" w:rsidR="00101352" w:rsidRPr="004A2D5D" w:rsidRDefault="00101352" w:rsidP="005553E8">
            <w:pPr>
              <w:spacing w:line="240" w:lineRule="auto"/>
              <w:ind w:firstLine="0"/>
              <w:rPr>
                <w:color w:val="000000"/>
              </w:rPr>
            </w:pPr>
            <w:r w:rsidRPr="004A2D5D">
              <w:rPr>
                <w:color w:val="000000"/>
              </w:rPr>
              <w:t>50,001-100,000</w:t>
            </w:r>
          </w:p>
        </w:tc>
        <w:tc>
          <w:tcPr>
            <w:tcW w:w="1791" w:type="dxa"/>
            <w:shd w:val="clear" w:color="auto" w:fill="auto"/>
            <w:noWrap/>
            <w:tcMar>
              <w:left w:w="0" w:type="dxa"/>
              <w:right w:w="115" w:type="dxa"/>
            </w:tcMar>
            <w:vAlign w:val="center"/>
          </w:tcPr>
          <w:p w14:paraId="2CFF6C66" w14:textId="77777777" w:rsidR="00101352" w:rsidRPr="00942C1A" w:rsidRDefault="00101352" w:rsidP="005553E8">
            <w:pPr>
              <w:jc w:val="right"/>
              <w:rPr>
                <w:color w:val="000000"/>
              </w:rPr>
            </w:pPr>
            <w:r w:rsidRPr="00942C1A">
              <w:rPr>
                <w:color w:val="FF0000"/>
              </w:rPr>
              <w:t>($30.91)</w:t>
            </w:r>
          </w:p>
        </w:tc>
        <w:tc>
          <w:tcPr>
            <w:tcW w:w="1807" w:type="dxa"/>
            <w:shd w:val="clear" w:color="auto" w:fill="auto"/>
            <w:noWrap/>
            <w:tcMar>
              <w:left w:w="0" w:type="dxa"/>
              <w:right w:w="115" w:type="dxa"/>
            </w:tcMar>
            <w:vAlign w:val="center"/>
          </w:tcPr>
          <w:p w14:paraId="5DEE5F7E" w14:textId="77777777" w:rsidR="00101352" w:rsidRPr="00942C1A" w:rsidRDefault="00101352" w:rsidP="005553E8">
            <w:pPr>
              <w:jc w:val="right"/>
              <w:rPr>
                <w:color w:val="000000"/>
              </w:rPr>
            </w:pPr>
            <w:r w:rsidRPr="00942C1A">
              <w:rPr>
                <w:color w:val="FF0000"/>
              </w:rPr>
              <w:t>($27.67)</w:t>
            </w:r>
          </w:p>
        </w:tc>
        <w:tc>
          <w:tcPr>
            <w:tcW w:w="1807" w:type="dxa"/>
            <w:shd w:val="clear" w:color="auto" w:fill="auto"/>
            <w:noWrap/>
            <w:tcMar>
              <w:left w:w="0" w:type="dxa"/>
              <w:right w:w="115" w:type="dxa"/>
            </w:tcMar>
            <w:vAlign w:val="center"/>
          </w:tcPr>
          <w:p w14:paraId="1CD247D5" w14:textId="77777777" w:rsidR="00101352" w:rsidRPr="00942C1A" w:rsidRDefault="00101352" w:rsidP="005553E8">
            <w:pPr>
              <w:jc w:val="right"/>
              <w:rPr>
                <w:color w:val="000000"/>
              </w:rPr>
            </w:pPr>
            <w:r w:rsidRPr="00942C1A">
              <w:rPr>
                <w:color w:val="FF0000"/>
              </w:rPr>
              <w:t>($20.67)</w:t>
            </w:r>
          </w:p>
        </w:tc>
        <w:tc>
          <w:tcPr>
            <w:tcW w:w="1807" w:type="dxa"/>
            <w:shd w:val="clear" w:color="auto" w:fill="auto"/>
            <w:noWrap/>
            <w:tcMar>
              <w:left w:w="0" w:type="dxa"/>
              <w:right w:w="115" w:type="dxa"/>
            </w:tcMar>
            <w:vAlign w:val="center"/>
          </w:tcPr>
          <w:p w14:paraId="4A1A6ECD" w14:textId="77777777" w:rsidR="00101352" w:rsidRPr="00942C1A" w:rsidRDefault="00101352" w:rsidP="005553E8">
            <w:pPr>
              <w:jc w:val="right"/>
              <w:rPr>
                <w:color w:val="000000"/>
              </w:rPr>
            </w:pPr>
            <w:r w:rsidRPr="00942C1A">
              <w:rPr>
                <w:color w:val="FF0000"/>
              </w:rPr>
              <w:t>($15.39)</w:t>
            </w:r>
          </w:p>
        </w:tc>
      </w:tr>
      <w:tr w:rsidR="00101352" w:rsidRPr="00942C1A" w14:paraId="75F0DDA9" w14:textId="77777777" w:rsidTr="005553E8">
        <w:trPr>
          <w:trHeight w:hRule="exact" w:val="346"/>
        </w:trPr>
        <w:tc>
          <w:tcPr>
            <w:tcW w:w="2092" w:type="dxa"/>
            <w:shd w:val="clear" w:color="auto" w:fill="auto"/>
            <w:noWrap/>
            <w:tcMar>
              <w:left w:w="0" w:type="dxa"/>
              <w:right w:w="115" w:type="dxa"/>
            </w:tcMar>
            <w:vAlign w:val="center"/>
            <w:hideMark/>
          </w:tcPr>
          <w:p w14:paraId="3444A59C" w14:textId="77777777" w:rsidR="00101352" w:rsidRPr="004A2D5D" w:rsidRDefault="00101352" w:rsidP="005553E8">
            <w:pPr>
              <w:spacing w:line="240" w:lineRule="auto"/>
              <w:ind w:firstLine="0"/>
              <w:rPr>
                <w:color w:val="000000"/>
              </w:rPr>
            </w:pPr>
            <w:r w:rsidRPr="004A2D5D">
              <w:rPr>
                <w:color w:val="000000"/>
              </w:rPr>
              <w:t>100,001-1,000,000</w:t>
            </w:r>
          </w:p>
        </w:tc>
        <w:tc>
          <w:tcPr>
            <w:tcW w:w="1791" w:type="dxa"/>
            <w:shd w:val="clear" w:color="auto" w:fill="auto"/>
            <w:noWrap/>
            <w:tcMar>
              <w:left w:w="0" w:type="dxa"/>
              <w:right w:w="115" w:type="dxa"/>
            </w:tcMar>
            <w:vAlign w:val="center"/>
          </w:tcPr>
          <w:p w14:paraId="48921256" w14:textId="77777777" w:rsidR="00101352" w:rsidRPr="00942C1A" w:rsidRDefault="00101352" w:rsidP="005553E8">
            <w:pPr>
              <w:jc w:val="right"/>
              <w:rPr>
                <w:color w:val="000000"/>
              </w:rPr>
            </w:pPr>
            <w:r w:rsidRPr="00942C1A">
              <w:rPr>
                <w:color w:val="FF0000"/>
              </w:rPr>
              <w:t>($23.57)</w:t>
            </w:r>
          </w:p>
        </w:tc>
        <w:tc>
          <w:tcPr>
            <w:tcW w:w="1807" w:type="dxa"/>
            <w:shd w:val="clear" w:color="auto" w:fill="auto"/>
            <w:noWrap/>
            <w:tcMar>
              <w:left w:w="0" w:type="dxa"/>
              <w:right w:w="115" w:type="dxa"/>
            </w:tcMar>
            <w:vAlign w:val="center"/>
          </w:tcPr>
          <w:p w14:paraId="26D63DB8" w14:textId="77777777" w:rsidR="00101352" w:rsidRPr="00942C1A" w:rsidRDefault="00101352" w:rsidP="005553E8">
            <w:pPr>
              <w:jc w:val="right"/>
              <w:rPr>
                <w:color w:val="000000"/>
              </w:rPr>
            </w:pPr>
            <w:r w:rsidRPr="00942C1A">
              <w:rPr>
                <w:color w:val="FF0000"/>
              </w:rPr>
              <w:t>($21.56)</w:t>
            </w:r>
          </w:p>
        </w:tc>
        <w:tc>
          <w:tcPr>
            <w:tcW w:w="1807" w:type="dxa"/>
            <w:shd w:val="clear" w:color="auto" w:fill="auto"/>
            <w:noWrap/>
            <w:tcMar>
              <w:left w:w="0" w:type="dxa"/>
              <w:right w:w="115" w:type="dxa"/>
            </w:tcMar>
            <w:vAlign w:val="center"/>
          </w:tcPr>
          <w:p w14:paraId="040A7278" w14:textId="77777777" w:rsidR="00101352" w:rsidRPr="00942C1A" w:rsidRDefault="00101352" w:rsidP="005553E8">
            <w:pPr>
              <w:jc w:val="right"/>
              <w:rPr>
                <w:color w:val="000000"/>
              </w:rPr>
            </w:pPr>
            <w:r w:rsidRPr="00942C1A">
              <w:rPr>
                <w:color w:val="FF0000"/>
              </w:rPr>
              <w:t>($16.38)</w:t>
            </w:r>
          </w:p>
        </w:tc>
        <w:tc>
          <w:tcPr>
            <w:tcW w:w="1807" w:type="dxa"/>
            <w:shd w:val="clear" w:color="auto" w:fill="auto"/>
            <w:noWrap/>
            <w:tcMar>
              <w:left w:w="0" w:type="dxa"/>
              <w:right w:w="115" w:type="dxa"/>
            </w:tcMar>
            <w:vAlign w:val="center"/>
          </w:tcPr>
          <w:p w14:paraId="1FD62908" w14:textId="77777777" w:rsidR="00101352" w:rsidRPr="00942C1A" w:rsidRDefault="00101352" w:rsidP="005553E8">
            <w:pPr>
              <w:jc w:val="right"/>
              <w:rPr>
                <w:color w:val="000000"/>
              </w:rPr>
            </w:pPr>
            <w:r w:rsidRPr="00942C1A">
              <w:rPr>
                <w:color w:val="FF0000"/>
              </w:rPr>
              <w:t>($12.02)</w:t>
            </w:r>
          </w:p>
        </w:tc>
      </w:tr>
      <w:tr w:rsidR="00101352" w:rsidRPr="00942C1A" w14:paraId="51162D06" w14:textId="77777777" w:rsidTr="005553E8">
        <w:trPr>
          <w:trHeight w:hRule="exact" w:val="346"/>
        </w:trPr>
        <w:tc>
          <w:tcPr>
            <w:tcW w:w="2092" w:type="dxa"/>
            <w:tcBorders>
              <w:bottom w:val="double" w:sz="4" w:space="0" w:color="auto"/>
            </w:tcBorders>
            <w:shd w:val="clear" w:color="auto" w:fill="auto"/>
            <w:noWrap/>
            <w:tcMar>
              <w:left w:w="0" w:type="dxa"/>
              <w:right w:w="115" w:type="dxa"/>
            </w:tcMar>
            <w:vAlign w:val="center"/>
            <w:hideMark/>
          </w:tcPr>
          <w:p w14:paraId="3474A0B8" w14:textId="77777777" w:rsidR="00101352" w:rsidRPr="004A2D5D" w:rsidRDefault="00101352" w:rsidP="005553E8">
            <w:pPr>
              <w:spacing w:line="240" w:lineRule="auto"/>
              <w:ind w:firstLine="0"/>
              <w:rPr>
                <w:color w:val="000000"/>
              </w:rPr>
            </w:pPr>
            <w:r w:rsidRPr="004A2D5D">
              <w:rPr>
                <w:color w:val="000000"/>
              </w:rPr>
              <w:t>&gt; 1,000,000</w:t>
            </w:r>
          </w:p>
        </w:tc>
        <w:tc>
          <w:tcPr>
            <w:tcW w:w="1791" w:type="dxa"/>
            <w:tcBorders>
              <w:bottom w:val="double" w:sz="4" w:space="0" w:color="auto"/>
            </w:tcBorders>
            <w:shd w:val="clear" w:color="auto" w:fill="auto"/>
            <w:noWrap/>
            <w:tcMar>
              <w:left w:w="0" w:type="dxa"/>
              <w:right w:w="115" w:type="dxa"/>
            </w:tcMar>
            <w:vAlign w:val="center"/>
          </w:tcPr>
          <w:p w14:paraId="7946844A" w14:textId="77777777" w:rsidR="00101352" w:rsidRPr="00942C1A" w:rsidRDefault="00101352" w:rsidP="005553E8">
            <w:pPr>
              <w:jc w:val="right"/>
              <w:rPr>
                <w:color w:val="000000"/>
              </w:rPr>
            </w:pPr>
            <w:r w:rsidRPr="00942C1A">
              <w:rPr>
                <w:color w:val="FF0000"/>
              </w:rPr>
              <w:t>($6.69)</w:t>
            </w:r>
          </w:p>
        </w:tc>
        <w:tc>
          <w:tcPr>
            <w:tcW w:w="1807" w:type="dxa"/>
            <w:tcBorders>
              <w:bottom w:val="double" w:sz="4" w:space="0" w:color="auto"/>
            </w:tcBorders>
            <w:shd w:val="clear" w:color="auto" w:fill="auto"/>
            <w:noWrap/>
            <w:tcMar>
              <w:left w:w="0" w:type="dxa"/>
              <w:right w:w="115" w:type="dxa"/>
            </w:tcMar>
            <w:vAlign w:val="center"/>
          </w:tcPr>
          <w:p w14:paraId="214DF5BC" w14:textId="77777777" w:rsidR="00101352" w:rsidRPr="00942C1A" w:rsidRDefault="00101352" w:rsidP="005553E8">
            <w:pPr>
              <w:jc w:val="right"/>
              <w:rPr>
                <w:color w:val="000000"/>
              </w:rPr>
            </w:pPr>
            <w:r w:rsidRPr="00942C1A">
              <w:rPr>
                <w:color w:val="FF0000"/>
              </w:rPr>
              <w:t>($1.01)</w:t>
            </w:r>
          </w:p>
        </w:tc>
        <w:tc>
          <w:tcPr>
            <w:tcW w:w="1807" w:type="dxa"/>
            <w:tcBorders>
              <w:bottom w:val="double" w:sz="4" w:space="0" w:color="auto"/>
            </w:tcBorders>
            <w:shd w:val="clear" w:color="auto" w:fill="auto"/>
            <w:noWrap/>
            <w:tcMar>
              <w:left w:w="0" w:type="dxa"/>
              <w:right w:w="115" w:type="dxa"/>
            </w:tcMar>
            <w:vAlign w:val="center"/>
          </w:tcPr>
          <w:p w14:paraId="46D8E1AC" w14:textId="77777777" w:rsidR="00101352" w:rsidRPr="00942C1A" w:rsidRDefault="00101352" w:rsidP="005553E8">
            <w:pPr>
              <w:jc w:val="right"/>
              <w:rPr>
                <w:color w:val="000000"/>
              </w:rPr>
            </w:pPr>
            <w:r w:rsidRPr="00942C1A">
              <w:rPr>
                <w:color w:val="000000"/>
              </w:rPr>
              <w:t xml:space="preserve">$3.28 </w:t>
            </w:r>
          </w:p>
        </w:tc>
        <w:tc>
          <w:tcPr>
            <w:tcW w:w="1807" w:type="dxa"/>
            <w:tcBorders>
              <w:bottom w:val="double" w:sz="4" w:space="0" w:color="auto"/>
            </w:tcBorders>
            <w:shd w:val="clear" w:color="auto" w:fill="auto"/>
            <w:noWrap/>
            <w:tcMar>
              <w:left w:w="0" w:type="dxa"/>
              <w:right w:w="115" w:type="dxa"/>
            </w:tcMar>
            <w:vAlign w:val="center"/>
          </w:tcPr>
          <w:p w14:paraId="09565C0E" w14:textId="77777777" w:rsidR="00101352" w:rsidRPr="00942C1A" w:rsidRDefault="00101352" w:rsidP="005553E8">
            <w:pPr>
              <w:jc w:val="right"/>
              <w:rPr>
                <w:color w:val="000000"/>
              </w:rPr>
            </w:pPr>
            <w:r w:rsidRPr="00942C1A">
              <w:rPr>
                <w:color w:val="000000"/>
              </w:rPr>
              <w:t xml:space="preserve">$7.09 </w:t>
            </w:r>
          </w:p>
        </w:tc>
      </w:tr>
      <w:tr w:rsidR="00101352" w:rsidRPr="00942C1A" w14:paraId="151D92C7" w14:textId="77777777" w:rsidTr="005553E8">
        <w:trPr>
          <w:trHeight w:val="340"/>
        </w:trPr>
        <w:tc>
          <w:tcPr>
            <w:tcW w:w="9304" w:type="dxa"/>
            <w:gridSpan w:val="5"/>
            <w:tcBorders>
              <w:top w:val="double" w:sz="4" w:space="0" w:color="auto"/>
              <w:bottom w:val="double" w:sz="4" w:space="0" w:color="auto"/>
            </w:tcBorders>
            <w:shd w:val="clear" w:color="auto" w:fill="auto"/>
            <w:noWrap/>
            <w:tcMar>
              <w:left w:w="0" w:type="dxa"/>
              <w:right w:w="115" w:type="dxa"/>
            </w:tcMar>
            <w:vAlign w:val="center"/>
          </w:tcPr>
          <w:p w14:paraId="5ACA11E6" w14:textId="77777777" w:rsidR="00101352" w:rsidRPr="00942C1A" w:rsidRDefault="00101352" w:rsidP="005553E8">
            <w:pPr>
              <w:spacing w:line="240" w:lineRule="auto"/>
              <w:ind w:firstLine="0"/>
              <w:jc w:val="center"/>
              <w:rPr>
                <w:i/>
                <w:color w:val="000000"/>
              </w:rPr>
            </w:pPr>
            <w:r w:rsidRPr="00942C1A">
              <w:rPr>
                <w:i/>
                <w:color w:val="000000"/>
              </w:rPr>
              <w:t>Household Size = 5</w:t>
            </w:r>
          </w:p>
        </w:tc>
      </w:tr>
      <w:tr w:rsidR="00101352" w:rsidRPr="00942C1A" w14:paraId="1EEB9A20" w14:textId="77777777" w:rsidTr="005553E8">
        <w:trPr>
          <w:trHeight w:hRule="exact" w:val="346"/>
        </w:trPr>
        <w:tc>
          <w:tcPr>
            <w:tcW w:w="2092" w:type="dxa"/>
            <w:tcBorders>
              <w:top w:val="double" w:sz="4" w:space="0" w:color="auto"/>
            </w:tcBorders>
            <w:shd w:val="clear" w:color="auto" w:fill="auto"/>
            <w:noWrap/>
            <w:tcMar>
              <w:left w:w="0" w:type="dxa"/>
              <w:right w:w="115" w:type="dxa"/>
            </w:tcMar>
            <w:vAlign w:val="center"/>
          </w:tcPr>
          <w:p w14:paraId="2A949730" w14:textId="77777777" w:rsidR="00101352" w:rsidRPr="004A2D5D" w:rsidRDefault="00101352" w:rsidP="005553E8">
            <w:pPr>
              <w:spacing w:line="240" w:lineRule="auto"/>
              <w:ind w:firstLine="0"/>
              <w:contextualSpacing/>
              <w:rPr>
                <w:color w:val="000000"/>
              </w:rPr>
            </w:pPr>
            <w:r w:rsidRPr="004A2D5D">
              <w:rPr>
                <w:color w:val="000000"/>
              </w:rPr>
              <w:t>&lt;100</w:t>
            </w:r>
          </w:p>
        </w:tc>
        <w:tc>
          <w:tcPr>
            <w:tcW w:w="1791" w:type="dxa"/>
            <w:tcBorders>
              <w:top w:val="double" w:sz="4" w:space="0" w:color="auto"/>
            </w:tcBorders>
            <w:shd w:val="clear" w:color="auto" w:fill="auto"/>
            <w:noWrap/>
            <w:tcMar>
              <w:left w:w="0" w:type="dxa"/>
              <w:right w:w="115" w:type="dxa"/>
            </w:tcMar>
            <w:vAlign w:val="center"/>
          </w:tcPr>
          <w:p w14:paraId="2178DD70" w14:textId="77777777" w:rsidR="00101352" w:rsidRPr="00942C1A" w:rsidRDefault="00101352" w:rsidP="005553E8">
            <w:pPr>
              <w:spacing w:line="240" w:lineRule="auto"/>
              <w:ind w:firstLine="0"/>
              <w:jc w:val="right"/>
              <w:rPr>
                <w:color w:val="000000"/>
              </w:rPr>
            </w:pPr>
            <w:r w:rsidRPr="00942C1A">
              <w:rPr>
                <w:color w:val="FF0000"/>
              </w:rPr>
              <w:t>($315.79)</w:t>
            </w:r>
          </w:p>
        </w:tc>
        <w:tc>
          <w:tcPr>
            <w:tcW w:w="1807" w:type="dxa"/>
            <w:tcBorders>
              <w:top w:val="double" w:sz="4" w:space="0" w:color="auto"/>
            </w:tcBorders>
            <w:shd w:val="clear" w:color="auto" w:fill="auto"/>
            <w:noWrap/>
            <w:tcMar>
              <w:left w:w="0" w:type="dxa"/>
              <w:right w:w="115" w:type="dxa"/>
            </w:tcMar>
            <w:vAlign w:val="center"/>
          </w:tcPr>
          <w:p w14:paraId="34D3D2BA" w14:textId="77777777" w:rsidR="00101352" w:rsidRPr="00942C1A" w:rsidRDefault="00101352" w:rsidP="005553E8">
            <w:pPr>
              <w:jc w:val="right"/>
              <w:rPr>
                <w:color w:val="000000"/>
              </w:rPr>
            </w:pPr>
            <w:r w:rsidRPr="00942C1A">
              <w:rPr>
                <w:color w:val="FF0000"/>
              </w:rPr>
              <w:t>($315.30)</w:t>
            </w:r>
          </w:p>
        </w:tc>
        <w:tc>
          <w:tcPr>
            <w:tcW w:w="1807" w:type="dxa"/>
            <w:tcBorders>
              <w:top w:val="double" w:sz="4" w:space="0" w:color="auto"/>
            </w:tcBorders>
            <w:shd w:val="clear" w:color="auto" w:fill="auto"/>
            <w:noWrap/>
            <w:tcMar>
              <w:left w:w="0" w:type="dxa"/>
              <w:right w:w="115" w:type="dxa"/>
            </w:tcMar>
            <w:vAlign w:val="center"/>
          </w:tcPr>
          <w:p w14:paraId="3D47F686" w14:textId="77777777" w:rsidR="00101352" w:rsidRPr="00942C1A" w:rsidRDefault="00101352" w:rsidP="005553E8">
            <w:pPr>
              <w:jc w:val="right"/>
              <w:rPr>
                <w:color w:val="000000"/>
              </w:rPr>
            </w:pPr>
            <w:r w:rsidRPr="00942C1A">
              <w:rPr>
                <w:color w:val="FF0000"/>
              </w:rPr>
              <w:t>($319.91)</w:t>
            </w:r>
          </w:p>
        </w:tc>
        <w:tc>
          <w:tcPr>
            <w:tcW w:w="1807" w:type="dxa"/>
            <w:tcBorders>
              <w:top w:val="double" w:sz="4" w:space="0" w:color="auto"/>
            </w:tcBorders>
            <w:shd w:val="clear" w:color="auto" w:fill="auto"/>
            <w:noWrap/>
            <w:tcMar>
              <w:left w:w="0" w:type="dxa"/>
              <w:right w:w="115" w:type="dxa"/>
            </w:tcMar>
            <w:vAlign w:val="center"/>
          </w:tcPr>
          <w:p w14:paraId="0CC93B10" w14:textId="77777777" w:rsidR="00101352" w:rsidRPr="00942C1A" w:rsidRDefault="00101352" w:rsidP="005553E8">
            <w:pPr>
              <w:jc w:val="right"/>
              <w:rPr>
                <w:color w:val="000000"/>
              </w:rPr>
            </w:pPr>
            <w:r w:rsidRPr="00942C1A">
              <w:rPr>
                <w:color w:val="FF0000"/>
              </w:rPr>
              <w:t>($339.09)</w:t>
            </w:r>
          </w:p>
        </w:tc>
      </w:tr>
      <w:tr w:rsidR="00101352" w:rsidRPr="00942C1A" w14:paraId="434C1C3C" w14:textId="77777777" w:rsidTr="005553E8">
        <w:trPr>
          <w:trHeight w:hRule="exact" w:val="346"/>
        </w:trPr>
        <w:tc>
          <w:tcPr>
            <w:tcW w:w="2092" w:type="dxa"/>
            <w:shd w:val="clear" w:color="auto" w:fill="auto"/>
            <w:noWrap/>
            <w:tcMar>
              <w:left w:w="0" w:type="dxa"/>
              <w:right w:w="115" w:type="dxa"/>
            </w:tcMar>
            <w:vAlign w:val="center"/>
          </w:tcPr>
          <w:p w14:paraId="4F8471C6" w14:textId="77777777" w:rsidR="00101352" w:rsidRPr="004A2D5D" w:rsidRDefault="00101352" w:rsidP="005553E8">
            <w:pPr>
              <w:spacing w:line="240" w:lineRule="auto"/>
              <w:ind w:firstLine="0"/>
              <w:rPr>
                <w:color w:val="000000"/>
              </w:rPr>
            </w:pPr>
            <w:r w:rsidRPr="004A2D5D">
              <w:rPr>
                <w:color w:val="000000"/>
              </w:rPr>
              <w:t>101-500</w:t>
            </w:r>
          </w:p>
        </w:tc>
        <w:tc>
          <w:tcPr>
            <w:tcW w:w="1791" w:type="dxa"/>
            <w:shd w:val="clear" w:color="auto" w:fill="auto"/>
            <w:noWrap/>
            <w:tcMar>
              <w:left w:w="0" w:type="dxa"/>
              <w:right w:w="115" w:type="dxa"/>
            </w:tcMar>
            <w:vAlign w:val="center"/>
          </w:tcPr>
          <w:p w14:paraId="270DA2F4" w14:textId="77777777" w:rsidR="00101352" w:rsidRPr="00942C1A" w:rsidRDefault="00101352" w:rsidP="005553E8">
            <w:pPr>
              <w:jc w:val="right"/>
              <w:rPr>
                <w:color w:val="000000"/>
              </w:rPr>
            </w:pPr>
            <w:r w:rsidRPr="00942C1A">
              <w:rPr>
                <w:color w:val="FF0000"/>
              </w:rPr>
              <w:t>($165.70)</w:t>
            </w:r>
          </w:p>
        </w:tc>
        <w:tc>
          <w:tcPr>
            <w:tcW w:w="1807" w:type="dxa"/>
            <w:shd w:val="clear" w:color="auto" w:fill="auto"/>
            <w:noWrap/>
            <w:tcMar>
              <w:left w:w="0" w:type="dxa"/>
              <w:right w:w="115" w:type="dxa"/>
            </w:tcMar>
            <w:vAlign w:val="center"/>
          </w:tcPr>
          <w:p w14:paraId="5131454E" w14:textId="77777777" w:rsidR="00101352" w:rsidRPr="00942C1A" w:rsidRDefault="00101352" w:rsidP="005553E8">
            <w:pPr>
              <w:jc w:val="right"/>
              <w:rPr>
                <w:color w:val="000000"/>
              </w:rPr>
            </w:pPr>
            <w:r w:rsidRPr="00942C1A">
              <w:rPr>
                <w:color w:val="FF0000"/>
              </w:rPr>
              <w:t>($161.06)</w:t>
            </w:r>
          </w:p>
        </w:tc>
        <w:tc>
          <w:tcPr>
            <w:tcW w:w="1807" w:type="dxa"/>
            <w:shd w:val="clear" w:color="auto" w:fill="auto"/>
            <w:noWrap/>
            <w:tcMar>
              <w:left w:w="0" w:type="dxa"/>
              <w:right w:w="115" w:type="dxa"/>
            </w:tcMar>
            <w:vAlign w:val="center"/>
          </w:tcPr>
          <w:p w14:paraId="6A3C92EE" w14:textId="77777777" w:rsidR="00101352" w:rsidRPr="00942C1A" w:rsidRDefault="00101352" w:rsidP="005553E8">
            <w:pPr>
              <w:jc w:val="right"/>
              <w:rPr>
                <w:color w:val="000000"/>
              </w:rPr>
            </w:pPr>
            <w:r w:rsidRPr="00942C1A">
              <w:rPr>
                <w:color w:val="FF0000"/>
              </w:rPr>
              <w:t>($155.59)</w:t>
            </w:r>
          </w:p>
        </w:tc>
        <w:tc>
          <w:tcPr>
            <w:tcW w:w="1807" w:type="dxa"/>
            <w:shd w:val="clear" w:color="auto" w:fill="auto"/>
            <w:noWrap/>
            <w:tcMar>
              <w:left w:w="0" w:type="dxa"/>
              <w:right w:w="115" w:type="dxa"/>
            </w:tcMar>
            <w:vAlign w:val="center"/>
          </w:tcPr>
          <w:p w14:paraId="30DDAD3F" w14:textId="77777777" w:rsidR="00101352" w:rsidRPr="00942C1A" w:rsidRDefault="00101352" w:rsidP="005553E8">
            <w:pPr>
              <w:jc w:val="right"/>
              <w:rPr>
                <w:color w:val="000000"/>
              </w:rPr>
            </w:pPr>
            <w:r w:rsidRPr="00942C1A">
              <w:rPr>
                <w:color w:val="FF0000"/>
              </w:rPr>
              <w:t>($154.66)</w:t>
            </w:r>
          </w:p>
        </w:tc>
      </w:tr>
      <w:tr w:rsidR="00101352" w:rsidRPr="00942C1A" w14:paraId="4ED0ACF7" w14:textId="77777777" w:rsidTr="005553E8">
        <w:trPr>
          <w:trHeight w:hRule="exact" w:val="346"/>
        </w:trPr>
        <w:tc>
          <w:tcPr>
            <w:tcW w:w="2092" w:type="dxa"/>
            <w:shd w:val="clear" w:color="auto" w:fill="auto"/>
            <w:noWrap/>
            <w:tcMar>
              <w:left w:w="0" w:type="dxa"/>
              <w:right w:w="115" w:type="dxa"/>
            </w:tcMar>
            <w:vAlign w:val="center"/>
          </w:tcPr>
          <w:p w14:paraId="59E3F52C" w14:textId="77777777" w:rsidR="00101352" w:rsidRPr="004A2D5D" w:rsidRDefault="00101352" w:rsidP="005553E8">
            <w:pPr>
              <w:spacing w:line="240" w:lineRule="auto"/>
              <w:ind w:firstLine="0"/>
              <w:rPr>
                <w:color w:val="000000"/>
              </w:rPr>
            </w:pPr>
            <w:r w:rsidRPr="004A2D5D">
              <w:rPr>
                <w:color w:val="000000"/>
              </w:rPr>
              <w:t>501-1,000</w:t>
            </w:r>
          </w:p>
        </w:tc>
        <w:tc>
          <w:tcPr>
            <w:tcW w:w="1791" w:type="dxa"/>
            <w:shd w:val="clear" w:color="auto" w:fill="auto"/>
            <w:noWrap/>
            <w:tcMar>
              <w:left w:w="0" w:type="dxa"/>
              <w:right w:w="115" w:type="dxa"/>
            </w:tcMar>
            <w:vAlign w:val="center"/>
          </w:tcPr>
          <w:p w14:paraId="19418ED9" w14:textId="77777777" w:rsidR="00101352" w:rsidRPr="00942C1A" w:rsidRDefault="00101352" w:rsidP="005553E8">
            <w:pPr>
              <w:jc w:val="right"/>
              <w:rPr>
                <w:color w:val="000000"/>
              </w:rPr>
            </w:pPr>
            <w:r w:rsidRPr="00942C1A">
              <w:rPr>
                <w:color w:val="FF0000"/>
              </w:rPr>
              <w:t>($73.60)</w:t>
            </w:r>
          </w:p>
        </w:tc>
        <w:tc>
          <w:tcPr>
            <w:tcW w:w="1807" w:type="dxa"/>
            <w:shd w:val="clear" w:color="auto" w:fill="auto"/>
            <w:noWrap/>
            <w:tcMar>
              <w:left w:w="0" w:type="dxa"/>
              <w:right w:w="115" w:type="dxa"/>
            </w:tcMar>
            <w:vAlign w:val="center"/>
          </w:tcPr>
          <w:p w14:paraId="0311E9F6" w14:textId="77777777" w:rsidR="00101352" w:rsidRPr="00942C1A" w:rsidRDefault="00101352" w:rsidP="005553E8">
            <w:pPr>
              <w:jc w:val="right"/>
              <w:rPr>
                <w:color w:val="000000"/>
              </w:rPr>
            </w:pPr>
            <w:r w:rsidRPr="00942C1A">
              <w:rPr>
                <w:color w:val="FF0000"/>
              </w:rPr>
              <w:t>($70.15)</w:t>
            </w:r>
          </w:p>
        </w:tc>
        <w:tc>
          <w:tcPr>
            <w:tcW w:w="1807" w:type="dxa"/>
            <w:shd w:val="clear" w:color="auto" w:fill="auto"/>
            <w:noWrap/>
            <w:tcMar>
              <w:left w:w="0" w:type="dxa"/>
              <w:right w:w="115" w:type="dxa"/>
            </w:tcMar>
            <w:vAlign w:val="center"/>
          </w:tcPr>
          <w:p w14:paraId="61492EA6" w14:textId="77777777" w:rsidR="00101352" w:rsidRPr="00942C1A" w:rsidRDefault="00101352" w:rsidP="005553E8">
            <w:pPr>
              <w:jc w:val="right"/>
              <w:rPr>
                <w:color w:val="000000"/>
              </w:rPr>
            </w:pPr>
            <w:r w:rsidRPr="00942C1A">
              <w:rPr>
                <w:color w:val="FF0000"/>
              </w:rPr>
              <w:t>($63.81)</w:t>
            </w:r>
          </w:p>
        </w:tc>
        <w:tc>
          <w:tcPr>
            <w:tcW w:w="1807" w:type="dxa"/>
            <w:shd w:val="clear" w:color="auto" w:fill="auto"/>
            <w:noWrap/>
            <w:tcMar>
              <w:left w:w="0" w:type="dxa"/>
              <w:right w:w="115" w:type="dxa"/>
            </w:tcMar>
            <w:vAlign w:val="center"/>
          </w:tcPr>
          <w:p w14:paraId="4F8F7D8F" w14:textId="77777777" w:rsidR="00101352" w:rsidRPr="00942C1A" w:rsidRDefault="00101352" w:rsidP="005553E8">
            <w:pPr>
              <w:jc w:val="right"/>
              <w:rPr>
                <w:color w:val="000000"/>
              </w:rPr>
            </w:pPr>
            <w:r w:rsidRPr="00942C1A">
              <w:rPr>
                <w:color w:val="FF0000"/>
              </w:rPr>
              <w:t>($56.18)</w:t>
            </w:r>
          </w:p>
        </w:tc>
      </w:tr>
      <w:tr w:rsidR="00101352" w:rsidRPr="00942C1A" w14:paraId="39A82418" w14:textId="77777777" w:rsidTr="005553E8">
        <w:trPr>
          <w:trHeight w:hRule="exact" w:val="346"/>
        </w:trPr>
        <w:tc>
          <w:tcPr>
            <w:tcW w:w="2092" w:type="dxa"/>
            <w:shd w:val="clear" w:color="auto" w:fill="auto"/>
            <w:noWrap/>
            <w:tcMar>
              <w:left w:w="0" w:type="dxa"/>
              <w:right w:w="115" w:type="dxa"/>
            </w:tcMar>
            <w:vAlign w:val="center"/>
          </w:tcPr>
          <w:p w14:paraId="36886DA7" w14:textId="77777777" w:rsidR="00101352" w:rsidRPr="004A2D5D" w:rsidRDefault="00101352" w:rsidP="005553E8">
            <w:pPr>
              <w:spacing w:line="240" w:lineRule="auto"/>
              <w:ind w:firstLine="0"/>
              <w:rPr>
                <w:color w:val="000000"/>
              </w:rPr>
            </w:pPr>
            <w:r w:rsidRPr="004A2D5D">
              <w:rPr>
                <w:color w:val="000000"/>
              </w:rPr>
              <w:t>1,001-3,300</w:t>
            </w:r>
          </w:p>
        </w:tc>
        <w:tc>
          <w:tcPr>
            <w:tcW w:w="1791" w:type="dxa"/>
            <w:shd w:val="clear" w:color="auto" w:fill="auto"/>
            <w:noWrap/>
            <w:tcMar>
              <w:left w:w="0" w:type="dxa"/>
              <w:right w:w="115" w:type="dxa"/>
            </w:tcMar>
            <w:vAlign w:val="center"/>
          </w:tcPr>
          <w:p w14:paraId="2AE3650E" w14:textId="77777777" w:rsidR="00101352" w:rsidRPr="00942C1A" w:rsidRDefault="00101352" w:rsidP="005553E8">
            <w:pPr>
              <w:jc w:val="right"/>
              <w:rPr>
                <w:color w:val="000000"/>
              </w:rPr>
            </w:pPr>
            <w:r w:rsidRPr="00942C1A">
              <w:rPr>
                <w:color w:val="FF0000"/>
              </w:rPr>
              <w:t>($62.55)</w:t>
            </w:r>
          </w:p>
        </w:tc>
        <w:tc>
          <w:tcPr>
            <w:tcW w:w="1807" w:type="dxa"/>
            <w:shd w:val="clear" w:color="auto" w:fill="auto"/>
            <w:noWrap/>
            <w:tcMar>
              <w:left w:w="0" w:type="dxa"/>
              <w:right w:w="115" w:type="dxa"/>
            </w:tcMar>
            <w:vAlign w:val="center"/>
          </w:tcPr>
          <w:p w14:paraId="70A88534" w14:textId="77777777" w:rsidR="00101352" w:rsidRPr="00942C1A" w:rsidRDefault="00101352" w:rsidP="005553E8">
            <w:pPr>
              <w:jc w:val="right"/>
              <w:rPr>
                <w:color w:val="000000"/>
              </w:rPr>
            </w:pPr>
            <w:r w:rsidRPr="00942C1A">
              <w:rPr>
                <w:color w:val="FF0000"/>
              </w:rPr>
              <w:t>($58.98)</w:t>
            </w:r>
          </w:p>
        </w:tc>
        <w:tc>
          <w:tcPr>
            <w:tcW w:w="1807" w:type="dxa"/>
            <w:shd w:val="clear" w:color="auto" w:fill="auto"/>
            <w:noWrap/>
            <w:tcMar>
              <w:left w:w="0" w:type="dxa"/>
              <w:right w:w="115" w:type="dxa"/>
            </w:tcMar>
            <w:vAlign w:val="center"/>
          </w:tcPr>
          <w:p w14:paraId="0C0B01CC" w14:textId="77777777" w:rsidR="00101352" w:rsidRPr="00942C1A" w:rsidRDefault="00101352" w:rsidP="005553E8">
            <w:pPr>
              <w:jc w:val="right"/>
              <w:rPr>
                <w:color w:val="000000"/>
              </w:rPr>
            </w:pPr>
            <w:r w:rsidRPr="00942C1A">
              <w:rPr>
                <w:color w:val="FF0000"/>
              </w:rPr>
              <w:t>($51.33)</w:t>
            </w:r>
          </w:p>
        </w:tc>
        <w:tc>
          <w:tcPr>
            <w:tcW w:w="1807" w:type="dxa"/>
            <w:shd w:val="clear" w:color="auto" w:fill="auto"/>
            <w:noWrap/>
            <w:tcMar>
              <w:left w:w="0" w:type="dxa"/>
              <w:right w:w="115" w:type="dxa"/>
            </w:tcMar>
            <w:vAlign w:val="center"/>
          </w:tcPr>
          <w:p w14:paraId="1D50A3C9" w14:textId="77777777" w:rsidR="00101352" w:rsidRPr="00942C1A" w:rsidRDefault="00101352" w:rsidP="005553E8">
            <w:pPr>
              <w:jc w:val="right"/>
              <w:rPr>
                <w:color w:val="000000"/>
              </w:rPr>
            </w:pPr>
            <w:r w:rsidRPr="00942C1A">
              <w:rPr>
                <w:color w:val="FF0000"/>
              </w:rPr>
              <w:t>($42.30)</w:t>
            </w:r>
          </w:p>
        </w:tc>
      </w:tr>
      <w:tr w:rsidR="00101352" w:rsidRPr="00942C1A" w14:paraId="642598E9" w14:textId="77777777" w:rsidTr="005553E8">
        <w:trPr>
          <w:trHeight w:hRule="exact" w:val="346"/>
        </w:trPr>
        <w:tc>
          <w:tcPr>
            <w:tcW w:w="2092" w:type="dxa"/>
            <w:shd w:val="clear" w:color="auto" w:fill="auto"/>
            <w:noWrap/>
            <w:tcMar>
              <w:left w:w="0" w:type="dxa"/>
              <w:right w:w="115" w:type="dxa"/>
            </w:tcMar>
            <w:vAlign w:val="center"/>
          </w:tcPr>
          <w:p w14:paraId="027D90E7" w14:textId="77777777" w:rsidR="00101352" w:rsidRPr="004A2D5D" w:rsidRDefault="00101352" w:rsidP="005553E8">
            <w:pPr>
              <w:spacing w:line="240" w:lineRule="auto"/>
              <w:ind w:firstLine="0"/>
              <w:rPr>
                <w:color w:val="000000"/>
              </w:rPr>
            </w:pPr>
            <w:r w:rsidRPr="004A2D5D">
              <w:rPr>
                <w:color w:val="000000"/>
              </w:rPr>
              <w:t>3,301-10,000</w:t>
            </w:r>
          </w:p>
        </w:tc>
        <w:tc>
          <w:tcPr>
            <w:tcW w:w="1791" w:type="dxa"/>
            <w:shd w:val="clear" w:color="auto" w:fill="auto"/>
            <w:noWrap/>
            <w:tcMar>
              <w:left w:w="0" w:type="dxa"/>
              <w:right w:w="115" w:type="dxa"/>
            </w:tcMar>
            <w:vAlign w:val="center"/>
          </w:tcPr>
          <w:p w14:paraId="262C9BC7" w14:textId="77777777" w:rsidR="00101352" w:rsidRPr="00942C1A" w:rsidRDefault="00101352" w:rsidP="005553E8">
            <w:pPr>
              <w:jc w:val="right"/>
              <w:rPr>
                <w:color w:val="000000"/>
              </w:rPr>
            </w:pPr>
            <w:r w:rsidRPr="00942C1A">
              <w:rPr>
                <w:color w:val="FF0000"/>
              </w:rPr>
              <w:t>($41.63)</w:t>
            </w:r>
          </w:p>
        </w:tc>
        <w:tc>
          <w:tcPr>
            <w:tcW w:w="1807" w:type="dxa"/>
            <w:shd w:val="clear" w:color="auto" w:fill="auto"/>
            <w:noWrap/>
            <w:tcMar>
              <w:left w:w="0" w:type="dxa"/>
              <w:right w:w="115" w:type="dxa"/>
            </w:tcMar>
            <w:vAlign w:val="center"/>
          </w:tcPr>
          <w:p w14:paraId="1860DB11" w14:textId="77777777" w:rsidR="00101352" w:rsidRPr="00942C1A" w:rsidRDefault="00101352" w:rsidP="005553E8">
            <w:pPr>
              <w:jc w:val="right"/>
              <w:rPr>
                <w:color w:val="000000"/>
              </w:rPr>
            </w:pPr>
            <w:r w:rsidRPr="00942C1A">
              <w:rPr>
                <w:color w:val="FF0000"/>
              </w:rPr>
              <w:t>($37.22)</w:t>
            </w:r>
          </w:p>
        </w:tc>
        <w:tc>
          <w:tcPr>
            <w:tcW w:w="1807" w:type="dxa"/>
            <w:shd w:val="clear" w:color="auto" w:fill="auto"/>
            <w:noWrap/>
            <w:tcMar>
              <w:left w:w="0" w:type="dxa"/>
              <w:right w:w="115" w:type="dxa"/>
            </w:tcMar>
            <w:vAlign w:val="center"/>
          </w:tcPr>
          <w:p w14:paraId="56C0E760" w14:textId="77777777" w:rsidR="00101352" w:rsidRPr="00942C1A" w:rsidRDefault="00101352" w:rsidP="005553E8">
            <w:pPr>
              <w:jc w:val="right"/>
              <w:rPr>
                <w:color w:val="000000"/>
              </w:rPr>
            </w:pPr>
            <w:r w:rsidRPr="00942C1A">
              <w:rPr>
                <w:color w:val="FF0000"/>
              </w:rPr>
              <w:t>($30.80)</w:t>
            </w:r>
          </w:p>
        </w:tc>
        <w:tc>
          <w:tcPr>
            <w:tcW w:w="1807" w:type="dxa"/>
            <w:shd w:val="clear" w:color="auto" w:fill="auto"/>
            <w:noWrap/>
            <w:tcMar>
              <w:left w:w="0" w:type="dxa"/>
              <w:right w:w="115" w:type="dxa"/>
            </w:tcMar>
            <w:vAlign w:val="center"/>
          </w:tcPr>
          <w:p w14:paraId="417943AA" w14:textId="77777777" w:rsidR="00101352" w:rsidRPr="00942C1A" w:rsidRDefault="00101352" w:rsidP="005553E8">
            <w:pPr>
              <w:jc w:val="right"/>
              <w:rPr>
                <w:color w:val="000000"/>
              </w:rPr>
            </w:pPr>
            <w:r w:rsidRPr="00942C1A">
              <w:rPr>
                <w:color w:val="FF0000"/>
              </w:rPr>
              <w:t>($22.57)</w:t>
            </w:r>
          </w:p>
        </w:tc>
      </w:tr>
      <w:tr w:rsidR="00101352" w:rsidRPr="00942C1A" w14:paraId="247BBC9C" w14:textId="77777777" w:rsidTr="005553E8">
        <w:trPr>
          <w:trHeight w:hRule="exact" w:val="346"/>
        </w:trPr>
        <w:tc>
          <w:tcPr>
            <w:tcW w:w="2092" w:type="dxa"/>
            <w:shd w:val="clear" w:color="auto" w:fill="auto"/>
            <w:noWrap/>
            <w:tcMar>
              <w:left w:w="0" w:type="dxa"/>
              <w:right w:w="115" w:type="dxa"/>
            </w:tcMar>
            <w:vAlign w:val="center"/>
          </w:tcPr>
          <w:p w14:paraId="11681FC7" w14:textId="77777777" w:rsidR="00101352" w:rsidRPr="004A2D5D" w:rsidRDefault="00101352" w:rsidP="005553E8">
            <w:pPr>
              <w:spacing w:line="240" w:lineRule="auto"/>
              <w:ind w:firstLine="0"/>
              <w:rPr>
                <w:color w:val="000000"/>
              </w:rPr>
            </w:pPr>
            <w:r w:rsidRPr="004A2D5D">
              <w:rPr>
                <w:color w:val="000000"/>
              </w:rPr>
              <w:t>10,001-50,000</w:t>
            </w:r>
          </w:p>
        </w:tc>
        <w:tc>
          <w:tcPr>
            <w:tcW w:w="1791" w:type="dxa"/>
            <w:shd w:val="clear" w:color="auto" w:fill="auto"/>
            <w:noWrap/>
            <w:tcMar>
              <w:left w:w="0" w:type="dxa"/>
              <w:right w:w="115" w:type="dxa"/>
            </w:tcMar>
            <w:vAlign w:val="center"/>
          </w:tcPr>
          <w:p w14:paraId="6297D5CE" w14:textId="77777777" w:rsidR="00101352" w:rsidRPr="00942C1A" w:rsidRDefault="00101352" w:rsidP="005553E8">
            <w:pPr>
              <w:jc w:val="right"/>
              <w:rPr>
                <w:color w:val="000000"/>
              </w:rPr>
            </w:pPr>
            <w:r w:rsidRPr="00942C1A">
              <w:rPr>
                <w:color w:val="FF0000"/>
              </w:rPr>
              <w:t>($37.19)</w:t>
            </w:r>
          </w:p>
        </w:tc>
        <w:tc>
          <w:tcPr>
            <w:tcW w:w="1807" w:type="dxa"/>
            <w:shd w:val="clear" w:color="auto" w:fill="auto"/>
            <w:noWrap/>
            <w:tcMar>
              <w:left w:w="0" w:type="dxa"/>
              <w:right w:w="115" w:type="dxa"/>
            </w:tcMar>
            <w:vAlign w:val="center"/>
          </w:tcPr>
          <w:p w14:paraId="75F228BC" w14:textId="77777777" w:rsidR="00101352" w:rsidRPr="00942C1A" w:rsidRDefault="00101352" w:rsidP="005553E8">
            <w:pPr>
              <w:jc w:val="right"/>
              <w:rPr>
                <w:color w:val="000000"/>
              </w:rPr>
            </w:pPr>
            <w:r w:rsidRPr="00942C1A">
              <w:rPr>
                <w:color w:val="FF0000"/>
              </w:rPr>
              <w:t>($33.11)</w:t>
            </w:r>
          </w:p>
        </w:tc>
        <w:tc>
          <w:tcPr>
            <w:tcW w:w="1807" w:type="dxa"/>
            <w:shd w:val="clear" w:color="auto" w:fill="auto"/>
            <w:noWrap/>
            <w:tcMar>
              <w:left w:w="0" w:type="dxa"/>
              <w:right w:w="115" w:type="dxa"/>
            </w:tcMar>
            <w:vAlign w:val="center"/>
          </w:tcPr>
          <w:p w14:paraId="66119986" w14:textId="77777777" w:rsidR="00101352" w:rsidRPr="00942C1A" w:rsidRDefault="00101352" w:rsidP="005553E8">
            <w:pPr>
              <w:jc w:val="right"/>
              <w:rPr>
                <w:color w:val="000000"/>
              </w:rPr>
            </w:pPr>
            <w:r w:rsidRPr="00942C1A">
              <w:rPr>
                <w:color w:val="FF0000"/>
              </w:rPr>
              <w:t>($25.46)</w:t>
            </w:r>
          </w:p>
        </w:tc>
        <w:tc>
          <w:tcPr>
            <w:tcW w:w="1807" w:type="dxa"/>
            <w:shd w:val="clear" w:color="auto" w:fill="auto"/>
            <w:noWrap/>
            <w:tcMar>
              <w:left w:w="0" w:type="dxa"/>
              <w:right w:w="115" w:type="dxa"/>
            </w:tcMar>
            <w:vAlign w:val="center"/>
          </w:tcPr>
          <w:p w14:paraId="4C3B92CE" w14:textId="77777777" w:rsidR="00101352" w:rsidRPr="00942C1A" w:rsidRDefault="00101352" w:rsidP="005553E8">
            <w:pPr>
              <w:jc w:val="right"/>
              <w:rPr>
                <w:color w:val="000000"/>
              </w:rPr>
            </w:pPr>
            <w:r w:rsidRPr="00942C1A">
              <w:rPr>
                <w:color w:val="FF0000"/>
              </w:rPr>
              <w:t>($16.99)</w:t>
            </w:r>
          </w:p>
        </w:tc>
      </w:tr>
      <w:tr w:rsidR="00101352" w:rsidRPr="00942C1A" w14:paraId="5865CEB4" w14:textId="77777777" w:rsidTr="005553E8">
        <w:trPr>
          <w:trHeight w:hRule="exact" w:val="346"/>
        </w:trPr>
        <w:tc>
          <w:tcPr>
            <w:tcW w:w="2092" w:type="dxa"/>
            <w:shd w:val="clear" w:color="auto" w:fill="auto"/>
            <w:noWrap/>
            <w:tcMar>
              <w:left w:w="0" w:type="dxa"/>
              <w:right w:w="115" w:type="dxa"/>
            </w:tcMar>
            <w:vAlign w:val="center"/>
          </w:tcPr>
          <w:p w14:paraId="39FF62FF" w14:textId="77777777" w:rsidR="00101352" w:rsidRPr="004A2D5D" w:rsidRDefault="00101352" w:rsidP="005553E8">
            <w:pPr>
              <w:spacing w:line="240" w:lineRule="auto"/>
              <w:ind w:firstLine="0"/>
              <w:rPr>
                <w:color w:val="000000"/>
              </w:rPr>
            </w:pPr>
            <w:r w:rsidRPr="004A2D5D">
              <w:rPr>
                <w:color w:val="000000"/>
              </w:rPr>
              <w:t>50,001-100,000</w:t>
            </w:r>
          </w:p>
        </w:tc>
        <w:tc>
          <w:tcPr>
            <w:tcW w:w="1791" w:type="dxa"/>
            <w:shd w:val="clear" w:color="auto" w:fill="auto"/>
            <w:noWrap/>
            <w:tcMar>
              <w:left w:w="0" w:type="dxa"/>
              <w:right w:w="115" w:type="dxa"/>
            </w:tcMar>
            <w:vAlign w:val="center"/>
          </w:tcPr>
          <w:p w14:paraId="15859E91" w14:textId="77777777" w:rsidR="00101352" w:rsidRPr="00942C1A" w:rsidRDefault="00101352" w:rsidP="005553E8">
            <w:pPr>
              <w:jc w:val="right"/>
              <w:rPr>
                <w:color w:val="000000"/>
              </w:rPr>
            </w:pPr>
            <w:r w:rsidRPr="00942C1A">
              <w:rPr>
                <w:color w:val="FF0000"/>
              </w:rPr>
              <w:t>($30.42)</w:t>
            </w:r>
          </w:p>
        </w:tc>
        <w:tc>
          <w:tcPr>
            <w:tcW w:w="1807" w:type="dxa"/>
            <w:shd w:val="clear" w:color="auto" w:fill="auto"/>
            <w:noWrap/>
            <w:tcMar>
              <w:left w:w="0" w:type="dxa"/>
              <w:right w:w="115" w:type="dxa"/>
            </w:tcMar>
            <w:vAlign w:val="center"/>
          </w:tcPr>
          <w:p w14:paraId="4220D08E" w14:textId="77777777" w:rsidR="00101352" w:rsidRPr="00942C1A" w:rsidRDefault="00101352" w:rsidP="005553E8">
            <w:pPr>
              <w:jc w:val="right"/>
              <w:rPr>
                <w:color w:val="000000"/>
              </w:rPr>
            </w:pPr>
            <w:r w:rsidRPr="00942C1A">
              <w:rPr>
                <w:color w:val="FF0000"/>
              </w:rPr>
              <w:t>($26.49)</w:t>
            </w:r>
          </w:p>
        </w:tc>
        <w:tc>
          <w:tcPr>
            <w:tcW w:w="1807" w:type="dxa"/>
            <w:shd w:val="clear" w:color="auto" w:fill="auto"/>
            <w:noWrap/>
            <w:tcMar>
              <w:left w:w="0" w:type="dxa"/>
              <w:right w:w="115" w:type="dxa"/>
            </w:tcMar>
            <w:vAlign w:val="center"/>
          </w:tcPr>
          <w:p w14:paraId="7FEDB40B" w14:textId="77777777" w:rsidR="00101352" w:rsidRPr="00942C1A" w:rsidRDefault="00101352" w:rsidP="005553E8">
            <w:pPr>
              <w:jc w:val="right"/>
              <w:rPr>
                <w:color w:val="000000"/>
              </w:rPr>
            </w:pPr>
            <w:r w:rsidRPr="00942C1A">
              <w:rPr>
                <w:color w:val="FF0000"/>
              </w:rPr>
              <w:t>($17.90)</w:t>
            </w:r>
          </w:p>
        </w:tc>
        <w:tc>
          <w:tcPr>
            <w:tcW w:w="1807" w:type="dxa"/>
            <w:shd w:val="clear" w:color="auto" w:fill="auto"/>
            <w:noWrap/>
            <w:tcMar>
              <w:left w:w="0" w:type="dxa"/>
              <w:right w:w="115" w:type="dxa"/>
            </w:tcMar>
            <w:vAlign w:val="center"/>
          </w:tcPr>
          <w:p w14:paraId="5D210FBE" w14:textId="77777777" w:rsidR="00101352" w:rsidRPr="00942C1A" w:rsidRDefault="00101352" w:rsidP="005553E8">
            <w:pPr>
              <w:jc w:val="right"/>
              <w:rPr>
                <w:color w:val="000000"/>
              </w:rPr>
            </w:pPr>
            <w:r w:rsidRPr="00942C1A">
              <w:rPr>
                <w:color w:val="FF0000"/>
              </w:rPr>
              <w:t>($10.57)</w:t>
            </w:r>
          </w:p>
        </w:tc>
      </w:tr>
      <w:tr w:rsidR="00101352" w:rsidRPr="00942C1A" w14:paraId="21E87D0E" w14:textId="77777777" w:rsidTr="005553E8">
        <w:trPr>
          <w:trHeight w:hRule="exact" w:val="346"/>
        </w:trPr>
        <w:tc>
          <w:tcPr>
            <w:tcW w:w="2092" w:type="dxa"/>
            <w:shd w:val="clear" w:color="auto" w:fill="auto"/>
            <w:noWrap/>
            <w:tcMar>
              <w:left w:w="0" w:type="dxa"/>
              <w:right w:w="115" w:type="dxa"/>
            </w:tcMar>
            <w:vAlign w:val="center"/>
          </w:tcPr>
          <w:p w14:paraId="54B7B1B2" w14:textId="77777777" w:rsidR="00101352" w:rsidRPr="004A2D5D" w:rsidRDefault="00101352" w:rsidP="005553E8">
            <w:pPr>
              <w:spacing w:line="240" w:lineRule="auto"/>
              <w:ind w:firstLine="0"/>
              <w:rPr>
                <w:color w:val="000000"/>
              </w:rPr>
            </w:pPr>
            <w:r w:rsidRPr="004A2D5D">
              <w:rPr>
                <w:color w:val="000000"/>
              </w:rPr>
              <w:t>100,001-1,000,000</w:t>
            </w:r>
          </w:p>
        </w:tc>
        <w:tc>
          <w:tcPr>
            <w:tcW w:w="1791" w:type="dxa"/>
            <w:shd w:val="clear" w:color="auto" w:fill="auto"/>
            <w:noWrap/>
            <w:tcMar>
              <w:left w:w="0" w:type="dxa"/>
              <w:right w:w="115" w:type="dxa"/>
            </w:tcMar>
            <w:vAlign w:val="center"/>
          </w:tcPr>
          <w:p w14:paraId="2628DF7E" w14:textId="77777777" w:rsidR="00101352" w:rsidRPr="00942C1A" w:rsidRDefault="00101352" w:rsidP="005553E8">
            <w:pPr>
              <w:jc w:val="right"/>
              <w:rPr>
                <w:color w:val="000000"/>
              </w:rPr>
            </w:pPr>
            <w:r w:rsidRPr="00942C1A">
              <w:rPr>
                <w:color w:val="FF0000"/>
              </w:rPr>
              <w:t>($23.08)</w:t>
            </w:r>
          </w:p>
        </w:tc>
        <w:tc>
          <w:tcPr>
            <w:tcW w:w="1807" w:type="dxa"/>
            <w:shd w:val="clear" w:color="auto" w:fill="auto"/>
            <w:noWrap/>
            <w:tcMar>
              <w:left w:w="0" w:type="dxa"/>
              <w:right w:w="115" w:type="dxa"/>
            </w:tcMar>
            <w:vAlign w:val="center"/>
          </w:tcPr>
          <w:p w14:paraId="0912B8D9" w14:textId="77777777" w:rsidR="00101352" w:rsidRPr="00942C1A" w:rsidRDefault="00101352" w:rsidP="005553E8">
            <w:pPr>
              <w:jc w:val="right"/>
              <w:rPr>
                <w:color w:val="000000"/>
              </w:rPr>
            </w:pPr>
            <w:r w:rsidRPr="00942C1A">
              <w:rPr>
                <w:color w:val="FF0000"/>
              </w:rPr>
              <w:t>($20.38)</w:t>
            </w:r>
          </w:p>
        </w:tc>
        <w:tc>
          <w:tcPr>
            <w:tcW w:w="1807" w:type="dxa"/>
            <w:shd w:val="clear" w:color="auto" w:fill="auto"/>
            <w:noWrap/>
            <w:tcMar>
              <w:left w:w="0" w:type="dxa"/>
              <w:right w:w="115" w:type="dxa"/>
            </w:tcMar>
            <w:vAlign w:val="center"/>
          </w:tcPr>
          <w:p w14:paraId="2E4A08AB" w14:textId="77777777" w:rsidR="00101352" w:rsidRPr="00942C1A" w:rsidRDefault="00101352" w:rsidP="005553E8">
            <w:pPr>
              <w:jc w:val="right"/>
              <w:rPr>
                <w:color w:val="000000"/>
              </w:rPr>
            </w:pPr>
            <w:r w:rsidRPr="00942C1A">
              <w:rPr>
                <w:color w:val="FF0000"/>
              </w:rPr>
              <w:t>($13.61)</w:t>
            </w:r>
          </w:p>
        </w:tc>
        <w:tc>
          <w:tcPr>
            <w:tcW w:w="1807" w:type="dxa"/>
            <w:shd w:val="clear" w:color="auto" w:fill="auto"/>
            <w:noWrap/>
            <w:tcMar>
              <w:left w:w="0" w:type="dxa"/>
              <w:right w:w="115" w:type="dxa"/>
            </w:tcMar>
            <w:vAlign w:val="center"/>
          </w:tcPr>
          <w:p w14:paraId="693B458F" w14:textId="77777777" w:rsidR="00101352" w:rsidRPr="00942C1A" w:rsidRDefault="00101352" w:rsidP="005553E8">
            <w:pPr>
              <w:jc w:val="right"/>
              <w:rPr>
                <w:color w:val="000000"/>
              </w:rPr>
            </w:pPr>
            <w:r w:rsidRPr="00942C1A">
              <w:rPr>
                <w:color w:val="FF0000"/>
              </w:rPr>
              <w:t>($7.20)</w:t>
            </w:r>
          </w:p>
        </w:tc>
      </w:tr>
      <w:tr w:rsidR="00101352" w:rsidRPr="00942C1A" w14:paraId="13216EEF" w14:textId="77777777" w:rsidTr="005553E8">
        <w:trPr>
          <w:trHeight w:hRule="exact" w:val="346"/>
        </w:trPr>
        <w:tc>
          <w:tcPr>
            <w:tcW w:w="2092" w:type="dxa"/>
            <w:tcBorders>
              <w:bottom w:val="double" w:sz="4" w:space="0" w:color="auto"/>
            </w:tcBorders>
            <w:shd w:val="clear" w:color="auto" w:fill="auto"/>
            <w:noWrap/>
            <w:tcMar>
              <w:left w:w="0" w:type="dxa"/>
              <w:right w:w="115" w:type="dxa"/>
            </w:tcMar>
            <w:vAlign w:val="center"/>
          </w:tcPr>
          <w:p w14:paraId="6F125075" w14:textId="77777777" w:rsidR="00101352" w:rsidRPr="004A2D5D" w:rsidRDefault="00101352" w:rsidP="005553E8">
            <w:pPr>
              <w:spacing w:line="240" w:lineRule="auto"/>
              <w:ind w:firstLine="0"/>
              <w:rPr>
                <w:color w:val="000000"/>
              </w:rPr>
            </w:pPr>
            <w:r w:rsidRPr="004A2D5D">
              <w:rPr>
                <w:color w:val="000000"/>
              </w:rPr>
              <w:t>&gt; 1,000,000</w:t>
            </w:r>
          </w:p>
        </w:tc>
        <w:tc>
          <w:tcPr>
            <w:tcW w:w="1791" w:type="dxa"/>
            <w:tcBorders>
              <w:bottom w:val="double" w:sz="4" w:space="0" w:color="auto"/>
            </w:tcBorders>
            <w:shd w:val="clear" w:color="auto" w:fill="auto"/>
            <w:noWrap/>
            <w:tcMar>
              <w:left w:w="0" w:type="dxa"/>
              <w:right w:w="115" w:type="dxa"/>
            </w:tcMar>
            <w:vAlign w:val="center"/>
          </w:tcPr>
          <w:p w14:paraId="2CA5988F" w14:textId="77777777" w:rsidR="00101352" w:rsidRPr="00942C1A" w:rsidRDefault="00101352" w:rsidP="005553E8">
            <w:pPr>
              <w:jc w:val="right"/>
              <w:rPr>
                <w:color w:val="000000"/>
              </w:rPr>
            </w:pPr>
            <w:r w:rsidRPr="00942C1A">
              <w:rPr>
                <w:color w:val="FF0000"/>
              </w:rPr>
              <w:t>($6.20)</w:t>
            </w:r>
          </w:p>
        </w:tc>
        <w:tc>
          <w:tcPr>
            <w:tcW w:w="1807" w:type="dxa"/>
            <w:tcBorders>
              <w:bottom w:val="double" w:sz="4" w:space="0" w:color="auto"/>
            </w:tcBorders>
            <w:shd w:val="clear" w:color="auto" w:fill="auto"/>
            <w:noWrap/>
            <w:tcMar>
              <w:left w:w="0" w:type="dxa"/>
              <w:right w:w="115" w:type="dxa"/>
            </w:tcMar>
            <w:vAlign w:val="center"/>
          </w:tcPr>
          <w:p w14:paraId="67DA69C2" w14:textId="77777777" w:rsidR="00101352" w:rsidRPr="00942C1A" w:rsidRDefault="00101352" w:rsidP="005553E8">
            <w:pPr>
              <w:jc w:val="right"/>
              <w:rPr>
                <w:color w:val="000000"/>
              </w:rPr>
            </w:pPr>
            <w:r w:rsidRPr="00942C1A">
              <w:rPr>
                <w:color w:val="000000"/>
              </w:rPr>
              <w:t xml:space="preserve">$0.17 </w:t>
            </w:r>
          </w:p>
        </w:tc>
        <w:tc>
          <w:tcPr>
            <w:tcW w:w="1807" w:type="dxa"/>
            <w:tcBorders>
              <w:bottom w:val="double" w:sz="4" w:space="0" w:color="auto"/>
            </w:tcBorders>
            <w:shd w:val="clear" w:color="auto" w:fill="auto"/>
            <w:noWrap/>
            <w:tcMar>
              <w:left w:w="0" w:type="dxa"/>
              <w:right w:w="115" w:type="dxa"/>
            </w:tcMar>
            <w:vAlign w:val="center"/>
          </w:tcPr>
          <w:p w14:paraId="41182014" w14:textId="77777777" w:rsidR="00101352" w:rsidRPr="00942C1A" w:rsidRDefault="00101352" w:rsidP="005553E8">
            <w:pPr>
              <w:jc w:val="right"/>
              <w:rPr>
                <w:color w:val="000000"/>
              </w:rPr>
            </w:pPr>
            <w:r w:rsidRPr="00942C1A">
              <w:rPr>
                <w:color w:val="000000"/>
              </w:rPr>
              <w:t xml:space="preserve">$6.05 </w:t>
            </w:r>
          </w:p>
        </w:tc>
        <w:tc>
          <w:tcPr>
            <w:tcW w:w="1807" w:type="dxa"/>
            <w:tcBorders>
              <w:bottom w:val="double" w:sz="4" w:space="0" w:color="auto"/>
            </w:tcBorders>
            <w:shd w:val="clear" w:color="auto" w:fill="auto"/>
            <w:noWrap/>
            <w:tcMar>
              <w:left w:w="0" w:type="dxa"/>
              <w:right w:w="115" w:type="dxa"/>
            </w:tcMar>
            <w:vAlign w:val="center"/>
          </w:tcPr>
          <w:p w14:paraId="5593689F" w14:textId="77777777" w:rsidR="00101352" w:rsidRPr="00942C1A" w:rsidRDefault="00101352" w:rsidP="005553E8">
            <w:pPr>
              <w:jc w:val="right"/>
              <w:rPr>
                <w:color w:val="000000"/>
              </w:rPr>
            </w:pPr>
            <w:r w:rsidRPr="00942C1A">
              <w:rPr>
                <w:color w:val="000000"/>
              </w:rPr>
              <w:t xml:space="preserve">$11.91 </w:t>
            </w:r>
          </w:p>
        </w:tc>
      </w:tr>
      <w:tr w:rsidR="00101352" w:rsidRPr="00942C1A" w14:paraId="7857C484" w14:textId="77777777" w:rsidTr="005553E8">
        <w:trPr>
          <w:trHeight w:hRule="exact" w:val="346"/>
        </w:trPr>
        <w:tc>
          <w:tcPr>
            <w:tcW w:w="9304" w:type="dxa"/>
            <w:gridSpan w:val="5"/>
            <w:tcBorders>
              <w:top w:val="double" w:sz="4" w:space="0" w:color="auto"/>
              <w:bottom w:val="double" w:sz="4" w:space="0" w:color="auto"/>
            </w:tcBorders>
            <w:shd w:val="clear" w:color="auto" w:fill="auto"/>
            <w:noWrap/>
            <w:tcMar>
              <w:left w:w="0" w:type="dxa"/>
              <w:right w:w="115" w:type="dxa"/>
            </w:tcMar>
            <w:vAlign w:val="center"/>
          </w:tcPr>
          <w:p w14:paraId="04A99222" w14:textId="77777777" w:rsidR="00101352" w:rsidRPr="00942C1A" w:rsidRDefault="00101352" w:rsidP="005553E8">
            <w:pPr>
              <w:ind w:firstLine="0"/>
            </w:pPr>
            <w:r>
              <w:t xml:space="preserve">Source: Derived from </w:t>
            </w:r>
            <w:fldSimple w:instr=" REF _Ref536529283 ">
              <w:r>
                <w:t xml:space="preserve">Table </w:t>
              </w:r>
              <w:r>
                <w:rPr>
                  <w:noProof/>
                </w:rPr>
                <w:t>7</w:t>
              </w:r>
              <w:r>
                <w:noBreakHyphen/>
              </w:r>
              <w:r>
                <w:rPr>
                  <w:noProof/>
                </w:rPr>
                <w:t>6</w:t>
              </w:r>
            </w:fldSimple>
            <w:r>
              <w:t xml:space="preserve"> and </w:t>
            </w:r>
            <w:fldSimple w:instr=" REF _Ref536529305 ">
              <w:r>
                <w:t xml:space="preserve">Table </w:t>
              </w:r>
              <w:r>
                <w:rPr>
                  <w:noProof/>
                </w:rPr>
                <w:t>7</w:t>
              </w:r>
              <w:r>
                <w:noBreakHyphen/>
              </w:r>
              <w:r>
                <w:rPr>
                  <w:noProof/>
                </w:rPr>
                <w:t>7</w:t>
              </w:r>
            </w:fldSimple>
            <w:r>
              <w:t>.</w:t>
            </w:r>
            <w:fldSimple w:instr=" REF _Ref536529283 ">
              <w:r>
                <w:t xml:space="preserve">Table </w:t>
              </w:r>
              <w:r>
                <w:rPr>
                  <w:noProof/>
                </w:rPr>
                <w:t>7</w:t>
              </w:r>
              <w:r>
                <w:noBreakHyphen/>
              </w:r>
              <w:r>
                <w:rPr>
                  <w:noProof/>
                </w:rPr>
                <w:t>6</w:t>
              </w:r>
            </w:fldSimple>
            <w:r>
              <w:t xml:space="preserve"> and </w:t>
            </w:r>
            <w:fldSimple w:instr=" REF _Ref536529305 ">
              <w:r>
                <w:t xml:space="preserve">Table </w:t>
              </w:r>
              <w:r>
                <w:rPr>
                  <w:noProof/>
                </w:rPr>
                <w:t>7</w:t>
              </w:r>
              <w:r>
                <w:noBreakHyphen/>
              </w:r>
              <w:r>
                <w:rPr>
                  <w:noProof/>
                </w:rPr>
                <w:t>7</w:t>
              </w:r>
            </w:fldSimple>
            <w:r>
              <w:t>.</w:t>
            </w:r>
          </w:p>
        </w:tc>
      </w:tr>
    </w:tbl>
    <w:p w14:paraId="5A1AF58F" w14:textId="77777777" w:rsidR="00101352" w:rsidRDefault="00101352" w:rsidP="00101352">
      <w:pPr>
        <w:spacing w:line="240" w:lineRule="auto"/>
        <w:ind w:firstLine="0"/>
      </w:pPr>
      <w:r>
        <w:br w:type="page"/>
      </w:r>
    </w:p>
    <w:p w14:paraId="574B67A8" w14:textId="77777777" w:rsidR="00101352" w:rsidRDefault="00101352" w:rsidP="00101352">
      <w:pPr>
        <w:pStyle w:val="Caption"/>
        <w:keepNext/>
      </w:pPr>
      <w:bookmarkStart w:id="63" w:name="_Ref536529335"/>
      <w:r>
        <w:lastRenderedPageBreak/>
        <w:t xml:space="preserve">Table </w:t>
      </w:r>
      <w:fldSimple w:instr=" STYLEREF 1 \s ">
        <w:r>
          <w:rPr>
            <w:noProof/>
          </w:rPr>
          <w:t>7</w:t>
        </w:r>
      </w:fldSimple>
      <w:r>
        <w:noBreakHyphen/>
      </w:r>
      <w:fldSimple w:instr=" SEQ Table \* ARABIC \s 1 ">
        <w:r>
          <w:rPr>
            <w:noProof/>
          </w:rPr>
          <w:t>9</w:t>
        </w:r>
      </w:fldSimple>
      <w:bookmarkEnd w:id="63"/>
      <w:r>
        <w:t>: Arsenic NPDWR: USEPA-estimated Annualized Net Benefit per Household of “Upper Bound” Cancer Risk Reduction by System Size for Four Alternative Arsenic MCLs and Two Household Sizes, 7% Discount Rate</w:t>
      </w:r>
    </w:p>
    <w:tbl>
      <w:tblPr>
        <w:tblW w:w="934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088"/>
        <w:gridCol w:w="1797"/>
        <w:gridCol w:w="1829"/>
        <w:gridCol w:w="1829"/>
        <w:gridCol w:w="1829"/>
      </w:tblGrid>
      <w:tr w:rsidR="00101352" w:rsidRPr="00DD11C7" w14:paraId="20D28B17" w14:textId="77777777" w:rsidTr="005553E8">
        <w:trPr>
          <w:trHeight w:val="340"/>
        </w:trPr>
        <w:tc>
          <w:tcPr>
            <w:tcW w:w="2088" w:type="dxa"/>
            <w:vMerge w:val="restart"/>
            <w:tcBorders>
              <w:top w:val="double" w:sz="4" w:space="0" w:color="auto"/>
            </w:tcBorders>
            <w:shd w:val="clear" w:color="auto" w:fill="auto"/>
            <w:noWrap/>
            <w:tcMar>
              <w:left w:w="0" w:type="dxa"/>
              <w:right w:w="115" w:type="dxa"/>
            </w:tcMar>
            <w:vAlign w:val="center"/>
            <w:hideMark/>
          </w:tcPr>
          <w:p w14:paraId="02D489C7" w14:textId="77777777" w:rsidR="00101352" w:rsidRPr="004A2D5D" w:rsidRDefault="00101352" w:rsidP="005553E8">
            <w:pPr>
              <w:spacing w:line="240" w:lineRule="auto"/>
              <w:ind w:firstLine="0"/>
              <w:rPr>
                <w:b/>
                <w:color w:val="000000"/>
              </w:rPr>
            </w:pPr>
            <w:r w:rsidRPr="004A2D5D">
              <w:rPr>
                <w:b/>
                <w:color w:val="000000"/>
              </w:rPr>
              <w:t>System Size</w:t>
            </w:r>
          </w:p>
        </w:tc>
        <w:tc>
          <w:tcPr>
            <w:tcW w:w="7252" w:type="dxa"/>
            <w:gridSpan w:val="4"/>
            <w:tcBorders>
              <w:top w:val="double" w:sz="4" w:space="0" w:color="auto"/>
            </w:tcBorders>
            <w:shd w:val="clear" w:color="auto" w:fill="auto"/>
            <w:noWrap/>
            <w:tcMar>
              <w:left w:w="0" w:type="dxa"/>
              <w:right w:w="115" w:type="dxa"/>
            </w:tcMar>
            <w:vAlign w:val="center"/>
            <w:hideMark/>
          </w:tcPr>
          <w:p w14:paraId="2EB6406E" w14:textId="77777777" w:rsidR="00101352" w:rsidRPr="004A2D5D" w:rsidRDefault="00101352" w:rsidP="005553E8">
            <w:pPr>
              <w:spacing w:line="240" w:lineRule="auto"/>
              <w:ind w:firstLine="0"/>
              <w:jc w:val="center"/>
              <w:rPr>
                <w:b/>
                <w:color w:val="000000"/>
                <w:u w:val="single"/>
              </w:rPr>
            </w:pPr>
            <w:r w:rsidRPr="004A2D5D">
              <w:rPr>
                <w:b/>
                <w:color w:val="000000"/>
                <w:u w:val="single"/>
              </w:rPr>
              <w:t>MCL (</w:t>
            </w:r>
            <w:r w:rsidRPr="00DD11C7">
              <w:rPr>
                <w:b/>
                <w:color w:val="000000"/>
                <w:u w:val="single"/>
              </w:rPr>
              <w:sym w:font="Symbol" w:char="F06D"/>
            </w:r>
            <w:r w:rsidRPr="004A2D5D">
              <w:rPr>
                <w:b/>
                <w:color w:val="000000"/>
                <w:u w:val="single"/>
              </w:rPr>
              <w:t>g/L)</w:t>
            </w:r>
          </w:p>
        </w:tc>
      </w:tr>
      <w:tr w:rsidR="00101352" w:rsidRPr="00DD11C7" w14:paraId="3BA8FF54" w14:textId="77777777" w:rsidTr="005553E8">
        <w:trPr>
          <w:trHeight w:val="340"/>
        </w:trPr>
        <w:tc>
          <w:tcPr>
            <w:tcW w:w="2088" w:type="dxa"/>
            <w:vMerge/>
            <w:tcBorders>
              <w:bottom w:val="double" w:sz="4" w:space="0" w:color="auto"/>
            </w:tcBorders>
            <w:shd w:val="clear" w:color="auto" w:fill="auto"/>
            <w:noWrap/>
            <w:tcMar>
              <w:left w:w="0" w:type="dxa"/>
              <w:right w:w="115" w:type="dxa"/>
            </w:tcMar>
            <w:vAlign w:val="center"/>
            <w:hideMark/>
          </w:tcPr>
          <w:p w14:paraId="482EB4A4" w14:textId="77777777" w:rsidR="00101352" w:rsidRPr="004A2D5D" w:rsidRDefault="00101352" w:rsidP="005553E8">
            <w:pPr>
              <w:spacing w:line="240" w:lineRule="auto"/>
              <w:ind w:firstLine="0"/>
              <w:rPr>
                <w:b/>
                <w:color w:val="000000"/>
              </w:rPr>
            </w:pPr>
          </w:p>
        </w:tc>
        <w:tc>
          <w:tcPr>
            <w:tcW w:w="1789" w:type="dxa"/>
            <w:tcBorders>
              <w:bottom w:val="double" w:sz="4" w:space="0" w:color="auto"/>
            </w:tcBorders>
            <w:shd w:val="clear" w:color="auto" w:fill="auto"/>
            <w:noWrap/>
            <w:tcMar>
              <w:left w:w="0" w:type="dxa"/>
              <w:right w:w="115" w:type="dxa"/>
            </w:tcMar>
            <w:vAlign w:val="center"/>
            <w:hideMark/>
          </w:tcPr>
          <w:p w14:paraId="42D4D5C3" w14:textId="77777777" w:rsidR="00101352" w:rsidRPr="004A2D5D" w:rsidRDefault="00101352" w:rsidP="005553E8">
            <w:pPr>
              <w:spacing w:line="240" w:lineRule="auto"/>
              <w:ind w:firstLine="0"/>
              <w:jc w:val="center"/>
              <w:rPr>
                <w:b/>
                <w:color w:val="000000"/>
              </w:rPr>
            </w:pPr>
            <w:r w:rsidRPr="004A2D5D">
              <w:rPr>
                <w:b/>
                <w:color w:val="000000"/>
              </w:rPr>
              <w:t>3</w:t>
            </w:r>
          </w:p>
        </w:tc>
        <w:tc>
          <w:tcPr>
            <w:tcW w:w="1821" w:type="dxa"/>
            <w:tcBorders>
              <w:bottom w:val="double" w:sz="4" w:space="0" w:color="auto"/>
            </w:tcBorders>
            <w:shd w:val="clear" w:color="auto" w:fill="auto"/>
            <w:noWrap/>
            <w:tcMar>
              <w:left w:w="0" w:type="dxa"/>
              <w:right w:w="115" w:type="dxa"/>
            </w:tcMar>
            <w:vAlign w:val="center"/>
            <w:hideMark/>
          </w:tcPr>
          <w:p w14:paraId="7A19800A" w14:textId="77777777" w:rsidR="00101352" w:rsidRPr="004A2D5D" w:rsidRDefault="00101352" w:rsidP="005553E8">
            <w:pPr>
              <w:spacing w:line="240" w:lineRule="auto"/>
              <w:ind w:firstLine="0"/>
              <w:jc w:val="center"/>
              <w:rPr>
                <w:b/>
                <w:color w:val="000000"/>
              </w:rPr>
            </w:pPr>
            <w:r w:rsidRPr="004A2D5D">
              <w:rPr>
                <w:b/>
                <w:color w:val="000000"/>
              </w:rPr>
              <w:t>5</w:t>
            </w:r>
          </w:p>
        </w:tc>
        <w:tc>
          <w:tcPr>
            <w:tcW w:w="1821" w:type="dxa"/>
            <w:tcBorders>
              <w:bottom w:val="double" w:sz="4" w:space="0" w:color="auto"/>
            </w:tcBorders>
            <w:shd w:val="clear" w:color="auto" w:fill="auto"/>
            <w:noWrap/>
            <w:tcMar>
              <w:left w:w="0" w:type="dxa"/>
              <w:right w:w="115" w:type="dxa"/>
            </w:tcMar>
            <w:vAlign w:val="center"/>
            <w:hideMark/>
          </w:tcPr>
          <w:p w14:paraId="3F51F68B" w14:textId="77777777" w:rsidR="00101352" w:rsidRPr="004A2D5D" w:rsidRDefault="00101352" w:rsidP="005553E8">
            <w:pPr>
              <w:spacing w:line="240" w:lineRule="auto"/>
              <w:ind w:firstLine="0"/>
              <w:jc w:val="center"/>
              <w:rPr>
                <w:b/>
                <w:color w:val="000000"/>
              </w:rPr>
            </w:pPr>
            <w:r w:rsidRPr="004A2D5D">
              <w:rPr>
                <w:b/>
                <w:color w:val="000000"/>
              </w:rPr>
              <w:t>10</w:t>
            </w:r>
          </w:p>
        </w:tc>
        <w:tc>
          <w:tcPr>
            <w:tcW w:w="1821" w:type="dxa"/>
            <w:tcBorders>
              <w:bottom w:val="double" w:sz="4" w:space="0" w:color="auto"/>
            </w:tcBorders>
            <w:shd w:val="clear" w:color="auto" w:fill="auto"/>
            <w:noWrap/>
            <w:tcMar>
              <w:left w:w="0" w:type="dxa"/>
              <w:right w:w="115" w:type="dxa"/>
            </w:tcMar>
            <w:vAlign w:val="center"/>
            <w:hideMark/>
          </w:tcPr>
          <w:p w14:paraId="466C1686" w14:textId="77777777" w:rsidR="00101352" w:rsidRPr="004A2D5D" w:rsidRDefault="00101352" w:rsidP="005553E8">
            <w:pPr>
              <w:spacing w:line="240" w:lineRule="auto"/>
              <w:ind w:firstLine="0"/>
              <w:jc w:val="center"/>
              <w:rPr>
                <w:b/>
                <w:color w:val="000000"/>
              </w:rPr>
            </w:pPr>
            <w:r w:rsidRPr="004A2D5D">
              <w:rPr>
                <w:b/>
                <w:color w:val="000000"/>
              </w:rPr>
              <w:t>20</w:t>
            </w:r>
          </w:p>
        </w:tc>
      </w:tr>
      <w:tr w:rsidR="00101352" w:rsidRPr="00DD11C7" w14:paraId="135944DC" w14:textId="77777777" w:rsidTr="005553E8">
        <w:trPr>
          <w:trHeight w:hRule="exact" w:val="346"/>
        </w:trPr>
        <w:tc>
          <w:tcPr>
            <w:tcW w:w="9340" w:type="dxa"/>
            <w:gridSpan w:val="5"/>
            <w:tcBorders>
              <w:top w:val="double" w:sz="4" w:space="0" w:color="auto"/>
              <w:bottom w:val="double" w:sz="4" w:space="0" w:color="auto"/>
            </w:tcBorders>
            <w:shd w:val="clear" w:color="auto" w:fill="auto"/>
            <w:noWrap/>
            <w:tcMar>
              <w:left w:w="0" w:type="dxa"/>
              <w:right w:w="115" w:type="dxa"/>
            </w:tcMar>
            <w:vAlign w:val="center"/>
          </w:tcPr>
          <w:p w14:paraId="5D57FB87" w14:textId="77777777" w:rsidR="00101352" w:rsidRPr="00DD11C7" w:rsidRDefault="00101352" w:rsidP="005553E8">
            <w:pPr>
              <w:spacing w:line="240" w:lineRule="auto"/>
              <w:ind w:firstLine="0"/>
              <w:jc w:val="center"/>
              <w:rPr>
                <w:i/>
                <w:color w:val="FF0000"/>
              </w:rPr>
            </w:pPr>
            <w:r w:rsidRPr="00DD11C7">
              <w:rPr>
                <w:i/>
                <w:color w:val="000000"/>
              </w:rPr>
              <w:t>Household Size = 3</w:t>
            </w:r>
          </w:p>
        </w:tc>
      </w:tr>
      <w:tr w:rsidR="00101352" w:rsidRPr="00DD11C7" w14:paraId="332A0B53" w14:textId="77777777" w:rsidTr="005553E8">
        <w:trPr>
          <w:trHeight w:hRule="exact" w:val="346"/>
        </w:trPr>
        <w:tc>
          <w:tcPr>
            <w:tcW w:w="2088" w:type="dxa"/>
            <w:tcBorders>
              <w:top w:val="double" w:sz="4" w:space="0" w:color="auto"/>
            </w:tcBorders>
            <w:shd w:val="clear" w:color="auto" w:fill="auto"/>
            <w:noWrap/>
            <w:tcMar>
              <w:left w:w="0" w:type="dxa"/>
              <w:right w:w="115" w:type="dxa"/>
            </w:tcMar>
            <w:vAlign w:val="center"/>
            <w:hideMark/>
          </w:tcPr>
          <w:p w14:paraId="62B36517" w14:textId="77777777" w:rsidR="00101352" w:rsidRPr="004A2D5D" w:rsidRDefault="00101352" w:rsidP="005553E8">
            <w:pPr>
              <w:spacing w:line="240" w:lineRule="auto"/>
              <w:ind w:firstLine="0"/>
              <w:contextualSpacing/>
              <w:rPr>
                <w:color w:val="000000"/>
              </w:rPr>
            </w:pPr>
            <w:r w:rsidRPr="004A2D5D">
              <w:rPr>
                <w:color w:val="000000"/>
              </w:rPr>
              <w:t>&lt;100</w:t>
            </w:r>
          </w:p>
        </w:tc>
        <w:tc>
          <w:tcPr>
            <w:tcW w:w="1789" w:type="dxa"/>
            <w:tcBorders>
              <w:top w:val="double" w:sz="4" w:space="0" w:color="auto"/>
            </w:tcBorders>
            <w:shd w:val="clear" w:color="auto" w:fill="auto"/>
            <w:noWrap/>
            <w:tcMar>
              <w:left w:w="0" w:type="dxa"/>
              <w:right w:w="115" w:type="dxa"/>
            </w:tcMar>
            <w:vAlign w:val="center"/>
          </w:tcPr>
          <w:p w14:paraId="173A13E7" w14:textId="77777777" w:rsidR="00101352" w:rsidRPr="00DD11C7" w:rsidRDefault="00101352" w:rsidP="005553E8">
            <w:pPr>
              <w:spacing w:line="240" w:lineRule="auto"/>
              <w:ind w:firstLine="0"/>
              <w:jc w:val="right"/>
              <w:rPr>
                <w:color w:val="000000"/>
              </w:rPr>
            </w:pPr>
            <w:r w:rsidRPr="00DD11C7">
              <w:rPr>
                <w:color w:val="FF0000"/>
              </w:rPr>
              <w:t>($307.63)</w:t>
            </w:r>
          </w:p>
        </w:tc>
        <w:tc>
          <w:tcPr>
            <w:tcW w:w="1821" w:type="dxa"/>
            <w:tcBorders>
              <w:top w:val="double" w:sz="4" w:space="0" w:color="auto"/>
            </w:tcBorders>
            <w:shd w:val="clear" w:color="auto" w:fill="auto"/>
            <w:noWrap/>
            <w:tcMar>
              <w:left w:w="0" w:type="dxa"/>
              <w:right w:w="115" w:type="dxa"/>
            </w:tcMar>
            <w:vAlign w:val="center"/>
          </w:tcPr>
          <w:p w14:paraId="2A1A31A7" w14:textId="77777777" w:rsidR="00101352" w:rsidRPr="00DD11C7" w:rsidRDefault="00101352" w:rsidP="005553E8">
            <w:pPr>
              <w:jc w:val="right"/>
              <w:rPr>
                <w:color w:val="000000"/>
              </w:rPr>
            </w:pPr>
            <w:r w:rsidRPr="00DD11C7">
              <w:rPr>
                <w:color w:val="FF0000"/>
              </w:rPr>
              <w:t>($295.26)</w:t>
            </w:r>
          </w:p>
        </w:tc>
        <w:tc>
          <w:tcPr>
            <w:tcW w:w="1821" w:type="dxa"/>
            <w:tcBorders>
              <w:top w:val="double" w:sz="4" w:space="0" w:color="auto"/>
            </w:tcBorders>
            <w:shd w:val="clear" w:color="auto" w:fill="auto"/>
            <w:noWrap/>
            <w:tcMar>
              <w:left w:w="0" w:type="dxa"/>
              <w:right w:w="115" w:type="dxa"/>
            </w:tcMar>
            <w:vAlign w:val="center"/>
          </w:tcPr>
          <w:p w14:paraId="49EF9801" w14:textId="77777777" w:rsidR="00101352" w:rsidRPr="00DD11C7" w:rsidRDefault="00101352" w:rsidP="005553E8">
            <w:pPr>
              <w:jc w:val="right"/>
              <w:rPr>
                <w:color w:val="000000"/>
              </w:rPr>
            </w:pPr>
            <w:r w:rsidRPr="00DD11C7">
              <w:rPr>
                <w:color w:val="FF0000"/>
              </w:rPr>
              <w:t>($273.16)</w:t>
            </w:r>
          </w:p>
        </w:tc>
        <w:tc>
          <w:tcPr>
            <w:tcW w:w="1821" w:type="dxa"/>
            <w:tcBorders>
              <w:top w:val="double" w:sz="4" w:space="0" w:color="auto"/>
            </w:tcBorders>
            <w:shd w:val="clear" w:color="auto" w:fill="auto"/>
            <w:noWrap/>
            <w:tcMar>
              <w:left w:w="0" w:type="dxa"/>
              <w:right w:w="115" w:type="dxa"/>
            </w:tcMar>
            <w:vAlign w:val="center"/>
          </w:tcPr>
          <w:p w14:paraId="07A72B05" w14:textId="77777777" w:rsidR="00101352" w:rsidRPr="00DD11C7" w:rsidRDefault="00101352" w:rsidP="005553E8">
            <w:pPr>
              <w:jc w:val="right"/>
              <w:rPr>
                <w:color w:val="000000"/>
              </w:rPr>
            </w:pPr>
            <w:r w:rsidRPr="00DD11C7">
              <w:rPr>
                <w:color w:val="FF0000"/>
              </w:rPr>
              <w:t>($311.12)</w:t>
            </w:r>
          </w:p>
        </w:tc>
      </w:tr>
      <w:tr w:rsidR="00101352" w:rsidRPr="00DD11C7" w14:paraId="6838F334" w14:textId="77777777" w:rsidTr="005553E8">
        <w:trPr>
          <w:trHeight w:hRule="exact" w:val="346"/>
        </w:trPr>
        <w:tc>
          <w:tcPr>
            <w:tcW w:w="2088" w:type="dxa"/>
            <w:shd w:val="clear" w:color="auto" w:fill="auto"/>
            <w:noWrap/>
            <w:tcMar>
              <w:left w:w="0" w:type="dxa"/>
              <w:right w:w="115" w:type="dxa"/>
            </w:tcMar>
            <w:vAlign w:val="center"/>
            <w:hideMark/>
          </w:tcPr>
          <w:p w14:paraId="6F0144F1" w14:textId="77777777" w:rsidR="00101352" w:rsidRPr="004A2D5D" w:rsidRDefault="00101352" w:rsidP="005553E8">
            <w:pPr>
              <w:spacing w:line="240" w:lineRule="auto"/>
              <w:ind w:firstLine="0"/>
              <w:rPr>
                <w:color w:val="000000"/>
              </w:rPr>
            </w:pPr>
            <w:r w:rsidRPr="004A2D5D">
              <w:rPr>
                <w:color w:val="000000"/>
              </w:rPr>
              <w:t>101-500</w:t>
            </w:r>
          </w:p>
        </w:tc>
        <w:tc>
          <w:tcPr>
            <w:tcW w:w="1789" w:type="dxa"/>
            <w:shd w:val="clear" w:color="auto" w:fill="auto"/>
            <w:noWrap/>
            <w:tcMar>
              <w:left w:w="0" w:type="dxa"/>
              <w:right w:w="115" w:type="dxa"/>
            </w:tcMar>
            <w:vAlign w:val="center"/>
          </w:tcPr>
          <w:p w14:paraId="1EBED0EE" w14:textId="77777777" w:rsidR="00101352" w:rsidRPr="00DD11C7" w:rsidRDefault="00101352" w:rsidP="005553E8">
            <w:pPr>
              <w:jc w:val="right"/>
              <w:rPr>
                <w:color w:val="000000"/>
              </w:rPr>
            </w:pPr>
            <w:r w:rsidRPr="00DD11C7">
              <w:rPr>
                <w:color w:val="FF0000"/>
              </w:rPr>
              <w:t>($157.54)</w:t>
            </w:r>
          </w:p>
        </w:tc>
        <w:tc>
          <w:tcPr>
            <w:tcW w:w="1821" w:type="dxa"/>
            <w:shd w:val="clear" w:color="auto" w:fill="auto"/>
            <w:noWrap/>
            <w:tcMar>
              <w:left w:w="0" w:type="dxa"/>
              <w:right w:w="115" w:type="dxa"/>
            </w:tcMar>
            <w:vAlign w:val="center"/>
          </w:tcPr>
          <w:p w14:paraId="19620C36" w14:textId="77777777" w:rsidR="00101352" w:rsidRPr="00DD11C7" w:rsidRDefault="00101352" w:rsidP="005553E8">
            <w:pPr>
              <w:jc w:val="right"/>
              <w:rPr>
                <w:color w:val="000000"/>
              </w:rPr>
            </w:pPr>
            <w:r w:rsidRPr="00DD11C7">
              <w:rPr>
                <w:color w:val="FF0000"/>
              </w:rPr>
              <w:t>($141.02)</w:t>
            </w:r>
          </w:p>
        </w:tc>
        <w:tc>
          <w:tcPr>
            <w:tcW w:w="1821" w:type="dxa"/>
            <w:shd w:val="clear" w:color="auto" w:fill="auto"/>
            <w:noWrap/>
            <w:tcMar>
              <w:left w:w="0" w:type="dxa"/>
              <w:right w:w="115" w:type="dxa"/>
            </w:tcMar>
            <w:vAlign w:val="center"/>
          </w:tcPr>
          <w:p w14:paraId="617B2D9C" w14:textId="77777777" w:rsidR="00101352" w:rsidRPr="00DD11C7" w:rsidRDefault="00101352" w:rsidP="005553E8">
            <w:pPr>
              <w:jc w:val="right"/>
              <w:rPr>
                <w:color w:val="000000"/>
              </w:rPr>
            </w:pPr>
            <w:r w:rsidRPr="00DD11C7">
              <w:rPr>
                <w:color w:val="FF0000"/>
              </w:rPr>
              <w:t>($108.84)</w:t>
            </w:r>
          </w:p>
        </w:tc>
        <w:tc>
          <w:tcPr>
            <w:tcW w:w="1821" w:type="dxa"/>
            <w:shd w:val="clear" w:color="auto" w:fill="auto"/>
            <w:noWrap/>
            <w:tcMar>
              <w:left w:w="0" w:type="dxa"/>
              <w:right w:w="115" w:type="dxa"/>
            </w:tcMar>
            <w:vAlign w:val="center"/>
          </w:tcPr>
          <w:p w14:paraId="4D91AA24" w14:textId="77777777" w:rsidR="00101352" w:rsidRPr="00DD11C7" w:rsidRDefault="00101352" w:rsidP="005553E8">
            <w:pPr>
              <w:jc w:val="right"/>
              <w:rPr>
                <w:color w:val="000000"/>
              </w:rPr>
            </w:pPr>
            <w:r w:rsidRPr="00DD11C7">
              <w:rPr>
                <w:color w:val="FF0000"/>
              </w:rPr>
              <w:t>($126.69)</w:t>
            </w:r>
          </w:p>
        </w:tc>
      </w:tr>
      <w:tr w:rsidR="00101352" w:rsidRPr="00DD11C7" w14:paraId="72FD5355" w14:textId="77777777" w:rsidTr="005553E8">
        <w:trPr>
          <w:trHeight w:hRule="exact" w:val="346"/>
        </w:trPr>
        <w:tc>
          <w:tcPr>
            <w:tcW w:w="2088" w:type="dxa"/>
            <w:shd w:val="clear" w:color="auto" w:fill="auto"/>
            <w:noWrap/>
            <w:tcMar>
              <w:left w:w="0" w:type="dxa"/>
              <w:right w:w="115" w:type="dxa"/>
            </w:tcMar>
            <w:vAlign w:val="center"/>
            <w:hideMark/>
          </w:tcPr>
          <w:p w14:paraId="6BD700B5" w14:textId="77777777" w:rsidR="00101352" w:rsidRPr="004A2D5D" w:rsidRDefault="00101352" w:rsidP="005553E8">
            <w:pPr>
              <w:spacing w:line="240" w:lineRule="auto"/>
              <w:ind w:firstLine="0"/>
              <w:rPr>
                <w:color w:val="000000"/>
              </w:rPr>
            </w:pPr>
            <w:r w:rsidRPr="004A2D5D">
              <w:rPr>
                <w:color w:val="000000"/>
              </w:rPr>
              <w:t>501-1,000</w:t>
            </w:r>
          </w:p>
        </w:tc>
        <w:tc>
          <w:tcPr>
            <w:tcW w:w="1789" w:type="dxa"/>
            <w:shd w:val="clear" w:color="auto" w:fill="auto"/>
            <w:noWrap/>
            <w:tcMar>
              <w:left w:w="0" w:type="dxa"/>
              <w:right w:w="115" w:type="dxa"/>
            </w:tcMar>
            <w:vAlign w:val="center"/>
          </w:tcPr>
          <w:p w14:paraId="32431265" w14:textId="77777777" w:rsidR="00101352" w:rsidRPr="00DD11C7" w:rsidRDefault="00101352" w:rsidP="005553E8">
            <w:pPr>
              <w:jc w:val="right"/>
              <w:rPr>
                <w:color w:val="000000"/>
              </w:rPr>
            </w:pPr>
            <w:r w:rsidRPr="00DD11C7">
              <w:rPr>
                <w:color w:val="FF0000"/>
              </w:rPr>
              <w:t>($65.44)</w:t>
            </w:r>
          </w:p>
        </w:tc>
        <w:tc>
          <w:tcPr>
            <w:tcW w:w="1821" w:type="dxa"/>
            <w:shd w:val="clear" w:color="auto" w:fill="auto"/>
            <w:noWrap/>
            <w:tcMar>
              <w:left w:w="0" w:type="dxa"/>
              <w:right w:w="115" w:type="dxa"/>
            </w:tcMar>
            <w:vAlign w:val="center"/>
          </w:tcPr>
          <w:p w14:paraId="5225833C" w14:textId="77777777" w:rsidR="00101352" w:rsidRPr="00DD11C7" w:rsidRDefault="00101352" w:rsidP="005553E8">
            <w:pPr>
              <w:jc w:val="right"/>
              <w:rPr>
                <w:color w:val="000000"/>
              </w:rPr>
            </w:pPr>
            <w:r w:rsidRPr="00DD11C7">
              <w:rPr>
                <w:color w:val="FF0000"/>
              </w:rPr>
              <w:t>($50.11)</w:t>
            </w:r>
          </w:p>
        </w:tc>
        <w:tc>
          <w:tcPr>
            <w:tcW w:w="1821" w:type="dxa"/>
            <w:shd w:val="clear" w:color="auto" w:fill="auto"/>
            <w:noWrap/>
            <w:tcMar>
              <w:left w:w="0" w:type="dxa"/>
              <w:right w:w="115" w:type="dxa"/>
            </w:tcMar>
            <w:vAlign w:val="center"/>
          </w:tcPr>
          <w:p w14:paraId="042866C6" w14:textId="77777777" w:rsidR="00101352" w:rsidRPr="00DD11C7" w:rsidRDefault="00101352" w:rsidP="005553E8">
            <w:pPr>
              <w:jc w:val="right"/>
              <w:rPr>
                <w:color w:val="000000"/>
              </w:rPr>
            </w:pPr>
            <w:r w:rsidRPr="00DD11C7">
              <w:rPr>
                <w:color w:val="FF0000"/>
              </w:rPr>
              <w:t>($17.06)</w:t>
            </w:r>
          </w:p>
        </w:tc>
        <w:tc>
          <w:tcPr>
            <w:tcW w:w="1821" w:type="dxa"/>
            <w:shd w:val="clear" w:color="auto" w:fill="auto"/>
            <w:noWrap/>
            <w:tcMar>
              <w:left w:w="0" w:type="dxa"/>
              <w:right w:w="115" w:type="dxa"/>
            </w:tcMar>
            <w:vAlign w:val="center"/>
          </w:tcPr>
          <w:p w14:paraId="1CFB6278" w14:textId="77777777" w:rsidR="00101352" w:rsidRPr="00DD11C7" w:rsidRDefault="00101352" w:rsidP="005553E8">
            <w:pPr>
              <w:jc w:val="right"/>
              <w:rPr>
                <w:color w:val="000000"/>
              </w:rPr>
            </w:pPr>
            <w:r w:rsidRPr="00DD11C7">
              <w:rPr>
                <w:color w:val="FF0000"/>
              </w:rPr>
              <w:t>($28.21)</w:t>
            </w:r>
          </w:p>
        </w:tc>
      </w:tr>
      <w:tr w:rsidR="00101352" w:rsidRPr="00DD11C7" w14:paraId="569631A0" w14:textId="77777777" w:rsidTr="005553E8">
        <w:trPr>
          <w:trHeight w:hRule="exact" w:val="346"/>
        </w:trPr>
        <w:tc>
          <w:tcPr>
            <w:tcW w:w="2088" w:type="dxa"/>
            <w:shd w:val="clear" w:color="auto" w:fill="auto"/>
            <w:noWrap/>
            <w:tcMar>
              <w:left w:w="0" w:type="dxa"/>
              <w:right w:w="115" w:type="dxa"/>
            </w:tcMar>
            <w:vAlign w:val="center"/>
            <w:hideMark/>
          </w:tcPr>
          <w:p w14:paraId="7B72D77D" w14:textId="77777777" w:rsidR="00101352" w:rsidRPr="004A2D5D" w:rsidRDefault="00101352" w:rsidP="005553E8">
            <w:pPr>
              <w:spacing w:line="240" w:lineRule="auto"/>
              <w:ind w:firstLine="0"/>
              <w:rPr>
                <w:color w:val="000000"/>
              </w:rPr>
            </w:pPr>
            <w:r w:rsidRPr="004A2D5D">
              <w:rPr>
                <w:color w:val="000000"/>
              </w:rPr>
              <w:t>1,001-3,300</w:t>
            </w:r>
          </w:p>
        </w:tc>
        <w:tc>
          <w:tcPr>
            <w:tcW w:w="1789" w:type="dxa"/>
            <w:shd w:val="clear" w:color="auto" w:fill="auto"/>
            <w:noWrap/>
            <w:tcMar>
              <w:left w:w="0" w:type="dxa"/>
              <w:right w:w="115" w:type="dxa"/>
            </w:tcMar>
            <w:vAlign w:val="center"/>
          </w:tcPr>
          <w:p w14:paraId="7FC1E119" w14:textId="77777777" w:rsidR="00101352" w:rsidRPr="00DD11C7" w:rsidRDefault="00101352" w:rsidP="005553E8">
            <w:pPr>
              <w:jc w:val="right"/>
              <w:rPr>
                <w:color w:val="000000"/>
              </w:rPr>
            </w:pPr>
            <w:r w:rsidRPr="00DD11C7">
              <w:rPr>
                <w:color w:val="FF0000"/>
              </w:rPr>
              <w:t>($54.39)</w:t>
            </w:r>
          </w:p>
        </w:tc>
        <w:tc>
          <w:tcPr>
            <w:tcW w:w="1821" w:type="dxa"/>
            <w:shd w:val="clear" w:color="auto" w:fill="auto"/>
            <w:noWrap/>
            <w:tcMar>
              <w:left w:w="0" w:type="dxa"/>
              <w:right w:w="115" w:type="dxa"/>
            </w:tcMar>
            <w:vAlign w:val="center"/>
          </w:tcPr>
          <w:p w14:paraId="4BE584AD" w14:textId="77777777" w:rsidR="00101352" w:rsidRPr="00DD11C7" w:rsidRDefault="00101352" w:rsidP="005553E8">
            <w:pPr>
              <w:jc w:val="right"/>
              <w:rPr>
                <w:color w:val="000000"/>
              </w:rPr>
            </w:pPr>
            <w:r w:rsidRPr="00DD11C7">
              <w:rPr>
                <w:color w:val="FF0000"/>
              </w:rPr>
              <w:t>($38.94)</w:t>
            </w:r>
          </w:p>
        </w:tc>
        <w:tc>
          <w:tcPr>
            <w:tcW w:w="1821" w:type="dxa"/>
            <w:shd w:val="clear" w:color="auto" w:fill="auto"/>
            <w:noWrap/>
            <w:tcMar>
              <w:left w:w="0" w:type="dxa"/>
              <w:right w:w="115" w:type="dxa"/>
            </w:tcMar>
            <w:vAlign w:val="center"/>
          </w:tcPr>
          <w:p w14:paraId="3F1FBFC8" w14:textId="77777777" w:rsidR="00101352" w:rsidRPr="00DD11C7" w:rsidRDefault="00101352" w:rsidP="005553E8">
            <w:pPr>
              <w:jc w:val="right"/>
              <w:rPr>
                <w:color w:val="000000"/>
              </w:rPr>
            </w:pPr>
            <w:r w:rsidRPr="00DD11C7">
              <w:rPr>
                <w:color w:val="FF0000"/>
              </w:rPr>
              <w:t>($4.58)</w:t>
            </w:r>
          </w:p>
        </w:tc>
        <w:tc>
          <w:tcPr>
            <w:tcW w:w="1821" w:type="dxa"/>
            <w:shd w:val="clear" w:color="auto" w:fill="auto"/>
            <w:noWrap/>
            <w:tcMar>
              <w:left w:w="0" w:type="dxa"/>
              <w:right w:w="115" w:type="dxa"/>
            </w:tcMar>
            <w:vAlign w:val="center"/>
          </w:tcPr>
          <w:p w14:paraId="400D3AD1" w14:textId="77777777" w:rsidR="00101352" w:rsidRPr="00DD11C7" w:rsidRDefault="00101352" w:rsidP="005553E8">
            <w:pPr>
              <w:jc w:val="right"/>
              <w:rPr>
                <w:color w:val="000000"/>
              </w:rPr>
            </w:pPr>
            <w:r w:rsidRPr="00DD11C7">
              <w:rPr>
                <w:color w:val="FF0000"/>
              </w:rPr>
              <w:t>($14.33)</w:t>
            </w:r>
          </w:p>
        </w:tc>
      </w:tr>
      <w:tr w:rsidR="00101352" w:rsidRPr="00DD11C7" w14:paraId="1660B75E" w14:textId="77777777" w:rsidTr="005553E8">
        <w:trPr>
          <w:trHeight w:hRule="exact" w:val="346"/>
        </w:trPr>
        <w:tc>
          <w:tcPr>
            <w:tcW w:w="2088" w:type="dxa"/>
            <w:shd w:val="clear" w:color="auto" w:fill="auto"/>
            <w:noWrap/>
            <w:tcMar>
              <w:left w:w="0" w:type="dxa"/>
              <w:right w:w="115" w:type="dxa"/>
            </w:tcMar>
            <w:vAlign w:val="center"/>
            <w:hideMark/>
          </w:tcPr>
          <w:p w14:paraId="5AFAAED3" w14:textId="77777777" w:rsidR="00101352" w:rsidRPr="004A2D5D" w:rsidRDefault="00101352" w:rsidP="005553E8">
            <w:pPr>
              <w:spacing w:line="240" w:lineRule="auto"/>
              <w:ind w:firstLine="0"/>
              <w:rPr>
                <w:color w:val="000000"/>
              </w:rPr>
            </w:pPr>
            <w:r w:rsidRPr="004A2D5D">
              <w:rPr>
                <w:color w:val="000000"/>
              </w:rPr>
              <w:t>3,301-10,000</w:t>
            </w:r>
          </w:p>
        </w:tc>
        <w:tc>
          <w:tcPr>
            <w:tcW w:w="1789" w:type="dxa"/>
            <w:shd w:val="clear" w:color="auto" w:fill="auto"/>
            <w:noWrap/>
            <w:tcMar>
              <w:left w:w="0" w:type="dxa"/>
              <w:right w:w="115" w:type="dxa"/>
            </w:tcMar>
            <w:vAlign w:val="center"/>
          </w:tcPr>
          <w:p w14:paraId="5E11BD7A" w14:textId="77777777" w:rsidR="00101352" w:rsidRPr="00DD11C7" w:rsidRDefault="00101352" w:rsidP="005553E8">
            <w:pPr>
              <w:jc w:val="right"/>
              <w:rPr>
                <w:color w:val="000000"/>
              </w:rPr>
            </w:pPr>
            <w:r w:rsidRPr="00DD11C7">
              <w:rPr>
                <w:color w:val="FF0000"/>
              </w:rPr>
              <w:t>($33.47)</w:t>
            </w:r>
          </w:p>
        </w:tc>
        <w:tc>
          <w:tcPr>
            <w:tcW w:w="1821" w:type="dxa"/>
            <w:shd w:val="clear" w:color="auto" w:fill="auto"/>
            <w:noWrap/>
            <w:tcMar>
              <w:left w:w="0" w:type="dxa"/>
              <w:right w:w="115" w:type="dxa"/>
            </w:tcMar>
            <w:vAlign w:val="center"/>
          </w:tcPr>
          <w:p w14:paraId="699ECF94" w14:textId="77777777" w:rsidR="00101352" w:rsidRPr="00DD11C7" w:rsidRDefault="00101352" w:rsidP="005553E8">
            <w:pPr>
              <w:jc w:val="right"/>
              <w:rPr>
                <w:color w:val="000000"/>
              </w:rPr>
            </w:pPr>
            <w:r w:rsidRPr="00DD11C7">
              <w:rPr>
                <w:color w:val="FF0000"/>
              </w:rPr>
              <w:t>($17.18)</w:t>
            </w:r>
          </w:p>
        </w:tc>
        <w:tc>
          <w:tcPr>
            <w:tcW w:w="1821" w:type="dxa"/>
            <w:shd w:val="clear" w:color="auto" w:fill="auto"/>
            <w:noWrap/>
            <w:tcMar>
              <w:left w:w="0" w:type="dxa"/>
              <w:right w:w="115" w:type="dxa"/>
            </w:tcMar>
            <w:vAlign w:val="center"/>
          </w:tcPr>
          <w:p w14:paraId="0C8E4DF1" w14:textId="77777777" w:rsidR="00101352" w:rsidRPr="00DD11C7" w:rsidRDefault="00101352" w:rsidP="005553E8">
            <w:pPr>
              <w:jc w:val="right"/>
              <w:rPr>
                <w:color w:val="000000"/>
              </w:rPr>
            </w:pPr>
            <w:r w:rsidRPr="00DD11C7">
              <w:rPr>
                <w:color w:val="000000"/>
              </w:rPr>
              <w:t xml:space="preserve">$15.95 </w:t>
            </w:r>
          </w:p>
        </w:tc>
        <w:tc>
          <w:tcPr>
            <w:tcW w:w="1821" w:type="dxa"/>
            <w:shd w:val="clear" w:color="auto" w:fill="auto"/>
            <w:noWrap/>
            <w:tcMar>
              <w:left w:w="0" w:type="dxa"/>
              <w:right w:w="115" w:type="dxa"/>
            </w:tcMar>
            <w:vAlign w:val="center"/>
          </w:tcPr>
          <w:p w14:paraId="4A50BC9D" w14:textId="77777777" w:rsidR="00101352" w:rsidRPr="00DD11C7" w:rsidRDefault="00101352" w:rsidP="005553E8">
            <w:pPr>
              <w:jc w:val="right"/>
              <w:rPr>
                <w:color w:val="000000"/>
              </w:rPr>
            </w:pPr>
            <w:r w:rsidRPr="00DD11C7">
              <w:rPr>
                <w:color w:val="000000"/>
              </w:rPr>
              <w:t xml:space="preserve">$5.40 </w:t>
            </w:r>
          </w:p>
        </w:tc>
      </w:tr>
      <w:tr w:rsidR="00101352" w:rsidRPr="00DD11C7" w14:paraId="0772FFE6" w14:textId="77777777" w:rsidTr="005553E8">
        <w:trPr>
          <w:trHeight w:hRule="exact" w:val="346"/>
        </w:trPr>
        <w:tc>
          <w:tcPr>
            <w:tcW w:w="2088" w:type="dxa"/>
            <w:shd w:val="clear" w:color="auto" w:fill="auto"/>
            <w:noWrap/>
            <w:tcMar>
              <w:left w:w="0" w:type="dxa"/>
              <w:right w:w="115" w:type="dxa"/>
            </w:tcMar>
            <w:vAlign w:val="center"/>
            <w:hideMark/>
          </w:tcPr>
          <w:p w14:paraId="17674CF2" w14:textId="77777777" w:rsidR="00101352" w:rsidRPr="004A2D5D" w:rsidRDefault="00101352" w:rsidP="005553E8">
            <w:pPr>
              <w:spacing w:line="240" w:lineRule="auto"/>
              <w:ind w:firstLine="0"/>
              <w:rPr>
                <w:color w:val="000000"/>
              </w:rPr>
            </w:pPr>
            <w:r w:rsidRPr="004A2D5D">
              <w:rPr>
                <w:color w:val="000000"/>
              </w:rPr>
              <w:t>10,001-50,000</w:t>
            </w:r>
          </w:p>
        </w:tc>
        <w:tc>
          <w:tcPr>
            <w:tcW w:w="1789" w:type="dxa"/>
            <w:shd w:val="clear" w:color="auto" w:fill="auto"/>
            <w:noWrap/>
            <w:tcMar>
              <w:left w:w="0" w:type="dxa"/>
              <w:right w:w="115" w:type="dxa"/>
            </w:tcMar>
            <w:vAlign w:val="center"/>
          </w:tcPr>
          <w:p w14:paraId="70FF9170" w14:textId="77777777" w:rsidR="00101352" w:rsidRPr="00DD11C7" w:rsidRDefault="00101352" w:rsidP="005553E8">
            <w:pPr>
              <w:jc w:val="right"/>
              <w:rPr>
                <w:color w:val="000000"/>
              </w:rPr>
            </w:pPr>
            <w:r w:rsidRPr="00DD11C7">
              <w:rPr>
                <w:color w:val="FF0000"/>
              </w:rPr>
              <w:t>($29.03)</w:t>
            </w:r>
          </w:p>
        </w:tc>
        <w:tc>
          <w:tcPr>
            <w:tcW w:w="1821" w:type="dxa"/>
            <w:shd w:val="clear" w:color="auto" w:fill="auto"/>
            <w:noWrap/>
            <w:tcMar>
              <w:left w:w="0" w:type="dxa"/>
              <w:right w:w="115" w:type="dxa"/>
            </w:tcMar>
            <w:vAlign w:val="center"/>
          </w:tcPr>
          <w:p w14:paraId="177B785E" w14:textId="77777777" w:rsidR="00101352" w:rsidRPr="00DD11C7" w:rsidRDefault="00101352" w:rsidP="005553E8">
            <w:pPr>
              <w:jc w:val="right"/>
              <w:rPr>
                <w:color w:val="000000"/>
              </w:rPr>
            </w:pPr>
            <w:r w:rsidRPr="00DD11C7">
              <w:rPr>
                <w:color w:val="FF0000"/>
              </w:rPr>
              <w:t>($13.07)</w:t>
            </w:r>
          </w:p>
        </w:tc>
        <w:tc>
          <w:tcPr>
            <w:tcW w:w="1821" w:type="dxa"/>
            <w:shd w:val="clear" w:color="auto" w:fill="auto"/>
            <w:noWrap/>
            <w:tcMar>
              <w:left w:w="0" w:type="dxa"/>
              <w:right w:w="115" w:type="dxa"/>
            </w:tcMar>
            <w:vAlign w:val="center"/>
          </w:tcPr>
          <w:p w14:paraId="76C5593B" w14:textId="77777777" w:rsidR="00101352" w:rsidRPr="00DD11C7" w:rsidRDefault="00101352" w:rsidP="005553E8">
            <w:pPr>
              <w:jc w:val="right"/>
              <w:rPr>
                <w:color w:val="000000"/>
              </w:rPr>
            </w:pPr>
            <w:r w:rsidRPr="00DD11C7">
              <w:rPr>
                <w:color w:val="000000"/>
              </w:rPr>
              <w:t xml:space="preserve">$21.29 </w:t>
            </w:r>
          </w:p>
        </w:tc>
        <w:tc>
          <w:tcPr>
            <w:tcW w:w="1821" w:type="dxa"/>
            <w:shd w:val="clear" w:color="auto" w:fill="auto"/>
            <w:noWrap/>
            <w:tcMar>
              <w:left w:w="0" w:type="dxa"/>
              <w:right w:w="115" w:type="dxa"/>
            </w:tcMar>
            <w:vAlign w:val="center"/>
          </w:tcPr>
          <w:p w14:paraId="0BFD1749" w14:textId="77777777" w:rsidR="00101352" w:rsidRPr="00DD11C7" w:rsidRDefault="00101352" w:rsidP="005553E8">
            <w:pPr>
              <w:jc w:val="right"/>
              <w:rPr>
                <w:color w:val="000000"/>
              </w:rPr>
            </w:pPr>
            <w:r w:rsidRPr="00DD11C7">
              <w:rPr>
                <w:color w:val="000000"/>
              </w:rPr>
              <w:t xml:space="preserve">$10.98 </w:t>
            </w:r>
          </w:p>
        </w:tc>
      </w:tr>
      <w:tr w:rsidR="00101352" w:rsidRPr="00DD11C7" w14:paraId="48B12100" w14:textId="77777777" w:rsidTr="005553E8">
        <w:trPr>
          <w:trHeight w:hRule="exact" w:val="346"/>
        </w:trPr>
        <w:tc>
          <w:tcPr>
            <w:tcW w:w="2088" w:type="dxa"/>
            <w:shd w:val="clear" w:color="auto" w:fill="auto"/>
            <w:noWrap/>
            <w:tcMar>
              <w:left w:w="0" w:type="dxa"/>
              <w:right w:w="115" w:type="dxa"/>
            </w:tcMar>
            <w:vAlign w:val="center"/>
            <w:hideMark/>
          </w:tcPr>
          <w:p w14:paraId="61CFCCC1" w14:textId="77777777" w:rsidR="00101352" w:rsidRPr="004A2D5D" w:rsidRDefault="00101352" w:rsidP="005553E8">
            <w:pPr>
              <w:spacing w:line="240" w:lineRule="auto"/>
              <w:ind w:firstLine="0"/>
              <w:rPr>
                <w:color w:val="000000"/>
              </w:rPr>
            </w:pPr>
            <w:r w:rsidRPr="004A2D5D">
              <w:rPr>
                <w:color w:val="000000"/>
              </w:rPr>
              <w:t>50,001-100,000</w:t>
            </w:r>
          </w:p>
        </w:tc>
        <w:tc>
          <w:tcPr>
            <w:tcW w:w="1789" w:type="dxa"/>
            <w:shd w:val="clear" w:color="auto" w:fill="auto"/>
            <w:noWrap/>
            <w:tcMar>
              <w:left w:w="0" w:type="dxa"/>
              <w:right w:w="115" w:type="dxa"/>
            </w:tcMar>
            <w:vAlign w:val="center"/>
          </w:tcPr>
          <w:p w14:paraId="7BEEFCC6" w14:textId="77777777" w:rsidR="00101352" w:rsidRPr="00DD11C7" w:rsidRDefault="00101352" w:rsidP="005553E8">
            <w:pPr>
              <w:jc w:val="right"/>
              <w:rPr>
                <w:color w:val="000000"/>
              </w:rPr>
            </w:pPr>
            <w:r w:rsidRPr="00DD11C7">
              <w:rPr>
                <w:color w:val="FF0000"/>
              </w:rPr>
              <w:t>($22.26)</w:t>
            </w:r>
          </w:p>
        </w:tc>
        <w:tc>
          <w:tcPr>
            <w:tcW w:w="1821" w:type="dxa"/>
            <w:shd w:val="clear" w:color="auto" w:fill="auto"/>
            <w:noWrap/>
            <w:tcMar>
              <w:left w:w="0" w:type="dxa"/>
              <w:right w:w="115" w:type="dxa"/>
            </w:tcMar>
            <w:vAlign w:val="center"/>
          </w:tcPr>
          <w:p w14:paraId="1A643104" w14:textId="77777777" w:rsidR="00101352" w:rsidRPr="00DD11C7" w:rsidRDefault="00101352" w:rsidP="005553E8">
            <w:pPr>
              <w:jc w:val="right"/>
              <w:rPr>
                <w:color w:val="000000"/>
              </w:rPr>
            </w:pPr>
            <w:r w:rsidRPr="00DD11C7">
              <w:rPr>
                <w:color w:val="FF0000"/>
              </w:rPr>
              <w:t>($6.45)</w:t>
            </w:r>
          </w:p>
        </w:tc>
        <w:tc>
          <w:tcPr>
            <w:tcW w:w="1821" w:type="dxa"/>
            <w:shd w:val="clear" w:color="auto" w:fill="auto"/>
            <w:noWrap/>
            <w:tcMar>
              <w:left w:w="0" w:type="dxa"/>
              <w:right w:w="115" w:type="dxa"/>
            </w:tcMar>
            <w:vAlign w:val="center"/>
          </w:tcPr>
          <w:p w14:paraId="10B92E50" w14:textId="77777777" w:rsidR="00101352" w:rsidRPr="00DD11C7" w:rsidRDefault="00101352" w:rsidP="005553E8">
            <w:pPr>
              <w:jc w:val="right"/>
              <w:rPr>
                <w:color w:val="000000"/>
              </w:rPr>
            </w:pPr>
            <w:r w:rsidRPr="00DD11C7">
              <w:rPr>
                <w:color w:val="000000"/>
              </w:rPr>
              <w:t xml:space="preserve">$28.85 </w:t>
            </w:r>
          </w:p>
        </w:tc>
        <w:tc>
          <w:tcPr>
            <w:tcW w:w="1821" w:type="dxa"/>
            <w:shd w:val="clear" w:color="auto" w:fill="auto"/>
            <w:noWrap/>
            <w:tcMar>
              <w:left w:w="0" w:type="dxa"/>
              <w:right w:w="115" w:type="dxa"/>
            </w:tcMar>
            <w:vAlign w:val="center"/>
          </w:tcPr>
          <w:p w14:paraId="2B326DF5" w14:textId="77777777" w:rsidR="00101352" w:rsidRPr="00DD11C7" w:rsidRDefault="00101352" w:rsidP="005553E8">
            <w:pPr>
              <w:jc w:val="right"/>
              <w:rPr>
                <w:color w:val="000000"/>
              </w:rPr>
            </w:pPr>
            <w:r w:rsidRPr="00DD11C7">
              <w:rPr>
                <w:color w:val="000000"/>
              </w:rPr>
              <w:t xml:space="preserve">$17.40 </w:t>
            </w:r>
          </w:p>
        </w:tc>
      </w:tr>
      <w:tr w:rsidR="00101352" w:rsidRPr="00DD11C7" w14:paraId="58C70C1D" w14:textId="77777777" w:rsidTr="005553E8">
        <w:trPr>
          <w:trHeight w:hRule="exact" w:val="346"/>
        </w:trPr>
        <w:tc>
          <w:tcPr>
            <w:tcW w:w="2088" w:type="dxa"/>
            <w:shd w:val="clear" w:color="auto" w:fill="auto"/>
            <w:noWrap/>
            <w:tcMar>
              <w:left w:w="0" w:type="dxa"/>
              <w:right w:w="115" w:type="dxa"/>
            </w:tcMar>
            <w:vAlign w:val="center"/>
            <w:hideMark/>
          </w:tcPr>
          <w:p w14:paraId="4E4BE467" w14:textId="77777777" w:rsidR="00101352" w:rsidRPr="004A2D5D" w:rsidRDefault="00101352" w:rsidP="005553E8">
            <w:pPr>
              <w:spacing w:line="240" w:lineRule="auto"/>
              <w:ind w:firstLine="0"/>
              <w:rPr>
                <w:color w:val="000000"/>
              </w:rPr>
            </w:pPr>
            <w:r w:rsidRPr="004A2D5D">
              <w:rPr>
                <w:color w:val="000000"/>
              </w:rPr>
              <w:t>100,001-1,000,000</w:t>
            </w:r>
          </w:p>
        </w:tc>
        <w:tc>
          <w:tcPr>
            <w:tcW w:w="1789" w:type="dxa"/>
            <w:shd w:val="clear" w:color="auto" w:fill="auto"/>
            <w:noWrap/>
            <w:tcMar>
              <w:left w:w="0" w:type="dxa"/>
              <w:right w:w="115" w:type="dxa"/>
            </w:tcMar>
            <w:vAlign w:val="center"/>
          </w:tcPr>
          <w:p w14:paraId="5086105E" w14:textId="77777777" w:rsidR="00101352" w:rsidRPr="00DD11C7" w:rsidRDefault="00101352" w:rsidP="005553E8">
            <w:pPr>
              <w:jc w:val="right"/>
              <w:rPr>
                <w:color w:val="000000"/>
              </w:rPr>
            </w:pPr>
            <w:r w:rsidRPr="00DD11C7">
              <w:rPr>
                <w:color w:val="FF0000"/>
              </w:rPr>
              <w:t>($14.92)</w:t>
            </w:r>
          </w:p>
        </w:tc>
        <w:tc>
          <w:tcPr>
            <w:tcW w:w="1821" w:type="dxa"/>
            <w:shd w:val="clear" w:color="auto" w:fill="auto"/>
            <w:noWrap/>
            <w:tcMar>
              <w:left w:w="0" w:type="dxa"/>
              <w:right w:w="115" w:type="dxa"/>
            </w:tcMar>
            <w:vAlign w:val="center"/>
          </w:tcPr>
          <w:p w14:paraId="422ED4E5" w14:textId="77777777" w:rsidR="00101352" w:rsidRPr="00DD11C7" w:rsidRDefault="00101352" w:rsidP="005553E8">
            <w:pPr>
              <w:jc w:val="right"/>
              <w:rPr>
                <w:color w:val="000000"/>
              </w:rPr>
            </w:pPr>
            <w:r w:rsidRPr="00DD11C7">
              <w:rPr>
                <w:color w:val="FF0000"/>
              </w:rPr>
              <w:t>($0.34)</w:t>
            </w:r>
          </w:p>
        </w:tc>
        <w:tc>
          <w:tcPr>
            <w:tcW w:w="1821" w:type="dxa"/>
            <w:shd w:val="clear" w:color="auto" w:fill="auto"/>
            <w:noWrap/>
            <w:tcMar>
              <w:left w:w="0" w:type="dxa"/>
              <w:right w:w="115" w:type="dxa"/>
            </w:tcMar>
            <w:vAlign w:val="center"/>
          </w:tcPr>
          <w:p w14:paraId="19AA1A81" w14:textId="77777777" w:rsidR="00101352" w:rsidRPr="00DD11C7" w:rsidRDefault="00101352" w:rsidP="005553E8">
            <w:pPr>
              <w:jc w:val="right"/>
              <w:rPr>
                <w:color w:val="000000"/>
              </w:rPr>
            </w:pPr>
            <w:r w:rsidRPr="00DD11C7">
              <w:rPr>
                <w:color w:val="000000"/>
              </w:rPr>
              <w:t xml:space="preserve">$33.14 </w:t>
            </w:r>
          </w:p>
        </w:tc>
        <w:tc>
          <w:tcPr>
            <w:tcW w:w="1821" w:type="dxa"/>
            <w:shd w:val="clear" w:color="auto" w:fill="auto"/>
            <w:noWrap/>
            <w:tcMar>
              <w:left w:w="0" w:type="dxa"/>
              <w:right w:w="115" w:type="dxa"/>
            </w:tcMar>
            <w:vAlign w:val="center"/>
          </w:tcPr>
          <w:p w14:paraId="2DC77B04" w14:textId="77777777" w:rsidR="00101352" w:rsidRPr="00DD11C7" w:rsidRDefault="00101352" w:rsidP="005553E8">
            <w:pPr>
              <w:jc w:val="right"/>
              <w:rPr>
                <w:color w:val="000000"/>
              </w:rPr>
            </w:pPr>
            <w:r w:rsidRPr="00DD11C7">
              <w:rPr>
                <w:color w:val="000000"/>
              </w:rPr>
              <w:t xml:space="preserve">$20.77 </w:t>
            </w:r>
          </w:p>
        </w:tc>
      </w:tr>
      <w:tr w:rsidR="00101352" w:rsidRPr="00DD11C7" w14:paraId="681B23D9" w14:textId="77777777" w:rsidTr="005553E8">
        <w:trPr>
          <w:trHeight w:hRule="exact" w:val="346"/>
        </w:trPr>
        <w:tc>
          <w:tcPr>
            <w:tcW w:w="2088" w:type="dxa"/>
            <w:tcBorders>
              <w:bottom w:val="double" w:sz="4" w:space="0" w:color="auto"/>
            </w:tcBorders>
            <w:shd w:val="clear" w:color="auto" w:fill="auto"/>
            <w:noWrap/>
            <w:tcMar>
              <w:left w:w="0" w:type="dxa"/>
              <w:right w:w="115" w:type="dxa"/>
            </w:tcMar>
            <w:vAlign w:val="center"/>
            <w:hideMark/>
          </w:tcPr>
          <w:p w14:paraId="67288F32" w14:textId="77777777" w:rsidR="00101352" w:rsidRPr="004A2D5D" w:rsidRDefault="00101352" w:rsidP="005553E8">
            <w:pPr>
              <w:spacing w:line="240" w:lineRule="auto"/>
              <w:ind w:firstLine="0"/>
              <w:rPr>
                <w:color w:val="000000"/>
              </w:rPr>
            </w:pPr>
            <w:r w:rsidRPr="004A2D5D">
              <w:rPr>
                <w:color w:val="000000"/>
              </w:rPr>
              <w:t>&gt; 1,000,000</w:t>
            </w:r>
          </w:p>
        </w:tc>
        <w:tc>
          <w:tcPr>
            <w:tcW w:w="1789" w:type="dxa"/>
            <w:tcBorders>
              <w:bottom w:val="double" w:sz="4" w:space="0" w:color="auto"/>
            </w:tcBorders>
            <w:shd w:val="clear" w:color="auto" w:fill="auto"/>
            <w:noWrap/>
            <w:tcMar>
              <w:left w:w="0" w:type="dxa"/>
              <w:right w:w="115" w:type="dxa"/>
            </w:tcMar>
            <w:vAlign w:val="center"/>
          </w:tcPr>
          <w:p w14:paraId="1A0A6920" w14:textId="77777777" w:rsidR="00101352" w:rsidRPr="00DD11C7" w:rsidRDefault="00101352" w:rsidP="005553E8">
            <w:pPr>
              <w:jc w:val="right"/>
              <w:rPr>
                <w:color w:val="000000"/>
              </w:rPr>
            </w:pPr>
            <w:r w:rsidRPr="00DD11C7">
              <w:rPr>
                <w:color w:val="000000"/>
              </w:rPr>
              <w:t xml:space="preserve">$1.96 </w:t>
            </w:r>
          </w:p>
        </w:tc>
        <w:tc>
          <w:tcPr>
            <w:tcW w:w="1821" w:type="dxa"/>
            <w:tcBorders>
              <w:bottom w:val="double" w:sz="4" w:space="0" w:color="auto"/>
            </w:tcBorders>
            <w:shd w:val="clear" w:color="auto" w:fill="auto"/>
            <w:noWrap/>
            <w:tcMar>
              <w:left w:w="0" w:type="dxa"/>
              <w:right w:w="115" w:type="dxa"/>
            </w:tcMar>
            <w:vAlign w:val="center"/>
          </w:tcPr>
          <w:p w14:paraId="1C6FC30C" w14:textId="77777777" w:rsidR="00101352" w:rsidRPr="00DD11C7" w:rsidRDefault="00101352" w:rsidP="005553E8">
            <w:pPr>
              <w:jc w:val="right"/>
              <w:rPr>
                <w:color w:val="000000"/>
              </w:rPr>
            </w:pPr>
            <w:r w:rsidRPr="00DD11C7">
              <w:rPr>
                <w:color w:val="000000"/>
              </w:rPr>
              <w:t xml:space="preserve">$20.21 </w:t>
            </w:r>
          </w:p>
        </w:tc>
        <w:tc>
          <w:tcPr>
            <w:tcW w:w="1821" w:type="dxa"/>
            <w:tcBorders>
              <w:bottom w:val="double" w:sz="4" w:space="0" w:color="auto"/>
            </w:tcBorders>
            <w:shd w:val="clear" w:color="auto" w:fill="auto"/>
            <w:noWrap/>
            <w:tcMar>
              <w:left w:w="0" w:type="dxa"/>
              <w:right w:w="115" w:type="dxa"/>
            </w:tcMar>
            <w:vAlign w:val="center"/>
          </w:tcPr>
          <w:p w14:paraId="069A75B6" w14:textId="77777777" w:rsidR="00101352" w:rsidRPr="00DD11C7" w:rsidRDefault="00101352" w:rsidP="005553E8">
            <w:pPr>
              <w:jc w:val="right"/>
              <w:rPr>
                <w:color w:val="000000"/>
              </w:rPr>
            </w:pPr>
            <w:r w:rsidRPr="00DD11C7">
              <w:rPr>
                <w:color w:val="000000"/>
              </w:rPr>
              <w:t xml:space="preserve">$52.80 </w:t>
            </w:r>
          </w:p>
        </w:tc>
        <w:tc>
          <w:tcPr>
            <w:tcW w:w="1821" w:type="dxa"/>
            <w:tcBorders>
              <w:bottom w:val="double" w:sz="4" w:space="0" w:color="auto"/>
            </w:tcBorders>
            <w:shd w:val="clear" w:color="auto" w:fill="auto"/>
            <w:noWrap/>
            <w:tcMar>
              <w:left w:w="0" w:type="dxa"/>
              <w:right w:w="115" w:type="dxa"/>
            </w:tcMar>
            <w:vAlign w:val="center"/>
          </w:tcPr>
          <w:p w14:paraId="6EA26C21" w14:textId="77777777" w:rsidR="00101352" w:rsidRPr="00DD11C7" w:rsidRDefault="00101352" w:rsidP="005553E8">
            <w:pPr>
              <w:jc w:val="right"/>
              <w:rPr>
                <w:color w:val="000000"/>
              </w:rPr>
            </w:pPr>
            <w:r w:rsidRPr="00DD11C7">
              <w:rPr>
                <w:color w:val="000000"/>
              </w:rPr>
              <w:t xml:space="preserve">$39.88 </w:t>
            </w:r>
          </w:p>
        </w:tc>
      </w:tr>
      <w:tr w:rsidR="00101352" w:rsidRPr="00DD11C7" w14:paraId="1DE2C94F" w14:textId="77777777" w:rsidTr="005553E8">
        <w:trPr>
          <w:trHeight w:val="340"/>
        </w:trPr>
        <w:tc>
          <w:tcPr>
            <w:tcW w:w="9340" w:type="dxa"/>
            <w:gridSpan w:val="5"/>
            <w:tcBorders>
              <w:top w:val="double" w:sz="4" w:space="0" w:color="auto"/>
              <w:bottom w:val="double" w:sz="4" w:space="0" w:color="auto"/>
            </w:tcBorders>
            <w:shd w:val="clear" w:color="auto" w:fill="auto"/>
            <w:noWrap/>
            <w:tcMar>
              <w:left w:w="0" w:type="dxa"/>
              <w:right w:w="115" w:type="dxa"/>
            </w:tcMar>
            <w:vAlign w:val="center"/>
          </w:tcPr>
          <w:p w14:paraId="743B3164" w14:textId="77777777" w:rsidR="00101352" w:rsidRPr="00DD11C7" w:rsidRDefault="00101352" w:rsidP="005553E8">
            <w:pPr>
              <w:spacing w:line="240" w:lineRule="auto"/>
              <w:ind w:firstLine="0"/>
              <w:jc w:val="center"/>
              <w:rPr>
                <w:i/>
                <w:color w:val="000000"/>
              </w:rPr>
            </w:pPr>
            <w:r w:rsidRPr="00DD11C7">
              <w:rPr>
                <w:i/>
                <w:color w:val="000000"/>
              </w:rPr>
              <w:t>Household Size = 5</w:t>
            </w:r>
          </w:p>
        </w:tc>
      </w:tr>
      <w:tr w:rsidR="00101352" w:rsidRPr="00DD11C7" w14:paraId="6B675FF4" w14:textId="77777777" w:rsidTr="005553E8">
        <w:trPr>
          <w:trHeight w:hRule="exact" w:val="346"/>
        </w:trPr>
        <w:tc>
          <w:tcPr>
            <w:tcW w:w="2088" w:type="dxa"/>
            <w:tcBorders>
              <w:top w:val="double" w:sz="4" w:space="0" w:color="auto"/>
            </w:tcBorders>
            <w:shd w:val="clear" w:color="auto" w:fill="auto"/>
            <w:noWrap/>
            <w:tcMar>
              <w:left w:w="0" w:type="dxa"/>
              <w:right w:w="115" w:type="dxa"/>
            </w:tcMar>
            <w:vAlign w:val="center"/>
          </w:tcPr>
          <w:p w14:paraId="20519878" w14:textId="77777777" w:rsidR="00101352" w:rsidRPr="004A2D5D" w:rsidRDefault="00101352" w:rsidP="005553E8">
            <w:pPr>
              <w:spacing w:line="240" w:lineRule="auto"/>
              <w:ind w:firstLine="0"/>
              <w:contextualSpacing/>
              <w:rPr>
                <w:color w:val="000000"/>
              </w:rPr>
            </w:pPr>
            <w:r w:rsidRPr="004A2D5D">
              <w:rPr>
                <w:color w:val="000000"/>
              </w:rPr>
              <w:t>&lt;100</w:t>
            </w:r>
          </w:p>
        </w:tc>
        <w:tc>
          <w:tcPr>
            <w:tcW w:w="1789" w:type="dxa"/>
            <w:tcBorders>
              <w:top w:val="double" w:sz="4" w:space="0" w:color="auto"/>
            </w:tcBorders>
            <w:shd w:val="clear" w:color="auto" w:fill="auto"/>
            <w:noWrap/>
            <w:tcMar>
              <w:left w:w="0" w:type="dxa"/>
              <w:right w:w="115" w:type="dxa"/>
            </w:tcMar>
            <w:vAlign w:val="center"/>
          </w:tcPr>
          <w:p w14:paraId="7552F2FB" w14:textId="77777777" w:rsidR="00101352" w:rsidRPr="00DD11C7" w:rsidRDefault="00101352" w:rsidP="005553E8">
            <w:pPr>
              <w:spacing w:line="240" w:lineRule="auto"/>
              <w:ind w:firstLine="0"/>
              <w:jc w:val="right"/>
              <w:rPr>
                <w:color w:val="000000"/>
              </w:rPr>
            </w:pPr>
            <w:r w:rsidRPr="00DD11C7">
              <w:rPr>
                <w:color w:val="FF0000"/>
              </w:rPr>
              <w:t>($301.39)</w:t>
            </w:r>
          </w:p>
        </w:tc>
        <w:tc>
          <w:tcPr>
            <w:tcW w:w="1821" w:type="dxa"/>
            <w:tcBorders>
              <w:top w:val="double" w:sz="4" w:space="0" w:color="auto"/>
            </w:tcBorders>
            <w:shd w:val="clear" w:color="auto" w:fill="auto"/>
            <w:noWrap/>
            <w:tcMar>
              <w:left w:w="0" w:type="dxa"/>
              <w:right w:w="115" w:type="dxa"/>
            </w:tcMar>
            <w:vAlign w:val="center"/>
          </w:tcPr>
          <w:p w14:paraId="0A407AA7" w14:textId="77777777" w:rsidR="00101352" w:rsidRPr="00DD11C7" w:rsidRDefault="00101352" w:rsidP="005553E8">
            <w:pPr>
              <w:jc w:val="right"/>
              <w:rPr>
                <w:color w:val="000000"/>
              </w:rPr>
            </w:pPr>
            <w:r w:rsidRPr="00DD11C7">
              <w:rPr>
                <w:color w:val="FF0000"/>
              </w:rPr>
              <w:t>($279.93)</w:t>
            </w:r>
          </w:p>
        </w:tc>
        <w:tc>
          <w:tcPr>
            <w:tcW w:w="1821" w:type="dxa"/>
            <w:tcBorders>
              <w:top w:val="double" w:sz="4" w:space="0" w:color="auto"/>
            </w:tcBorders>
            <w:shd w:val="clear" w:color="auto" w:fill="auto"/>
            <w:noWrap/>
            <w:tcMar>
              <w:left w:w="0" w:type="dxa"/>
              <w:right w:w="115" w:type="dxa"/>
            </w:tcMar>
            <w:vAlign w:val="center"/>
          </w:tcPr>
          <w:p w14:paraId="66AE08B2" w14:textId="77777777" w:rsidR="00101352" w:rsidRPr="00DD11C7" w:rsidRDefault="00101352" w:rsidP="005553E8">
            <w:pPr>
              <w:jc w:val="right"/>
              <w:rPr>
                <w:color w:val="000000"/>
              </w:rPr>
            </w:pPr>
            <w:r w:rsidRPr="00DD11C7">
              <w:rPr>
                <w:color w:val="FF0000"/>
              </w:rPr>
              <w:t>($237.39)</w:t>
            </w:r>
          </w:p>
        </w:tc>
        <w:tc>
          <w:tcPr>
            <w:tcW w:w="1821" w:type="dxa"/>
            <w:tcBorders>
              <w:top w:val="double" w:sz="4" w:space="0" w:color="auto"/>
            </w:tcBorders>
            <w:shd w:val="clear" w:color="auto" w:fill="auto"/>
            <w:noWrap/>
            <w:tcMar>
              <w:left w:w="0" w:type="dxa"/>
              <w:right w:w="115" w:type="dxa"/>
            </w:tcMar>
            <w:vAlign w:val="center"/>
          </w:tcPr>
          <w:p w14:paraId="3D907F10" w14:textId="77777777" w:rsidR="00101352" w:rsidRPr="00DD11C7" w:rsidRDefault="00101352" w:rsidP="005553E8">
            <w:pPr>
              <w:jc w:val="right"/>
              <w:rPr>
                <w:color w:val="000000"/>
              </w:rPr>
            </w:pPr>
            <w:r w:rsidRPr="00DD11C7">
              <w:rPr>
                <w:color w:val="FF0000"/>
              </w:rPr>
              <w:t>($195.01)</w:t>
            </w:r>
          </w:p>
        </w:tc>
      </w:tr>
      <w:tr w:rsidR="00101352" w:rsidRPr="00DD11C7" w14:paraId="3F7953EF" w14:textId="77777777" w:rsidTr="005553E8">
        <w:trPr>
          <w:trHeight w:hRule="exact" w:val="346"/>
        </w:trPr>
        <w:tc>
          <w:tcPr>
            <w:tcW w:w="2088" w:type="dxa"/>
            <w:shd w:val="clear" w:color="auto" w:fill="auto"/>
            <w:noWrap/>
            <w:tcMar>
              <w:left w:w="0" w:type="dxa"/>
              <w:right w:w="115" w:type="dxa"/>
            </w:tcMar>
            <w:vAlign w:val="center"/>
          </w:tcPr>
          <w:p w14:paraId="77D8F6FE" w14:textId="77777777" w:rsidR="00101352" w:rsidRPr="004A2D5D" w:rsidRDefault="00101352" w:rsidP="005553E8">
            <w:pPr>
              <w:spacing w:line="240" w:lineRule="auto"/>
              <w:ind w:firstLine="0"/>
              <w:rPr>
                <w:color w:val="000000"/>
              </w:rPr>
            </w:pPr>
            <w:r w:rsidRPr="004A2D5D">
              <w:rPr>
                <w:color w:val="000000"/>
              </w:rPr>
              <w:t>101-500</w:t>
            </w:r>
          </w:p>
        </w:tc>
        <w:tc>
          <w:tcPr>
            <w:tcW w:w="1789" w:type="dxa"/>
            <w:shd w:val="clear" w:color="auto" w:fill="auto"/>
            <w:noWrap/>
            <w:tcMar>
              <w:left w:w="0" w:type="dxa"/>
              <w:right w:w="115" w:type="dxa"/>
            </w:tcMar>
            <w:vAlign w:val="center"/>
          </w:tcPr>
          <w:p w14:paraId="59886914" w14:textId="77777777" w:rsidR="00101352" w:rsidRPr="00DD11C7" w:rsidRDefault="00101352" w:rsidP="005553E8">
            <w:pPr>
              <w:jc w:val="right"/>
              <w:rPr>
                <w:color w:val="000000"/>
              </w:rPr>
            </w:pPr>
            <w:r w:rsidRPr="00DD11C7">
              <w:rPr>
                <w:color w:val="FF0000"/>
              </w:rPr>
              <w:t>($151.30)</w:t>
            </w:r>
          </w:p>
        </w:tc>
        <w:tc>
          <w:tcPr>
            <w:tcW w:w="1821" w:type="dxa"/>
            <w:shd w:val="clear" w:color="auto" w:fill="auto"/>
            <w:noWrap/>
            <w:tcMar>
              <w:left w:w="0" w:type="dxa"/>
              <w:right w:w="115" w:type="dxa"/>
            </w:tcMar>
            <w:vAlign w:val="center"/>
          </w:tcPr>
          <w:p w14:paraId="61341960" w14:textId="77777777" w:rsidR="00101352" w:rsidRPr="00DD11C7" w:rsidRDefault="00101352" w:rsidP="005553E8">
            <w:pPr>
              <w:jc w:val="right"/>
              <w:rPr>
                <w:color w:val="000000"/>
              </w:rPr>
            </w:pPr>
            <w:r w:rsidRPr="00DD11C7">
              <w:rPr>
                <w:color w:val="FF0000"/>
              </w:rPr>
              <w:t>($125.69)</w:t>
            </w:r>
          </w:p>
        </w:tc>
        <w:tc>
          <w:tcPr>
            <w:tcW w:w="1821" w:type="dxa"/>
            <w:shd w:val="clear" w:color="auto" w:fill="auto"/>
            <w:noWrap/>
            <w:tcMar>
              <w:left w:w="0" w:type="dxa"/>
              <w:right w:w="115" w:type="dxa"/>
            </w:tcMar>
            <w:vAlign w:val="center"/>
          </w:tcPr>
          <w:p w14:paraId="26BE7468" w14:textId="77777777" w:rsidR="00101352" w:rsidRPr="00DD11C7" w:rsidRDefault="00101352" w:rsidP="005553E8">
            <w:pPr>
              <w:jc w:val="right"/>
              <w:rPr>
                <w:color w:val="000000"/>
              </w:rPr>
            </w:pPr>
            <w:r w:rsidRPr="00DD11C7">
              <w:rPr>
                <w:color w:val="FF0000"/>
              </w:rPr>
              <w:t>($73.07)</w:t>
            </w:r>
          </w:p>
        </w:tc>
        <w:tc>
          <w:tcPr>
            <w:tcW w:w="1821" w:type="dxa"/>
            <w:shd w:val="clear" w:color="auto" w:fill="auto"/>
            <w:noWrap/>
            <w:tcMar>
              <w:left w:w="0" w:type="dxa"/>
              <w:right w:w="115" w:type="dxa"/>
            </w:tcMar>
            <w:vAlign w:val="center"/>
          </w:tcPr>
          <w:p w14:paraId="73848F46" w14:textId="77777777" w:rsidR="00101352" w:rsidRPr="00DD11C7" w:rsidRDefault="00101352" w:rsidP="005553E8">
            <w:pPr>
              <w:jc w:val="right"/>
              <w:rPr>
                <w:color w:val="000000"/>
              </w:rPr>
            </w:pPr>
            <w:r w:rsidRPr="00DD11C7">
              <w:rPr>
                <w:color w:val="FF0000"/>
              </w:rPr>
              <w:t>($10.58)</w:t>
            </w:r>
          </w:p>
        </w:tc>
      </w:tr>
      <w:tr w:rsidR="00101352" w:rsidRPr="00DD11C7" w14:paraId="02512CFD" w14:textId="77777777" w:rsidTr="005553E8">
        <w:trPr>
          <w:trHeight w:hRule="exact" w:val="346"/>
        </w:trPr>
        <w:tc>
          <w:tcPr>
            <w:tcW w:w="2088" w:type="dxa"/>
            <w:shd w:val="clear" w:color="auto" w:fill="auto"/>
            <w:noWrap/>
            <w:tcMar>
              <w:left w:w="0" w:type="dxa"/>
              <w:right w:w="115" w:type="dxa"/>
            </w:tcMar>
            <w:vAlign w:val="center"/>
          </w:tcPr>
          <w:p w14:paraId="2C95DA0F" w14:textId="77777777" w:rsidR="00101352" w:rsidRPr="004A2D5D" w:rsidRDefault="00101352" w:rsidP="005553E8">
            <w:pPr>
              <w:spacing w:line="240" w:lineRule="auto"/>
              <w:ind w:firstLine="0"/>
              <w:rPr>
                <w:color w:val="000000"/>
              </w:rPr>
            </w:pPr>
            <w:r w:rsidRPr="004A2D5D">
              <w:rPr>
                <w:color w:val="000000"/>
              </w:rPr>
              <w:t>501-1,000</w:t>
            </w:r>
          </w:p>
        </w:tc>
        <w:tc>
          <w:tcPr>
            <w:tcW w:w="1789" w:type="dxa"/>
            <w:shd w:val="clear" w:color="auto" w:fill="auto"/>
            <w:noWrap/>
            <w:tcMar>
              <w:left w:w="0" w:type="dxa"/>
              <w:right w:w="115" w:type="dxa"/>
            </w:tcMar>
            <w:vAlign w:val="center"/>
          </w:tcPr>
          <w:p w14:paraId="0BDB29F3" w14:textId="77777777" w:rsidR="00101352" w:rsidRPr="00DD11C7" w:rsidRDefault="00101352" w:rsidP="005553E8">
            <w:pPr>
              <w:jc w:val="right"/>
              <w:rPr>
                <w:color w:val="000000"/>
              </w:rPr>
            </w:pPr>
            <w:r w:rsidRPr="00DD11C7">
              <w:rPr>
                <w:color w:val="FF0000"/>
              </w:rPr>
              <w:t>($59.20)</w:t>
            </w:r>
          </w:p>
        </w:tc>
        <w:tc>
          <w:tcPr>
            <w:tcW w:w="1821" w:type="dxa"/>
            <w:shd w:val="clear" w:color="auto" w:fill="auto"/>
            <w:noWrap/>
            <w:tcMar>
              <w:left w:w="0" w:type="dxa"/>
              <w:right w:w="115" w:type="dxa"/>
            </w:tcMar>
            <w:vAlign w:val="center"/>
          </w:tcPr>
          <w:p w14:paraId="71E5011A" w14:textId="77777777" w:rsidR="00101352" w:rsidRPr="00DD11C7" w:rsidRDefault="00101352" w:rsidP="005553E8">
            <w:pPr>
              <w:jc w:val="right"/>
              <w:rPr>
                <w:color w:val="000000"/>
              </w:rPr>
            </w:pPr>
            <w:r w:rsidRPr="00DD11C7">
              <w:rPr>
                <w:color w:val="FF0000"/>
              </w:rPr>
              <w:t>($34.78)</w:t>
            </w:r>
          </w:p>
        </w:tc>
        <w:tc>
          <w:tcPr>
            <w:tcW w:w="1821" w:type="dxa"/>
            <w:shd w:val="clear" w:color="auto" w:fill="auto"/>
            <w:noWrap/>
            <w:tcMar>
              <w:left w:w="0" w:type="dxa"/>
              <w:right w:w="115" w:type="dxa"/>
            </w:tcMar>
            <w:vAlign w:val="center"/>
          </w:tcPr>
          <w:p w14:paraId="79683AA1" w14:textId="77777777" w:rsidR="00101352" w:rsidRPr="00DD11C7" w:rsidRDefault="00101352" w:rsidP="005553E8">
            <w:pPr>
              <w:jc w:val="right"/>
              <w:rPr>
                <w:color w:val="000000"/>
              </w:rPr>
            </w:pPr>
            <w:r w:rsidRPr="00DD11C7">
              <w:rPr>
                <w:color w:val="000000"/>
              </w:rPr>
              <w:t xml:space="preserve">$18.71 </w:t>
            </w:r>
          </w:p>
        </w:tc>
        <w:tc>
          <w:tcPr>
            <w:tcW w:w="1821" w:type="dxa"/>
            <w:shd w:val="clear" w:color="auto" w:fill="auto"/>
            <w:noWrap/>
            <w:tcMar>
              <w:left w:w="0" w:type="dxa"/>
              <w:right w:w="115" w:type="dxa"/>
            </w:tcMar>
            <w:vAlign w:val="center"/>
          </w:tcPr>
          <w:p w14:paraId="2E9E19D1" w14:textId="77777777" w:rsidR="00101352" w:rsidRPr="00DD11C7" w:rsidRDefault="00101352" w:rsidP="005553E8">
            <w:pPr>
              <w:jc w:val="right"/>
              <w:rPr>
                <w:color w:val="000000"/>
              </w:rPr>
            </w:pPr>
            <w:r w:rsidRPr="00DD11C7">
              <w:rPr>
                <w:color w:val="000000"/>
              </w:rPr>
              <w:t xml:space="preserve">$87.90 </w:t>
            </w:r>
          </w:p>
        </w:tc>
      </w:tr>
      <w:tr w:rsidR="00101352" w:rsidRPr="00DD11C7" w14:paraId="4753A0DC" w14:textId="77777777" w:rsidTr="005553E8">
        <w:trPr>
          <w:trHeight w:hRule="exact" w:val="346"/>
        </w:trPr>
        <w:tc>
          <w:tcPr>
            <w:tcW w:w="2088" w:type="dxa"/>
            <w:shd w:val="clear" w:color="auto" w:fill="auto"/>
            <w:noWrap/>
            <w:tcMar>
              <w:left w:w="0" w:type="dxa"/>
              <w:right w:w="115" w:type="dxa"/>
            </w:tcMar>
            <w:vAlign w:val="center"/>
          </w:tcPr>
          <w:p w14:paraId="7F379303" w14:textId="77777777" w:rsidR="00101352" w:rsidRPr="004A2D5D" w:rsidRDefault="00101352" w:rsidP="005553E8">
            <w:pPr>
              <w:spacing w:line="240" w:lineRule="auto"/>
              <w:ind w:firstLine="0"/>
              <w:rPr>
                <w:color w:val="000000"/>
              </w:rPr>
            </w:pPr>
            <w:r w:rsidRPr="004A2D5D">
              <w:rPr>
                <w:color w:val="000000"/>
              </w:rPr>
              <w:t>1,001-3,300</w:t>
            </w:r>
          </w:p>
        </w:tc>
        <w:tc>
          <w:tcPr>
            <w:tcW w:w="1789" w:type="dxa"/>
            <w:shd w:val="clear" w:color="auto" w:fill="auto"/>
            <w:noWrap/>
            <w:tcMar>
              <w:left w:w="0" w:type="dxa"/>
              <w:right w:w="115" w:type="dxa"/>
            </w:tcMar>
            <w:vAlign w:val="center"/>
          </w:tcPr>
          <w:p w14:paraId="120FE7A3" w14:textId="77777777" w:rsidR="00101352" w:rsidRPr="00DD11C7" w:rsidRDefault="00101352" w:rsidP="005553E8">
            <w:pPr>
              <w:jc w:val="right"/>
              <w:rPr>
                <w:color w:val="000000"/>
              </w:rPr>
            </w:pPr>
            <w:r w:rsidRPr="00DD11C7">
              <w:rPr>
                <w:color w:val="FF0000"/>
              </w:rPr>
              <w:t>($48.15)</w:t>
            </w:r>
          </w:p>
        </w:tc>
        <w:tc>
          <w:tcPr>
            <w:tcW w:w="1821" w:type="dxa"/>
            <w:shd w:val="clear" w:color="auto" w:fill="auto"/>
            <w:noWrap/>
            <w:tcMar>
              <w:left w:w="0" w:type="dxa"/>
              <w:right w:w="115" w:type="dxa"/>
            </w:tcMar>
            <w:vAlign w:val="center"/>
          </w:tcPr>
          <w:p w14:paraId="073600E8" w14:textId="77777777" w:rsidR="00101352" w:rsidRPr="00DD11C7" w:rsidRDefault="00101352" w:rsidP="005553E8">
            <w:pPr>
              <w:jc w:val="right"/>
              <w:rPr>
                <w:color w:val="000000"/>
              </w:rPr>
            </w:pPr>
            <w:r w:rsidRPr="00DD11C7">
              <w:rPr>
                <w:color w:val="FF0000"/>
              </w:rPr>
              <w:t>($23.61)</w:t>
            </w:r>
          </w:p>
        </w:tc>
        <w:tc>
          <w:tcPr>
            <w:tcW w:w="1821" w:type="dxa"/>
            <w:shd w:val="clear" w:color="auto" w:fill="auto"/>
            <w:noWrap/>
            <w:tcMar>
              <w:left w:w="0" w:type="dxa"/>
              <w:right w:w="115" w:type="dxa"/>
            </w:tcMar>
            <w:vAlign w:val="center"/>
          </w:tcPr>
          <w:p w14:paraId="3DCD6999" w14:textId="77777777" w:rsidR="00101352" w:rsidRPr="00DD11C7" w:rsidRDefault="00101352" w:rsidP="005553E8">
            <w:pPr>
              <w:jc w:val="right"/>
              <w:rPr>
                <w:color w:val="000000"/>
              </w:rPr>
            </w:pPr>
            <w:r w:rsidRPr="00DD11C7">
              <w:rPr>
                <w:color w:val="000000"/>
              </w:rPr>
              <w:t xml:space="preserve">$31.19 </w:t>
            </w:r>
          </w:p>
        </w:tc>
        <w:tc>
          <w:tcPr>
            <w:tcW w:w="1821" w:type="dxa"/>
            <w:shd w:val="clear" w:color="auto" w:fill="auto"/>
            <w:noWrap/>
            <w:tcMar>
              <w:left w:w="0" w:type="dxa"/>
              <w:right w:w="115" w:type="dxa"/>
            </w:tcMar>
            <w:vAlign w:val="center"/>
          </w:tcPr>
          <w:p w14:paraId="0C58D798" w14:textId="77777777" w:rsidR="00101352" w:rsidRPr="00DD11C7" w:rsidRDefault="00101352" w:rsidP="005553E8">
            <w:pPr>
              <w:jc w:val="right"/>
              <w:rPr>
                <w:color w:val="000000"/>
              </w:rPr>
            </w:pPr>
            <w:r w:rsidRPr="00DD11C7">
              <w:rPr>
                <w:color w:val="000000"/>
              </w:rPr>
              <w:t xml:space="preserve">$101.78 </w:t>
            </w:r>
          </w:p>
        </w:tc>
      </w:tr>
      <w:tr w:rsidR="00101352" w:rsidRPr="00DD11C7" w14:paraId="53C3BE0C" w14:textId="77777777" w:rsidTr="005553E8">
        <w:trPr>
          <w:trHeight w:hRule="exact" w:val="346"/>
        </w:trPr>
        <w:tc>
          <w:tcPr>
            <w:tcW w:w="2088" w:type="dxa"/>
            <w:shd w:val="clear" w:color="auto" w:fill="auto"/>
            <w:noWrap/>
            <w:tcMar>
              <w:left w:w="0" w:type="dxa"/>
              <w:right w:w="115" w:type="dxa"/>
            </w:tcMar>
            <w:vAlign w:val="center"/>
          </w:tcPr>
          <w:p w14:paraId="6E4EEC10" w14:textId="77777777" w:rsidR="00101352" w:rsidRPr="004A2D5D" w:rsidRDefault="00101352" w:rsidP="005553E8">
            <w:pPr>
              <w:spacing w:line="240" w:lineRule="auto"/>
              <w:ind w:firstLine="0"/>
              <w:rPr>
                <w:color w:val="000000"/>
              </w:rPr>
            </w:pPr>
            <w:r w:rsidRPr="004A2D5D">
              <w:rPr>
                <w:color w:val="000000"/>
              </w:rPr>
              <w:t>3,301-10,000</w:t>
            </w:r>
          </w:p>
        </w:tc>
        <w:tc>
          <w:tcPr>
            <w:tcW w:w="1789" w:type="dxa"/>
            <w:shd w:val="clear" w:color="auto" w:fill="auto"/>
            <w:noWrap/>
            <w:tcMar>
              <w:left w:w="0" w:type="dxa"/>
              <w:right w:w="115" w:type="dxa"/>
            </w:tcMar>
            <w:vAlign w:val="center"/>
          </w:tcPr>
          <w:p w14:paraId="64C32157" w14:textId="77777777" w:rsidR="00101352" w:rsidRPr="00DD11C7" w:rsidRDefault="00101352" w:rsidP="005553E8">
            <w:pPr>
              <w:jc w:val="right"/>
              <w:rPr>
                <w:color w:val="000000"/>
              </w:rPr>
            </w:pPr>
            <w:r w:rsidRPr="00DD11C7">
              <w:rPr>
                <w:color w:val="FF0000"/>
              </w:rPr>
              <w:t>($27.23)</w:t>
            </w:r>
          </w:p>
        </w:tc>
        <w:tc>
          <w:tcPr>
            <w:tcW w:w="1821" w:type="dxa"/>
            <w:shd w:val="clear" w:color="auto" w:fill="auto"/>
            <w:noWrap/>
            <w:tcMar>
              <w:left w:w="0" w:type="dxa"/>
              <w:right w:w="115" w:type="dxa"/>
            </w:tcMar>
            <w:vAlign w:val="center"/>
          </w:tcPr>
          <w:p w14:paraId="2CE2E671" w14:textId="77777777" w:rsidR="00101352" w:rsidRPr="00DD11C7" w:rsidRDefault="00101352" w:rsidP="005553E8">
            <w:pPr>
              <w:jc w:val="right"/>
              <w:rPr>
                <w:color w:val="000000"/>
              </w:rPr>
            </w:pPr>
            <w:r w:rsidRPr="00DD11C7">
              <w:rPr>
                <w:color w:val="FF0000"/>
              </w:rPr>
              <w:t>($1.85)</w:t>
            </w:r>
          </w:p>
        </w:tc>
        <w:tc>
          <w:tcPr>
            <w:tcW w:w="1821" w:type="dxa"/>
            <w:shd w:val="clear" w:color="auto" w:fill="auto"/>
            <w:noWrap/>
            <w:tcMar>
              <w:left w:w="0" w:type="dxa"/>
              <w:right w:w="115" w:type="dxa"/>
            </w:tcMar>
            <w:vAlign w:val="center"/>
          </w:tcPr>
          <w:p w14:paraId="17AF3CBE" w14:textId="77777777" w:rsidR="00101352" w:rsidRPr="00DD11C7" w:rsidRDefault="00101352" w:rsidP="005553E8">
            <w:pPr>
              <w:jc w:val="right"/>
              <w:rPr>
                <w:color w:val="000000"/>
              </w:rPr>
            </w:pPr>
            <w:r w:rsidRPr="00DD11C7">
              <w:rPr>
                <w:color w:val="000000"/>
              </w:rPr>
              <w:t xml:space="preserve">$51.72 </w:t>
            </w:r>
          </w:p>
        </w:tc>
        <w:tc>
          <w:tcPr>
            <w:tcW w:w="1821" w:type="dxa"/>
            <w:shd w:val="clear" w:color="auto" w:fill="auto"/>
            <w:noWrap/>
            <w:tcMar>
              <w:left w:w="0" w:type="dxa"/>
              <w:right w:w="115" w:type="dxa"/>
            </w:tcMar>
            <w:vAlign w:val="center"/>
          </w:tcPr>
          <w:p w14:paraId="38BA07A3" w14:textId="77777777" w:rsidR="00101352" w:rsidRPr="00DD11C7" w:rsidRDefault="00101352" w:rsidP="005553E8">
            <w:pPr>
              <w:jc w:val="right"/>
              <w:rPr>
                <w:color w:val="000000"/>
              </w:rPr>
            </w:pPr>
            <w:r w:rsidRPr="00DD11C7">
              <w:rPr>
                <w:color w:val="000000"/>
              </w:rPr>
              <w:t xml:space="preserve">$121.51 </w:t>
            </w:r>
          </w:p>
        </w:tc>
      </w:tr>
      <w:tr w:rsidR="00101352" w:rsidRPr="00DD11C7" w14:paraId="5F3F8272" w14:textId="77777777" w:rsidTr="005553E8">
        <w:trPr>
          <w:trHeight w:hRule="exact" w:val="346"/>
        </w:trPr>
        <w:tc>
          <w:tcPr>
            <w:tcW w:w="2088" w:type="dxa"/>
            <w:shd w:val="clear" w:color="auto" w:fill="auto"/>
            <w:noWrap/>
            <w:tcMar>
              <w:left w:w="0" w:type="dxa"/>
              <w:right w:w="115" w:type="dxa"/>
            </w:tcMar>
            <w:vAlign w:val="center"/>
          </w:tcPr>
          <w:p w14:paraId="175EB74A" w14:textId="77777777" w:rsidR="00101352" w:rsidRPr="004A2D5D" w:rsidRDefault="00101352" w:rsidP="005553E8">
            <w:pPr>
              <w:spacing w:line="240" w:lineRule="auto"/>
              <w:ind w:firstLine="0"/>
              <w:rPr>
                <w:color w:val="000000"/>
              </w:rPr>
            </w:pPr>
            <w:r w:rsidRPr="004A2D5D">
              <w:rPr>
                <w:color w:val="000000"/>
              </w:rPr>
              <w:t>10,001-50,000</w:t>
            </w:r>
          </w:p>
        </w:tc>
        <w:tc>
          <w:tcPr>
            <w:tcW w:w="1789" w:type="dxa"/>
            <w:shd w:val="clear" w:color="auto" w:fill="auto"/>
            <w:noWrap/>
            <w:tcMar>
              <w:left w:w="0" w:type="dxa"/>
              <w:right w:w="115" w:type="dxa"/>
            </w:tcMar>
            <w:vAlign w:val="center"/>
          </w:tcPr>
          <w:p w14:paraId="27AA5F10" w14:textId="77777777" w:rsidR="00101352" w:rsidRPr="00DD11C7" w:rsidRDefault="00101352" w:rsidP="005553E8">
            <w:pPr>
              <w:jc w:val="right"/>
              <w:rPr>
                <w:color w:val="000000"/>
              </w:rPr>
            </w:pPr>
            <w:r w:rsidRPr="00DD11C7">
              <w:rPr>
                <w:color w:val="FF0000"/>
              </w:rPr>
              <w:t>($22.79)</w:t>
            </w:r>
          </w:p>
        </w:tc>
        <w:tc>
          <w:tcPr>
            <w:tcW w:w="1821" w:type="dxa"/>
            <w:shd w:val="clear" w:color="auto" w:fill="auto"/>
            <w:noWrap/>
            <w:tcMar>
              <w:left w:w="0" w:type="dxa"/>
              <w:right w:w="115" w:type="dxa"/>
            </w:tcMar>
            <w:vAlign w:val="center"/>
          </w:tcPr>
          <w:p w14:paraId="4E0D9FBC" w14:textId="77777777" w:rsidR="00101352" w:rsidRPr="00DD11C7" w:rsidRDefault="00101352" w:rsidP="005553E8">
            <w:pPr>
              <w:jc w:val="right"/>
              <w:rPr>
                <w:color w:val="000000"/>
              </w:rPr>
            </w:pPr>
            <w:r w:rsidRPr="00DD11C7">
              <w:rPr>
                <w:color w:val="000000"/>
              </w:rPr>
              <w:t xml:space="preserve">$2.26 </w:t>
            </w:r>
          </w:p>
        </w:tc>
        <w:tc>
          <w:tcPr>
            <w:tcW w:w="1821" w:type="dxa"/>
            <w:shd w:val="clear" w:color="auto" w:fill="auto"/>
            <w:noWrap/>
            <w:tcMar>
              <w:left w:w="0" w:type="dxa"/>
              <w:right w:w="115" w:type="dxa"/>
            </w:tcMar>
            <w:vAlign w:val="center"/>
          </w:tcPr>
          <w:p w14:paraId="7BB5CE9A" w14:textId="77777777" w:rsidR="00101352" w:rsidRPr="00DD11C7" w:rsidRDefault="00101352" w:rsidP="005553E8">
            <w:pPr>
              <w:jc w:val="right"/>
              <w:rPr>
                <w:color w:val="000000"/>
              </w:rPr>
            </w:pPr>
            <w:r w:rsidRPr="00DD11C7">
              <w:rPr>
                <w:color w:val="000000"/>
              </w:rPr>
              <w:t xml:space="preserve">$57.06 </w:t>
            </w:r>
          </w:p>
        </w:tc>
        <w:tc>
          <w:tcPr>
            <w:tcW w:w="1821" w:type="dxa"/>
            <w:shd w:val="clear" w:color="auto" w:fill="auto"/>
            <w:noWrap/>
            <w:tcMar>
              <w:left w:w="0" w:type="dxa"/>
              <w:right w:w="115" w:type="dxa"/>
            </w:tcMar>
            <w:vAlign w:val="center"/>
          </w:tcPr>
          <w:p w14:paraId="08C3EBF3" w14:textId="77777777" w:rsidR="00101352" w:rsidRPr="00DD11C7" w:rsidRDefault="00101352" w:rsidP="005553E8">
            <w:pPr>
              <w:jc w:val="right"/>
              <w:rPr>
                <w:color w:val="000000"/>
              </w:rPr>
            </w:pPr>
            <w:r w:rsidRPr="00DD11C7">
              <w:rPr>
                <w:color w:val="000000"/>
              </w:rPr>
              <w:t xml:space="preserve">$127.09 </w:t>
            </w:r>
          </w:p>
        </w:tc>
      </w:tr>
      <w:tr w:rsidR="00101352" w:rsidRPr="00DD11C7" w14:paraId="34D112FC" w14:textId="77777777" w:rsidTr="005553E8">
        <w:trPr>
          <w:trHeight w:hRule="exact" w:val="346"/>
        </w:trPr>
        <w:tc>
          <w:tcPr>
            <w:tcW w:w="2088" w:type="dxa"/>
            <w:shd w:val="clear" w:color="auto" w:fill="auto"/>
            <w:noWrap/>
            <w:tcMar>
              <w:left w:w="0" w:type="dxa"/>
              <w:right w:w="115" w:type="dxa"/>
            </w:tcMar>
            <w:vAlign w:val="center"/>
          </w:tcPr>
          <w:p w14:paraId="227C3FF5" w14:textId="77777777" w:rsidR="00101352" w:rsidRPr="004A2D5D" w:rsidRDefault="00101352" w:rsidP="005553E8">
            <w:pPr>
              <w:spacing w:line="240" w:lineRule="auto"/>
              <w:ind w:firstLine="0"/>
              <w:rPr>
                <w:color w:val="000000"/>
              </w:rPr>
            </w:pPr>
            <w:r w:rsidRPr="004A2D5D">
              <w:rPr>
                <w:color w:val="000000"/>
              </w:rPr>
              <w:t>50,001-100,000</w:t>
            </w:r>
          </w:p>
        </w:tc>
        <w:tc>
          <w:tcPr>
            <w:tcW w:w="1789" w:type="dxa"/>
            <w:shd w:val="clear" w:color="auto" w:fill="auto"/>
            <w:noWrap/>
            <w:tcMar>
              <w:left w:w="0" w:type="dxa"/>
              <w:right w:w="115" w:type="dxa"/>
            </w:tcMar>
            <w:vAlign w:val="center"/>
          </w:tcPr>
          <w:p w14:paraId="13AE6D1A" w14:textId="77777777" w:rsidR="00101352" w:rsidRPr="00DD11C7" w:rsidRDefault="00101352" w:rsidP="005553E8">
            <w:pPr>
              <w:jc w:val="right"/>
              <w:rPr>
                <w:color w:val="000000"/>
              </w:rPr>
            </w:pPr>
            <w:r w:rsidRPr="00DD11C7">
              <w:rPr>
                <w:color w:val="FF0000"/>
              </w:rPr>
              <w:t>($16.02)</w:t>
            </w:r>
          </w:p>
        </w:tc>
        <w:tc>
          <w:tcPr>
            <w:tcW w:w="1821" w:type="dxa"/>
            <w:shd w:val="clear" w:color="auto" w:fill="auto"/>
            <w:noWrap/>
            <w:tcMar>
              <w:left w:w="0" w:type="dxa"/>
              <w:right w:w="115" w:type="dxa"/>
            </w:tcMar>
            <w:vAlign w:val="center"/>
          </w:tcPr>
          <w:p w14:paraId="259C42C8" w14:textId="77777777" w:rsidR="00101352" w:rsidRPr="00DD11C7" w:rsidRDefault="00101352" w:rsidP="005553E8">
            <w:pPr>
              <w:jc w:val="right"/>
              <w:rPr>
                <w:color w:val="000000"/>
              </w:rPr>
            </w:pPr>
            <w:r w:rsidRPr="00DD11C7">
              <w:rPr>
                <w:color w:val="000000"/>
              </w:rPr>
              <w:t xml:space="preserve">$8.88 </w:t>
            </w:r>
          </w:p>
        </w:tc>
        <w:tc>
          <w:tcPr>
            <w:tcW w:w="1821" w:type="dxa"/>
            <w:shd w:val="clear" w:color="auto" w:fill="auto"/>
            <w:noWrap/>
            <w:tcMar>
              <w:left w:w="0" w:type="dxa"/>
              <w:right w:w="115" w:type="dxa"/>
            </w:tcMar>
            <w:vAlign w:val="center"/>
          </w:tcPr>
          <w:p w14:paraId="76BABF4E" w14:textId="77777777" w:rsidR="00101352" w:rsidRPr="00DD11C7" w:rsidRDefault="00101352" w:rsidP="005553E8">
            <w:pPr>
              <w:jc w:val="right"/>
              <w:rPr>
                <w:color w:val="000000"/>
              </w:rPr>
            </w:pPr>
            <w:r w:rsidRPr="00DD11C7">
              <w:rPr>
                <w:color w:val="000000"/>
              </w:rPr>
              <w:t xml:space="preserve">$64.62 </w:t>
            </w:r>
          </w:p>
        </w:tc>
        <w:tc>
          <w:tcPr>
            <w:tcW w:w="1821" w:type="dxa"/>
            <w:shd w:val="clear" w:color="auto" w:fill="auto"/>
            <w:noWrap/>
            <w:tcMar>
              <w:left w:w="0" w:type="dxa"/>
              <w:right w:w="115" w:type="dxa"/>
            </w:tcMar>
            <w:vAlign w:val="center"/>
          </w:tcPr>
          <w:p w14:paraId="754A0C91" w14:textId="77777777" w:rsidR="00101352" w:rsidRPr="00DD11C7" w:rsidRDefault="00101352" w:rsidP="005553E8">
            <w:pPr>
              <w:jc w:val="right"/>
              <w:rPr>
                <w:color w:val="000000"/>
              </w:rPr>
            </w:pPr>
            <w:r w:rsidRPr="00DD11C7">
              <w:rPr>
                <w:color w:val="000000"/>
              </w:rPr>
              <w:t xml:space="preserve">$133.51 </w:t>
            </w:r>
          </w:p>
        </w:tc>
      </w:tr>
      <w:tr w:rsidR="00101352" w:rsidRPr="00DD11C7" w14:paraId="2DE94F2B" w14:textId="77777777" w:rsidTr="005553E8">
        <w:trPr>
          <w:trHeight w:hRule="exact" w:val="346"/>
        </w:trPr>
        <w:tc>
          <w:tcPr>
            <w:tcW w:w="2088" w:type="dxa"/>
            <w:shd w:val="clear" w:color="auto" w:fill="auto"/>
            <w:noWrap/>
            <w:tcMar>
              <w:left w:w="0" w:type="dxa"/>
              <w:right w:w="115" w:type="dxa"/>
            </w:tcMar>
            <w:vAlign w:val="center"/>
          </w:tcPr>
          <w:p w14:paraId="53D20E36" w14:textId="77777777" w:rsidR="00101352" w:rsidRPr="004A2D5D" w:rsidRDefault="00101352" w:rsidP="005553E8">
            <w:pPr>
              <w:spacing w:line="240" w:lineRule="auto"/>
              <w:ind w:firstLine="0"/>
              <w:rPr>
                <w:color w:val="000000"/>
              </w:rPr>
            </w:pPr>
            <w:r w:rsidRPr="004A2D5D">
              <w:rPr>
                <w:color w:val="000000"/>
              </w:rPr>
              <w:t>100,001-1,000,000</w:t>
            </w:r>
          </w:p>
        </w:tc>
        <w:tc>
          <w:tcPr>
            <w:tcW w:w="1789" w:type="dxa"/>
            <w:shd w:val="clear" w:color="auto" w:fill="auto"/>
            <w:noWrap/>
            <w:tcMar>
              <w:left w:w="0" w:type="dxa"/>
              <w:right w:w="115" w:type="dxa"/>
            </w:tcMar>
            <w:vAlign w:val="center"/>
          </w:tcPr>
          <w:p w14:paraId="3C77FE17" w14:textId="77777777" w:rsidR="00101352" w:rsidRPr="00DD11C7" w:rsidRDefault="00101352" w:rsidP="005553E8">
            <w:pPr>
              <w:jc w:val="right"/>
              <w:rPr>
                <w:color w:val="000000"/>
              </w:rPr>
            </w:pPr>
            <w:r w:rsidRPr="00DD11C7">
              <w:rPr>
                <w:color w:val="FF0000"/>
              </w:rPr>
              <w:t>($8.68)</w:t>
            </w:r>
          </w:p>
        </w:tc>
        <w:tc>
          <w:tcPr>
            <w:tcW w:w="1821" w:type="dxa"/>
            <w:shd w:val="clear" w:color="auto" w:fill="auto"/>
            <w:noWrap/>
            <w:tcMar>
              <w:left w:w="0" w:type="dxa"/>
              <w:right w:w="115" w:type="dxa"/>
            </w:tcMar>
            <w:vAlign w:val="center"/>
          </w:tcPr>
          <w:p w14:paraId="625B9557" w14:textId="77777777" w:rsidR="00101352" w:rsidRPr="00DD11C7" w:rsidRDefault="00101352" w:rsidP="005553E8">
            <w:pPr>
              <w:jc w:val="right"/>
              <w:rPr>
                <w:color w:val="000000"/>
              </w:rPr>
            </w:pPr>
            <w:r w:rsidRPr="00DD11C7">
              <w:rPr>
                <w:color w:val="000000"/>
              </w:rPr>
              <w:t xml:space="preserve">$14.99 </w:t>
            </w:r>
          </w:p>
        </w:tc>
        <w:tc>
          <w:tcPr>
            <w:tcW w:w="1821" w:type="dxa"/>
            <w:shd w:val="clear" w:color="auto" w:fill="auto"/>
            <w:noWrap/>
            <w:tcMar>
              <w:left w:w="0" w:type="dxa"/>
              <w:right w:w="115" w:type="dxa"/>
            </w:tcMar>
            <w:vAlign w:val="center"/>
          </w:tcPr>
          <w:p w14:paraId="6E7D1467" w14:textId="77777777" w:rsidR="00101352" w:rsidRPr="00DD11C7" w:rsidRDefault="00101352" w:rsidP="005553E8">
            <w:pPr>
              <w:jc w:val="right"/>
              <w:rPr>
                <w:color w:val="000000"/>
              </w:rPr>
            </w:pPr>
            <w:r w:rsidRPr="00DD11C7">
              <w:rPr>
                <w:color w:val="000000"/>
              </w:rPr>
              <w:t xml:space="preserve">$68.91 </w:t>
            </w:r>
          </w:p>
        </w:tc>
        <w:tc>
          <w:tcPr>
            <w:tcW w:w="1821" w:type="dxa"/>
            <w:shd w:val="clear" w:color="auto" w:fill="auto"/>
            <w:noWrap/>
            <w:tcMar>
              <w:left w:w="0" w:type="dxa"/>
              <w:right w:w="115" w:type="dxa"/>
            </w:tcMar>
            <w:vAlign w:val="center"/>
          </w:tcPr>
          <w:p w14:paraId="4F849F8A" w14:textId="77777777" w:rsidR="00101352" w:rsidRPr="00DD11C7" w:rsidRDefault="00101352" w:rsidP="005553E8">
            <w:pPr>
              <w:jc w:val="right"/>
              <w:rPr>
                <w:color w:val="000000"/>
              </w:rPr>
            </w:pPr>
            <w:r w:rsidRPr="00DD11C7">
              <w:rPr>
                <w:color w:val="000000"/>
              </w:rPr>
              <w:t xml:space="preserve">$136.88 </w:t>
            </w:r>
          </w:p>
        </w:tc>
      </w:tr>
      <w:tr w:rsidR="00101352" w:rsidRPr="00DD11C7" w14:paraId="006CB337" w14:textId="77777777" w:rsidTr="005553E8">
        <w:trPr>
          <w:trHeight w:hRule="exact" w:val="346"/>
        </w:trPr>
        <w:tc>
          <w:tcPr>
            <w:tcW w:w="2088" w:type="dxa"/>
            <w:tcBorders>
              <w:bottom w:val="double" w:sz="4" w:space="0" w:color="auto"/>
            </w:tcBorders>
            <w:shd w:val="clear" w:color="auto" w:fill="auto"/>
            <w:noWrap/>
            <w:tcMar>
              <w:left w:w="0" w:type="dxa"/>
              <w:right w:w="115" w:type="dxa"/>
            </w:tcMar>
            <w:vAlign w:val="center"/>
          </w:tcPr>
          <w:p w14:paraId="6A8EFCE2" w14:textId="77777777" w:rsidR="00101352" w:rsidRPr="004A2D5D" w:rsidRDefault="00101352" w:rsidP="005553E8">
            <w:pPr>
              <w:spacing w:line="240" w:lineRule="auto"/>
              <w:ind w:firstLine="0"/>
              <w:rPr>
                <w:color w:val="000000"/>
              </w:rPr>
            </w:pPr>
            <w:r w:rsidRPr="004A2D5D">
              <w:rPr>
                <w:color w:val="000000"/>
              </w:rPr>
              <w:t>&gt; 1,000,000</w:t>
            </w:r>
          </w:p>
        </w:tc>
        <w:tc>
          <w:tcPr>
            <w:tcW w:w="1789" w:type="dxa"/>
            <w:tcBorders>
              <w:bottom w:val="double" w:sz="4" w:space="0" w:color="auto"/>
            </w:tcBorders>
            <w:shd w:val="clear" w:color="auto" w:fill="auto"/>
            <w:noWrap/>
            <w:tcMar>
              <w:left w:w="0" w:type="dxa"/>
              <w:right w:w="115" w:type="dxa"/>
            </w:tcMar>
            <w:vAlign w:val="center"/>
          </w:tcPr>
          <w:p w14:paraId="0A886942" w14:textId="77777777" w:rsidR="00101352" w:rsidRPr="00DD11C7" w:rsidRDefault="00101352" w:rsidP="005553E8">
            <w:pPr>
              <w:jc w:val="right"/>
              <w:rPr>
                <w:color w:val="000000"/>
              </w:rPr>
            </w:pPr>
            <w:r w:rsidRPr="00DD11C7">
              <w:rPr>
                <w:color w:val="000000"/>
              </w:rPr>
              <w:t xml:space="preserve">$8.20 </w:t>
            </w:r>
          </w:p>
        </w:tc>
        <w:tc>
          <w:tcPr>
            <w:tcW w:w="1821" w:type="dxa"/>
            <w:tcBorders>
              <w:bottom w:val="double" w:sz="4" w:space="0" w:color="auto"/>
            </w:tcBorders>
            <w:shd w:val="clear" w:color="auto" w:fill="auto"/>
            <w:noWrap/>
            <w:tcMar>
              <w:left w:w="0" w:type="dxa"/>
              <w:right w:w="115" w:type="dxa"/>
            </w:tcMar>
            <w:vAlign w:val="center"/>
          </w:tcPr>
          <w:p w14:paraId="2E3AC5D2" w14:textId="77777777" w:rsidR="00101352" w:rsidRPr="00DD11C7" w:rsidRDefault="00101352" w:rsidP="005553E8">
            <w:pPr>
              <w:jc w:val="right"/>
              <w:rPr>
                <w:color w:val="000000"/>
              </w:rPr>
            </w:pPr>
            <w:r w:rsidRPr="00DD11C7">
              <w:rPr>
                <w:color w:val="000000"/>
              </w:rPr>
              <w:t xml:space="preserve">$35.54 </w:t>
            </w:r>
          </w:p>
        </w:tc>
        <w:tc>
          <w:tcPr>
            <w:tcW w:w="1821" w:type="dxa"/>
            <w:tcBorders>
              <w:bottom w:val="double" w:sz="4" w:space="0" w:color="auto"/>
            </w:tcBorders>
            <w:shd w:val="clear" w:color="auto" w:fill="auto"/>
            <w:noWrap/>
            <w:tcMar>
              <w:left w:w="0" w:type="dxa"/>
              <w:right w:w="115" w:type="dxa"/>
            </w:tcMar>
            <w:vAlign w:val="center"/>
          </w:tcPr>
          <w:p w14:paraId="1FC3CFA6" w14:textId="77777777" w:rsidR="00101352" w:rsidRPr="00DD11C7" w:rsidRDefault="00101352" w:rsidP="005553E8">
            <w:pPr>
              <w:jc w:val="right"/>
              <w:rPr>
                <w:color w:val="000000"/>
              </w:rPr>
            </w:pPr>
            <w:r w:rsidRPr="00DD11C7">
              <w:rPr>
                <w:color w:val="000000"/>
              </w:rPr>
              <w:t xml:space="preserve">$88.57 </w:t>
            </w:r>
          </w:p>
        </w:tc>
        <w:tc>
          <w:tcPr>
            <w:tcW w:w="1821" w:type="dxa"/>
            <w:tcBorders>
              <w:bottom w:val="double" w:sz="4" w:space="0" w:color="auto"/>
            </w:tcBorders>
            <w:shd w:val="clear" w:color="auto" w:fill="auto"/>
            <w:noWrap/>
            <w:tcMar>
              <w:left w:w="0" w:type="dxa"/>
              <w:right w:w="115" w:type="dxa"/>
            </w:tcMar>
            <w:vAlign w:val="center"/>
          </w:tcPr>
          <w:p w14:paraId="3601DC49" w14:textId="77777777" w:rsidR="00101352" w:rsidRPr="00DD11C7" w:rsidRDefault="00101352" w:rsidP="005553E8">
            <w:pPr>
              <w:jc w:val="right"/>
              <w:rPr>
                <w:color w:val="000000"/>
              </w:rPr>
            </w:pPr>
            <w:r w:rsidRPr="00DD11C7">
              <w:rPr>
                <w:color w:val="000000"/>
              </w:rPr>
              <w:t xml:space="preserve">$155.99 </w:t>
            </w:r>
          </w:p>
        </w:tc>
      </w:tr>
      <w:tr w:rsidR="00101352" w:rsidRPr="00DD11C7" w14:paraId="30E847B4" w14:textId="77777777" w:rsidTr="005553E8">
        <w:trPr>
          <w:trHeight w:hRule="exact" w:val="346"/>
        </w:trPr>
        <w:tc>
          <w:tcPr>
            <w:tcW w:w="9340" w:type="dxa"/>
            <w:gridSpan w:val="5"/>
            <w:tcBorders>
              <w:top w:val="double" w:sz="4" w:space="0" w:color="auto"/>
              <w:bottom w:val="double" w:sz="4" w:space="0" w:color="auto"/>
            </w:tcBorders>
            <w:shd w:val="clear" w:color="auto" w:fill="auto"/>
            <w:noWrap/>
            <w:tcMar>
              <w:left w:w="0" w:type="dxa"/>
              <w:right w:w="115" w:type="dxa"/>
            </w:tcMar>
            <w:vAlign w:val="center"/>
          </w:tcPr>
          <w:p w14:paraId="6523FE86" w14:textId="77777777" w:rsidR="00101352" w:rsidRPr="00DD11C7" w:rsidRDefault="00101352" w:rsidP="005553E8">
            <w:pPr>
              <w:ind w:firstLine="0"/>
            </w:pPr>
            <w:r>
              <w:t xml:space="preserve">Source: Derived from </w:t>
            </w:r>
            <w:fldSimple w:instr=" REF _Ref536529283 ">
              <w:r>
                <w:t xml:space="preserve">Table </w:t>
              </w:r>
              <w:r>
                <w:rPr>
                  <w:noProof/>
                </w:rPr>
                <w:t>7</w:t>
              </w:r>
              <w:r>
                <w:noBreakHyphen/>
              </w:r>
              <w:r>
                <w:rPr>
                  <w:noProof/>
                </w:rPr>
                <w:t>6</w:t>
              </w:r>
            </w:fldSimple>
            <w:r>
              <w:t xml:space="preserve"> and </w:t>
            </w:r>
            <w:fldSimple w:instr=" REF _Ref536529305 ">
              <w:r>
                <w:t xml:space="preserve">Table </w:t>
              </w:r>
              <w:r>
                <w:rPr>
                  <w:noProof/>
                </w:rPr>
                <w:t>7</w:t>
              </w:r>
              <w:r>
                <w:noBreakHyphen/>
              </w:r>
              <w:r>
                <w:rPr>
                  <w:noProof/>
                </w:rPr>
                <w:t>7</w:t>
              </w:r>
            </w:fldSimple>
            <w:r>
              <w:t>.</w:t>
            </w:r>
            <w:fldSimple w:instr=" REF _Ref536529283 ">
              <w:r>
                <w:t xml:space="preserve">Table </w:t>
              </w:r>
              <w:r>
                <w:rPr>
                  <w:noProof/>
                </w:rPr>
                <w:t>7</w:t>
              </w:r>
              <w:r>
                <w:noBreakHyphen/>
              </w:r>
              <w:r>
                <w:rPr>
                  <w:noProof/>
                </w:rPr>
                <w:t>6</w:t>
              </w:r>
            </w:fldSimple>
            <w:r>
              <w:t xml:space="preserve"> </w:t>
            </w:r>
            <w:r w:rsidRPr="00DD11C7">
              <w:t>and</w:t>
            </w:r>
            <w:r>
              <w:t xml:space="preserve"> </w:t>
            </w:r>
            <w:fldSimple w:instr=" REF _Ref536529305 ">
              <w:r>
                <w:t xml:space="preserve">Table </w:t>
              </w:r>
              <w:r>
                <w:rPr>
                  <w:noProof/>
                </w:rPr>
                <w:t>7</w:t>
              </w:r>
              <w:r>
                <w:noBreakHyphen/>
              </w:r>
              <w:r>
                <w:rPr>
                  <w:noProof/>
                </w:rPr>
                <w:t>7</w:t>
              </w:r>
            </w:fldSimple>
            <w:r>
              <w:t>.</w:t>
            </w:r>
          </w:p>
        </w:tc>
      </w:tr>
    </w:tbl>
    <w:p w14:paraId="5A138E58" w14:textId="77777777" w:rsidR="00101352" w:rsidRDefault="00101352" w:rsidP="00101352">
      <w:pPr>
        <w:rPr>
          <w:iCs/>
          <w:color w:val="1F497D" w:themeColor="text2"/>
          <w:szCs w:val="18"/>
        </w:rPr>
      </w:pPr>
      <w:r>
        <w:br w:type="page"/>
      </w:r>
    </w:p>
    <w:p w14:paraId="3B48AA86" w14:textId="77777777" w:rsidR="00101352" w:rsidRDefault="00101352" w:rsidP="00101352">
      <w:pPr>
        <w:pStyle w:val="Caption"/>
        <w:keepNext/>
      </w:pPr>
      <w:bookmarkStart w:id="64" w:name="_Ref536529765"/>
      <w:r>
        <w:lastRenderedPageBreak/>
        <w:t xml:space="preserve">Table </w:t>
      </w:r>
      <w:fldSimple w:instr=" STYLEREF 1 \s ">
        <w:r>
          <w:rPr>
            <w:noProof/>
          </w:rPr>
          <w:t>7</w:t>
        </w:r>
      </w:fldSimple>
      <w:r>
        <w:noBreakHyphen/>
      </w:r>
      <w:fldSimple w:instr=" SEQ Table \* ARABIC \s 1 ">
        <w:r>
          <w:rPr>
            <w:noProof/>
          </w:rPr>
          <w:t>10</w:t>
        </w:r>
      </w:fldSimple>
      <w:bookmarkEnd w:id="64"/>
      <w:r>
        <w:t xml:space="preserve">: Arsenic NDPWR: Smallest Community Water System and USEPA-estimated Annualized Household Net Benefit by Household Size for which 10 </w:t>
      </w:r>
      <w:r>
        <w:sym w:font="Symbol" w:char="F06D"/>
      </w:r>
      <w:r>
        <w:t>g/L is Economically Feasible</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110"/>
        <w:gridCol w:w="3110"/>
        <w:gridCol w:w="3110"/>
      </w:tblGrid>
      <w:tr w:rsidR="00101352" w14:paraId="7EAFDFA3" w14:textId="77777777" w:rsidTr="005553E8">
        <w:tc>
          <w:tcPr>
            <w:tcW w:w="3110" w:type="dxa"/>
            <w:vMerge w:val="restart"/>
            <w:vAlign w:val="center"/>
          </w:tcPr>
          <w:p w14:paraId="6DC2A760" w14:textId="77777777" w:rsidR="00101352" w:rsidRPr="00AC3AD2" w:rsidRDefault="00101352" w:rsidP="005553E8">
            <w:pPr>
              <w:spacing w:line="240" w:lineRule="auto"/>
              <w:ind w:firstLine="0"/>
              <w:contextualSpacing/>
              <w:rPr>
                <w:b/>
                <w:iCs/>
                <w:color w:val="1F497D" w:themeColor="text2"/>
                <w:szCs w:val="18"/>
              </w:rPr>
            </w:pPr>
            <w:r w:rsidRPr="00AC3AD2">
              <w:rPr>
                <w:b/>
                <w:iCs/>
                <w:color w:val="1F497D" w:themeColor="text2"/>
                <w:szCs w:val="18"/>
              </w:rPr>
              <w:t>Discount</w:t>
            </w:r>
            <w:r>
              <w:rPr>
                <w:b/>
                <w:iCs/>
                <w:color w:val="1F497D" w:themeColor="text2"/>
                <w:szCs w:val="18"/>
              </w:rPr>
              <w:br/>
            </w:r>
            <w:r w:rsidRPr="00AC3AD2">
              <w:rPr>
                <w:b/>
                <w:iCs/>
                <w:color w:val="1F497D" w:themeColor="text2"/>
                <w:szCs w:val="18"/>
              </w:rPr>
              <w:t>Rate</w:t>
            </w:r>
          </w:p>
        </w:tc>
        <w:tc>
          <w:tcPr>
            <w:tcW w:w="6220" w:type="dxa"/>
            <w:gridSpan w:val="2"/>
            <w:vAlign w:val="center"/>
          </w:tcPr>
          <w:p w14:paraId="5F9BFFC4" w14:textId="77777777" w:rsidR="00101352" w:rsidRPr="00AC3AD2" w:rsidRDefault="00101352" w:rsidP="005553E8">
            <w:pPr>
              <w:spacing w:line="240" w:lineRule="auto"/>
              <w:ind w:firstLine="0"/>
              <w:contextualSpacing/>
              <w:jc w:val="center"/>
              <w:rPr>
                <w:b/>
                <w:iCs/>
                <w:color w:val="1F497D" w:themeColor="text2"/>
                <w:szCs w:val="18"/>
                <w:u w:val="double"/>
              </w:rPr>
            </w:pPr>
            <w:r w:rsidRPr="00AC3AD2">
              <w:rPr>
                <w:b/>
                <w:iCs/>
                <w:color w:val="1F497D" w:themeColor="text2"/>
                <w:szCs w:val="18"/>
                <w:u w:val="double"/>
              </w:rPr>
              <w:t>Risk Estimate</w:t>
            </w:r>
          </w:p>
        </w:tc>
      </w:tr>
      <w:tr w:rsidR="00101352" w14:paraId="7904962B" w14:textId="77777777" w:rsidTr="005553E8">
        <w:tc>
          <w:tcPr>
            <w:tcW w:w="3110" w:type="dxa"/>
            <w:vMerge/>
            <w:tcBorders>
              <w:bottom w:val="double" w:sz="4" w:space="0" w:color="auto"/>
            </w:tcBorders>
            <w:vAlign w:val="center"/>
          </w:tcPr>
          <w:p w14:paraId="3C235D76" w14:textId="77777777" w:rsidR="00101352" w:rsidRPr="00AC3AD2" w:rsidRDefault="00101352" w:rsidP="005553E8">
            <w:pPr>
              <w:spacing w:line="240" w:lineRule="auto"/>
              <w:ind w:firstLine="0"/>
              <w:contextualSpacing/>
              <w:rPr>
                <w:b/>
                <w:iCs/>
                <w:color w:val="1F497D" w:themeColor="text2"/>
                <w:szCs w:val="18"/>
              </w:rPr>
            </w:pPr>
          </w:p>
        </w:tc>
        <w:tc>
          <w:tcPr>
            <w:tcW w:w="3110" w:type="dxa"/>
            <w:tcBorders>
              <w:bottom w:val="double" w:sz="4" w:space="0" w:color="auto"/>
            </w:tcBorders>
            <w:vAlign w:val="center"/>
          </w:tcPr>
          <w:p w14:paraId="33C54B6A" w14:textId="77777777" w:rsidR="00101352" w:rsidRPr="00AC3AD2" w:rsidRDefault="00101352" w:rsidP="005553E8">
            <w:pPr>
              <w:spacing w:line="240" w:lineRule="auto"/>
              <w:ind w:firstLine="0"/>
              <w:contextualSpacing/>
              <w:jc w:val="center"/>
              <w:rPr>
                <w:b/>
                <w:iCs/>
                <w:color w:val="1F497D" w:themeColor="text2"/>
                <w:szCs w:val="18"/>
              </w:rPr>
            </w:pPr>
            <w:r w:rsidRPr="00AC3AD2">
              <w:rPr>
                <w:b/>
                <w:iCs/>
                <w:color w:val="1F497D" w:themeColor="text2"/>
                <w:szCs w:val="18"/>
              </w:rPr>
              <w:t>“Lower Bound”</w:t>
            </w:r>
          </w:p>
        </w:tc>
        <w:tc>
          <w:tcPr>
            <w:tcW w:w="3110" w:type="dxa"/>
            <w:tcBorders>
              <w:bottom w:val="double" w:sz="4" w:space="0" w:color="auto"/>
            </w:tcBorders>
            <w:vAlign w:val="center"/>
          </w:tcPr>
          <w:p w14:paraId="32EAE94A" w14:textId="77777777" w:rsidR="00101352" w:rsidRPr="00AC3AD2" w:rsidRDefault="00101352" w:rsidP="005553E8">
            <w:pPr>
              <w:spacing w:line="240" w:lineRule="auto"/>
              <w:ind w:firstLine="0"/>
              <w:contextualSpacing/>
              <w:jc w:val="center"/>
              <w:rPr>
                <w:b/>
                <w:iCs/>
                <w:color w:val="1F497D" w:themeColor="text2"/>
                <w:szCs w:val="18"/>
              </w:rPr>
            </w:pPr>
            <w:r w:rsidRPr="00AC3AD2">
              <w:rPr>
                <w:b/>
                <w:iCs/>
                <w:color w:val="1F497D" w:themeColor="text2"/>
                <w:szCs w:val="18"/>
              </w:rPr>
              <w:t>“Upper Bound”</w:t>
            </w:r>
          </w:p>
        </w:tc>
      </w:tr>
      <w:tr w:rsidR="00101352" w14:paraId="24A52B79" w14:textId="77777777" w:rsidTr="005553E8">
        <w:tc>
          <w:tcPr>
            <w:tcW w:w="9330" w:type="dxa"/>
            <w:gridSpan w:val="3"/>
            <w:tcBorders>
              <w:top w:val="double" w:sz="4" w:space="0" w:color="auto"/>
              <w:bottom w:val="double" w:sz="4" w:space="0" w:color="auto"/>
            </w:tcBorders>
            <w:vAlign w:val="center"/>
          </w:tcPr>
          <w:p w14:paraId="4001EB1A" w14:textId="77777777" w:rsidR="00101352" w:rsidRPr="00AC3AD2" w:rsidRDefault="00101352" w:rsidP="005553E8">
            <w:pPr>
              <w:spacing w:line="240" w:lineRule="auto"/>
              <w:ind w:firstLine="0"/>
              <w:contextualSpacing/>
              <w:rPr>
                <w:i/>
                <w:iCs/>
                <w:color w:val="1F497D" w:themeColor="text2"/>
                <w:szCs w:val="18"/>
              </w:rPr>
            </w:pPr>
            <w:r w:rsidRPr="00AC3AD2">
              <w:rPr>
                <w:i/>
                <w:iCs/>
                <w:color w:val="1F497D" w:themeColor="text2"/>
                <w:szCs w:val="18"/>
              </w:rPr>
              <w:t>3%</w:t>
            </w:r>
          </w:p>
        </w:tc>
      </w:tr>
      <w:tr w:rsidR="00101352" w14:paraId="4E88581C" w14:textId="77777777" w:rsidTr="005553E8">
        <w:tc>
          <w:tcPr>
            <w:tcW w:w="3110" w:type="dxa"/>
            <w:tcBorders>
              <w:top w:val="double" w:sz="4" w:space="0" w:color="auto"/>
            </w:tcBorders>
            <w:vAlign w:val="center"/>
          </w:tcPr>
          <w:p w14:paraId="6F81916D" w14:textId="77777777" w:rsidR="00101352" w:rsidRPr="00AC3AD2" w:rsidRDefault="00101352" w:rsidP="005553E8">
            <w:pPr>
              <w:spacing w:line="240" w:lineRule="auto"/>
              <w:ind w:firstLine="0"/>
              <w:contextualSpacing/>
              <w:jc w:val="right"/>
              <w:rPr>
                <w:b/>
                <w:iCs/>
                <w:color w:val="1F497D" w:themeColor="text2"/>
                <w:szCs w:val="18"/>
              </w:rPr>
            </w:pPr>
            <w:r w:rsidRPr="00AC3AD2">
              <w:rPr>
                <w:b/>
                <w:iCs/>
                <w:color w:val="1F497D" w:themeColor="text2"/>
                <w:szCs w:val="18"/>
              </w:rPr>
              <w:t>Household Size = 3</w:t>
            </w:r>
          </w:p>
        </w:tc>
        <w:tc>
          <w:tcPr>
            <w:tcW w:w="3110" w:type="dxa"/>
            <w:tcBorders>
              <w:top w:val="double" w:sz="4" w:space="0" w:color="auto"/>
            </w:tcBorders>
            <w:vAlign w:val="center"/>
          </w:tcPr>
          <w:p w14:paraId="58B505F2" w14:textId="77777777" w:rsidR="00101352" w:rsidRDefault="00101352" w:rsidP="005553E8">
            <w:pPr>
              <w:spacing w:line="240" w:lineRule="auto"/>
              <w:ind w:firstLine="0"/>
              <w:contextualSpacing/>
              <w:jc w:val="center"/>
              <w:rPr>
                <w:iCs/>
                <w:color w:val="1F497D" w:themeColor="text2"/>
                <w:szCs w:val="18"/>
              </w:rPr>
            </w:pPr>
            <w:r>
              <w:rPr>
                <w:iCs/>
                <w:color w:val="1F497D" w:themeColor="text2"/>
                <w:szCs w:val="18"/>
              </w:rPr>
              <w:t>3,301–10,000</w:t>
            </w:r>
            <w:r>
              <w:rPr>
                <w:iCs/>
                <w:color w:val="1F497D" w:themeColor="text2"/>
                <w:szCs w:val="18"/>
              </w:rPr>
              <w:br/>
              <w:t>$15.95</w:t>
            </w:r>
          </w:p>
        </w:tc>
        <w:tc>
          <w:tcPr>
            <w:tcW w:w="3110" w:type="dxa"/>
            <w:tcBorders>
              <w:top w:val="double" w:sz="4" w:space="0" w:color="auto"/>
            </w:tcBorders>
            <w:vAlign w:val="center"/>
          </w:tcPr>
          <w:p w14:paraId="33B1FECA" w14:textId="77777777" w:rsidR="00101352" w:rsidRDefault="00101352" w:rsidP="005553E8">
            <w:pPr>
              <w:spacing w:line="240" w:lineRule="auto"/>
              <w:ind w:firstLine="0"/>
              <w:contextualSpacing/>
              <w:jc w:val="center"/>
              <w:rPr>
                <w:iCs/>
                <w:color w:val="1F497D" w:themeColor="text2"/>
                <w:szCs w:val="18"/>
              </w:rPr>
            </w:pPr>
            <w:r>
              <w:rPr>
                <w:iCs/>
                <w:color w:val="1F497D" w:themeColor="text2"/>
                <w:szCs w:val="18"/>
              </w:rPr>
              <w:t>101–500</w:t>
            </w:r>
            <w:r>
              <w:rPr>
                <w:iCs/>
                <w:color w:val="1F497D" w:themeColor="text2"/>
                <w:szCs w:val="18"/>
              </w:rPr>
              <w:br/>
              <w:t>$92.15</w:t>
            </w:r>
          </w:p>
        </w:tc>
      </w:tr>
      <w:tr w:rsidR="00101352" w14:paraId="03D0AA06" w14:textId="77777777" w:rsidTr="005553E8">
        <w:tc>
          <w:tcPr>
            <w:tcW w:w="3110" w:type="dxa"/>
            <w:tcBorders>
              <w:bottom w:val="double" w:sz="4" w:space="0" w:color="auto"/>
            </w:tcBorders>
            <w:vAlign w:val="center"/>
          </w:tcPr>
          <w:p w14:paraId="5FA90402" w14:textId="77777777" w:rsidR="00101352" w:rsidRPr="00AC3AD2" w:rsidRDefault="00101352" w:rsidP="005553E8">
            <w:pPr>
              <w:spacing w:line="240" w:lineRule="auto"/>
              <w:ind w:firstLine="0"/>
              <w:contextualSpacing/>
              <w:jc w:val="right"/>
              <w:rPr>
                <w:b/>
                <w:iCs/>
                <w:color w:val="1F497D" w:themeColor="text2"/>
                <w:szCs w:val="18"/>
              </w:rPr>
            </w:pPr>
            <w:r w:rsidRPr="00AC3AD2">
              <w:rPr>
                <w:b/>
                <w:iCs/>
                <w:color w:val="1F497D" w:themeColor="text2"/>
                <w:szCs w:val="18"/>
              </w:rPr>
              <w:t>Household Size = 5</w:t>
            </w:r>
          </w:p>
        </w:tc>
        <w:tc>
          <w:tcPr>
            <w:tcW w:w="3110" w:type="dxa"/>
            <w:tcBorders>
              <w:bottom w:val="double" w:sz="4" w:space="0" w:color="auto"/>
            </w:tcBorders>
            <w:vAlign w:val="center"/>
          </w:tcPr>
          <w:p w14:paraId="720BB8C2" w14:textId="77777777" w:rsidR="00101352" w:rsidRDefault="00101352" w:rsidP="005553E8">
            <w:pPr>
              <w:spacing w:line="240" w:lineRule="auto"/>
              <w:ind w:firstLine="0"/>
              <w:contextualSpacing/>
              <w:jc w:val="center"/>
              <w:rPr>
                <w:iCs/>
                <w:color w:val="1F497D" w:themeColor="text2"/>
                <w:szCs w:val="18"/>
              </w:rPr>
            </w:pPr>
            <w:r>
              <w:rPr>
                <w:iCs/>
                <w:color w:val="1F497D" w:themeColor="text2"/>
                <w:szCs w:val="18"/>
              </w:rPr>
              <w:t>501–1,000</w:t>
            </w:r>
            <w:r>
              <w:rPr>
                <w:iCs/>
                <w:color w:val="1F497D" w:themeColor="text2"/>
                <w:szCs w:val="18"/>
              </w:rPr>
              <w:br/>
              <w:t>$18.71</w:t>
            </w:r>
          </w:p>
        </w:tc>
        <w:tc>
          <w:tcPr>
            <w:tcW w:w="3110" w:type="dxa"/>
            <w:tcBorders>
              <w:bottom w:val="double" w:sz="4" w:space="0" w:color="auto"/>
            </w:tcBorders>
            <w:vAlign w:val="center"/>
          </w:tcPr>
          <w:p w14:paraId="46BBEA3B" w14:textId="77777777" w:rsidR="00101352" w:rsidRDefault="00101352" w:rsidP="005553E8">
            <w:pPr>
              <w:spacing w:line="240" w:lineRule="auto"/>
              <w:ind w:firstLine="0"/>
              <w:contextualSpacing/>
              <w:jc w:val="center"/>
              <w:rPr>
                <w:iCs/>
                <w:color w:val="1F497D" w:themeColor="text2"/>
                <w:szCs w:val="18"/>
              </w:rPr>
            </w:pPr>
            <w:r>
              <w:rPr>
                <w:iCs/>
                <w:color w:val="1F497D" w:themeColor="text2"/>
                <w:szCs w:val="18"/>
              </w:rPr>
              <w:t>&lt; 100</w:t>
            </w:r>
          </w:p>
          <w:p w14:paraId="3215A7BC" w14:textId="77777777" w:rsidR="00101352" w:rsidRDefault="00101352" w:rsidP="005553E8">
            <w:pPr>
              <w:spacing w:line="240" w:lineRule="auto"/>
              <w:ind w:firstLine="0"/>
              <w:contextualSpacing/>
              <w:jc w:val="center"/>
              <w:rPr>
                <w:iCs/>
                <w:color w:val="1F497D" w:themeColor="text2"/>
                <w:szCs w:val="18"/>
              </w:rPr>
            </w:pPr>
            <w:r>
              <w:rPr>
                <w:iCs/>
                <w:color w:val="1F497D" w:themeColor="text2"/>
                <w:szCs w:val="18"/>
              </w:rPr>
              <w:t>$97.60</w:t>
            </w:r>
          </w:p>
        </w:tc>
      </w:tr>
      <w:tr w:rsidR="00101352" w14:paraId="53722CBE" w14:textId="77777777" w:rsidTr="005553E8">
        <w:tc>
          <w:tcPr>
            <w:tcW w:w="9330" w:type="dxa"/>
            <w:gridSpan w:val="3"/>
            <w:tcBorders>
              <w:top w:val="double" w:sz="4" w:space="0" w:color="auto"/>
              <w:bottom w:val="double" w:sz="4" w:space="0" w:color="auto"/>
            </w:tcBorders>
            <w:vAlign w:val="center"/>
          </w:tcPr>
          <w:p w14:paraId="771749AB" w14:textId="77777777" w:rsidR="00101352" w:rsidRPr="00AC3AD2" w:rsidRDefault="00101352" w:rsidP="005553E8">
            <w:pPr>
              <w:spacing w:line="240" w:lineRule="auto"/>
              <w:ind w:firstLine="0"/>
              <w:rPr>
                <w:i/>
                <w:iCs/>
                <w:color w:val="1F497D" w:themeColor="text2"/>
                <w:szCs w:val="18"/>
              </w:rPr>
            </w:pPr>
            <w:r w:rsidRPr="00AC3AD2">
              <w:rPr>
                <w:i/>
                <w:iCs/>
                <w:color w:val="1F497D" w:themeColor="text2"/>
                <w:szCs w:val="18"/>
              </w:rPr>
              <w:t>7%</w:t>
            </w:r>
          </w:p>
        </w:tc>
      </w:tr>
      <w:tr w:rsidR="00101352" w14:paraId="60351665" w14:textId="77777777" w:rsidTr="005553E8">
        <w:tc>
          <w:tcPr>
            <w:tcW w:w="3110" w:type="dxa"/>
            <w:tcBorders>
              <w:top w:val="double" w:sz="4" w:space="0" w:color="auto"/>
            </w:tcBorders>
            <w:vAlign w:val="center"/>
          </w:tcPr>
          <w:p w14:paraId="5E2B462B" w14:textId="77777777" w:rsidR="00101352" w:rsidRPr="00AC3AD2" w:rsidRDefault="00101352" w:rsidP="005553E8">
            <w:pPr>
              <w:spacing w:line="240" w:lineRule="auto"/>
              <w:ind w:firstLine="0"/>
              <w:contextualSpacing/>
              <w:jc w:val="right"/>
              <w:rPr>
                <w:b/>
                <w:iCs/>
                <w:color w:val="1F497D" w:themeColor="text2"/>
                <w:szCs w:val="18"/>
              </w:rPr>
            </w:pPr>
            <w:r w:rsidRPr="00AC3AD2">
              <w:rPr>
                <w:b/>
                <w:iCs/>
                <w:color w:val="1F497D" w:themeColor="text2"/>
                <w:szCs w:val="18"/>
              </w:rPr>
              <w:t>Household Size = 3</w:t>
            </w:r>
          </w:p>
        </w:tc>
        <w:tc>
          <w:tcPr>
            <w:tcW w:w="3110" w:type="dxa"/>
            <w:tcBorders>
              <w:top w:val="double" w:sz="4" w:space="0" w:color="auto"/>
            </w:tcBorders>
            <w:vAlign w:val="center"/>
          </w:tcPr>
          <w:p w14:paraId="3D2FD4F6" w14:textId="77777777" w:rsidR="00101352" w:rsidRDefault="00101352" w:rsidP="005553E8">
            <w:pPr>
              <w:spacing w:line="240" w:lineRule="auto"/>
              <w:ind w:firstLine="0"/>
              <w:jc w:val="center"/>
              <w:rPr>
                <w:iCs/>
                <w:color w:val="1F497D" w:themeColor="text2"/>
                <w:szCs w:val="18"/>
              </w:rPr>
            </w:pPr>
            <w:r>
              <w:rPr>
                <w:iCs/>
                <w:color w:val="1F497D" w:themeColor="text2"/>
                <w:szCs w:val="18"/>
              </w:rPr>
              <w:t>&gt;</w:t>
            </w:r>
            <w:r w:rsidRPr="00682CB2">
              <w:rPr>
                <w:iCs/>
                <w:color w:val="1F497D" w:themeColor="text2"/>
                <w:szCs w:val="18"/>
              </w:rPr>
              <w:t>1 million</w:t>
            </w:r>
            <w:r>
              <w:rPr>
                <w:iCs/>
                <w:color w:val="1F497D" w:themeColor="text2"/>
                <w:szCs w:val="18"/>
              </w:rPr>
              <w:br/>
            </w:r>
            <w:r w:rsidRPr="001A5BFE">
              <w:rPr>
                <w:iCs/>
                <w:color w:val="1F497D" w:themeColor="text2"/>
                <w:szCs w:val="18"/>
              </w:rPr>
              <w:t>$</w:t>
            </w:r>
            <w:r>
              <w:rPr>
                <w:iCs/>
                <w:color w:val="1F497D" w:themeColor="text2"/>
                <w:szCs w:val="18"/>
              </w:rPr>
              <w:t>3.28</w:t>
            </w:r>
          </w:p>
        </w:tc>
        <w:tc>
          <w:tcPr>
            <w:tcW w:w="3110" w:type="dxa"/>
            <w:tcBorders>
              <w:top w:val="double" w:sz="4" w:space="0" w:color="auto"/>
            </w:tcBorders>
            <w:vAlign w:val="center"/>
          </w:tcPr>
          <w:p w14:paraId="6F09A613" w14:textId="77777777" w:rsidR="00101352" w:rsidRDefault="00101352" w:rsidP="005553E8">
            <w:pPr>
              <w:spacing w:line="240" w:lineRule="auto"/>
              <w:ind w:firstLine="0"/>
              <w:jc w:val="center"/>
              <w:rPr>
                <w:iCs/>
                <w:color w:val="1F497D" w:themeColor="text2"/>
                <w:szCs w:val="18"/>
              </w:rPr>
            </w:pPr>
            <w:r>
              <w:rPr>
                <w:iCs/>
                <w:color w:val="1F497D" w:themeColor="text2"/>
                <w:szCs w:val="18"/>
              </w:rPr>
              <w:t>&gt;</w:t>
            </w:r>
            <w:r w:rsidRPr="00682CB2">
              <w:rPr>
                <w:iCs/>
                <w:color w:val="1F497D" w:themeColor="text2"/>
                <w:szCs w:val="18"/>
              </w:rPr>
              <w:t>1 million</w:t>
            </w:r>
            <w:r>
              <w:rPr>
                <w:iCs/>
                <w:color w:val="1F497D" w:themeColor="text2"/>
                <w:szCs w:val="18"/>
              </w:rPr>
              <w:br/>
            </w:r>
            <w:r w:rsidRPr="001A5BFE">
              <w:rPr>
                <w:iCs/>
                <w:color w:val="1F497D" w:themeColor="text2"/>
                <w:szCs w:val="18"/>
              </w:rPr>
              <w:t>$18.81</w:t>
            </w:r>
          </w:p>
        </w:tc>
      </w:tr>
      <w:tr w:rsidR="00101352" w14:paraId="413F3D32" w14:textId="77777777" w:rsidTr="005553E8">
        <w:tc>
          <w:tcPr>
            <w:tcW w:w="3110" w:type="dxa"/>
            <w:tcBorders>
              <w:bottom w:val="double" w:sz="4" w:space="0" w:color="auto"/>
            </w:tcBorders>
            <w:vAlign w:val="center"/>
          </w:tcPr>
          <w:p w14:paraId="6FA90551" w14:textId="77777777" w:rsidR="00101352" w:rsidRPr="00AC3AD2" w:rsidRDefault="00101352" w:rsidP="005553E8">
            <w:pPr>
              <w:spacing w:line="240" w:lineRule="auto"/>
              <w:ind w:firstLine="0"/>
              <w:contextualSpacing/>
              <w:jc w:val="right"/>
              <w:rPr>
                <w:b/>
                <w:iCs/>
                <w:color w:val="1F497D" w:themeColor="text2"/>
                <w:szCs w:val="18"/>
              </w:rPr>
            </w:pPr>
            <w:r w:rsidRPr="00AC3AD2">
              <w:rPr>
                <w:b/>
                <w:iCs/>
                <w:color w:val="1F497D" w:themeColor="text2"/>
                <w:szCs w:val="18"/>
              </w:rPr>
              <w:t>Household Size = 5</w:t>
            </w:r>
          </w:p>
        </w:tc>
        <w:tc>
          <w:tcPr>
            <w:tcW w:w="3110" w:type="dxa"/>
            <w:tcBorders>
              <w:bottom w:val="double" w:sz="4" w:space="0" w:color="auto"/>
            </w:tcBorders>
            <w:vAlign w:val="center"/>
          </w:tcPr>
          <w:p w14:paraId="423DF275" w14:textId="77777777" w:rsidR="00101352" w:rsidRPr="001A5BFE" w:rsidRDefault="00101352" w:rsidP="005553E8">
            <w:pPr>
              <w:spacing w:line="240" w:lineRule="auto"/>
              <w:ind w:firstLine="0"/>
              <w:jc w:val="center"/>
              <w:rPr>
                <w:iCs/>
                <w:color w:val="1F497D" w:themeColor="text2"/>
                <w:szCs w:val="18"/>
              </w:rPr>
            </w:pPr>
            <w:r>
              <w:rPr>
                <w:iCs/>
                <w:color w:val="1F497D" w:themeColor="text2"/>
                <w:szCs w:val="18"/>
              </w:rPr>
              <w:t>&gt;</w:t>
            </w:r>
            <w:r w:rsidRPr="001A5BFE">
              <w:rPr>
                <w:iCs/>
                <w:color w:val="1F497D" w:themeColor="text2"/>
                <w:szCs w:val="18"/>
              </w:rPr>
              <w:t>1 million</w:t>
            </w:r>
            <w:r>
              <w:rPr>
                <w:iCs/>
                <w:color w:val="1F497D" w:themeColor="text2"/>
                <w:szCs w:val="18"/>
              </w:rPr>
              <w:br/>
              <w:t>$6.05</w:t>
            </w:r>
          </w:p>
        </w:tc>
        <w:tc>
          <w:tcPr>
            <w:tcW w:w="3110" w:type="dxa"/>
            <w:tcBorders>
              <w:bottom w:val="double" w:sz="4" w:space="0" w:color="auto"/>
            </w:tcBorders>
            <w:vAlign w:val="center"/>
          </w:tcPr>
          <w:p w14:paraId="5D8B3A0F" w14:textId="77777777" w:rsidR="00101352" w:rsidRDefault="00101352" w:rsidP="005553E8">
            <w:pPr>
              <w:spacing w:line="240" w:lineRule="auto"/>
              <w:ind w:firstLine="0"/>
              <w:jc w:val="center"/>
              <w:rPr>
                <w:iCs/>
                <w:color w:val="1F497D" w:themeColor="text2"/>
                <w:szCs w:val="18"/>
              </w:rPr>
            </w:pPr>
            <w:r>
              <w:rPr>
                <w:iCs/>
                <w:color w:val="1F497D" w:themeColor="text2"/>
                <w:szCs w:val="18"/>
              </w:rPr>
              <w:t>10,001–50,000</w:t>
            </w:r>
            <w:r>
              <w:rPr>
                <w:iCs/>
                <w:color w:val="1F497D" w:themeColor="text2"/>
                <w:szCs w:val="18"/>
              </w:rPr>
              <w:br/>
              <w:t>$0.41</w:t>
            </w:r>
          </w:p>
        </w:tc>
      </w:tr>
      <w:tr w:rsidR="00101352" w14:paraId="655607D8" w14:textId="77777777" w:rsidTr="005553E8">
        <w:tc>
          <w:tcPr>
            <w:tcW w:w="9330" w:type="dxa"/>
            <w:gridSpan w:val="3"/>
            <w:tcBorders>
              <w:top w:val="double" w:sz="4" w:space="0" w:color="auto"/>
              <w:bottom w:val="double" w:sz="4" w:space="0" w:color="auto"/>
            </w:tcBorders>
            <w:vAlign w:val="center"/>
          </w:tcPr>
          <w:p w14:paraId="321B88A6" w14:textId="77777777" w:rsidR="00101352" w:rsidRDefault="00101352" w:rsidP="005553E8">
            <w:pPr>
              <w:spacing w:line="240" w:lineRule="auto"/>
              <w:ind w:firstLine="0"/>
              <w:contextualSpacing/>
              <w:rPr>
                <w:iCs/>
                <w:color w:val="1F497D" w:themeColor="text2"/>
                <w:szCs w:val="18"/>
              </w:rPr>
            </w:pPr>
            <w:r>
              <w:rPr>
                <w:iCs/>
                <w:color w:val="1F497D" w:themeColor="text2"/>
                <w:szCs w:val="18"/>
              </w:rPr>
              <w:t xml:space="preserve">Source: Derived from </w:t>
            </w:r>
            <w:r>
              <w:rPr>
                <w:iCs/>
                <w:noProof/>
                <w:color w:val="1F497D" w:themeColor="text2"/>
                <w:szCs w:val="18"/>
              </w:rPr>
              <w:t>USEPA (2000e)</w:t>
            </w:r>
            <w:r>
              <w:rPr>
                <w:iCs/>
                <w:color w:val="1F497D" w:themeColor="text2"/>
                <w:szCs w:val="18"/>
              </w:rPr>
              <w:t>.</w:t>
            </w:r>
          </w:p>
        </w:tc>
      </w:tr>
    </w:tbl>
    <w:p w14:paraId="3077C482" w14:textId="77777777" w:rsidR="00101352" w:rsidRDefault="00101352" w:rsidP="00101352">
      <w:pPr>
        <w:rPr>
          <w:iCs/>
          <w:color w:val="1F497D" w:themeColor="text2"/>
          <w:szCs w:val="18"/>
        </w:rPr>
      </w:pPr>
    </w:p>
    <w:p w14:paraId="7DBA7D4C" w14:textId="77777777" w:rsidR="00101352" w:rsidRDefault="00101352" w:rsidP="00101352">
      <w:pPr>
        <w:rPr>
          <w:iCs/>
          <w:color w:val="1F497D" w:themeColor="text2"/>
          <w:szCs w:val="18"/>
        </w:rPr>
        <w:sectPr w:rsidR="00101352" w:rsidSect="005553E8">
          <w:pgSz w:w="12240" w:h="15840"/>
          <w:pgMar w:top="1440" w:right="1440" w:bottom="1440" w:left="1440" w:header="720" w:footer="720" w:gutter="0"/>
          <w:cols w:space="720"/>
          <w:docGrid w:linePitch="360"/>
        </w:sectPr>
      </w:pPr>
    </w:p>
    <w:p w14:paraId="7665D726" w14:textId="77777777" w:rsidR="00101352" w:rsidRDefault="00101352" w:rsidP="00101352">
      <w:pPr>
        <w:spacing w:line="240" w:lineRule="auto"/>
        <w:ind w:firstLine="0"/>
        <w:rPr>
          <w:iCs/>
          <w:color w:val="000000" w:themeColor="text1"/>
          <w:szCs w:val="18"/>
        </w:rPr>
      </w:pPr>
      <w:r>
        <w:lastRenderedPageBreak/>
        <w:br w:type="page"/>
      </w:r>
    </w:p>
    <w:p w14:paraId="3BFBC776" w14:textId="77777777" w:rsidR="00101352" w:rsidRDefault="00101352" w:rsidP="00101352">
      <w:pPr>
        <w:pStyle w:val="Caption"/>
        <w:keepNext/>
      </w:pPr>
      <w:bookmarkStart w:id="65" w:name="_Ref536530038"/>
      <w:r>
        <w:lastRenderedPageBreak/>
        <w:t xml:space="preserve">Table </w:t>
      </w:r>
      <w:fldSimple w:instr=" STYLEREF 1 \s ">
        <w:r>
          <w:rPr>
            <w:noProof/>
          </w:rPr>
          <w:t>7</w:t>
        </w:r>
      </w:fldSimple>
      <w:r>
        <w:noBreakHyphen/>
      </w:r>
      <w:fldSimple w:instr=" SEQ Table \* ARABIC \s 1 ">
        <w:r>
          <w:rPr>
            <w:noProof/>
          </w:rPr>
          <w:t>11</w:t>
        </w:r>
      </w:fldSimple>
      <w:bookmarkEnd w:id="65"/>
      <w:r>
        <w:t>: Arsenic NPDWR: Savings per Household and Aggregate Savings from an Economic Feasibility Rule Based on USEPA-estimated Benefits and Costs</w:t>
      </w:r>
    </w:p>
    <w:tbl>
      <w:tblPr>
        <w:tblW w:w="8474" w:type="dxa"/>
        <w:tblLook w:val="04A0" w:firstRow="1" w:lastRow="0" w:firstColumn="1" w:lastColumn="0" w:noHBand="0" w:noVBand="1"/>
      </w:tblPr>
      <w:tblGrid>
        <w:gridCol w:w="2068"/>
        <w:gridCol w:w="1696"/>
        <w:gridCol w:w="1643"/>
        <w:gridCol w:w="1615"/>
        <w:gridCol w:w="1615"/>
      </w:tblGrid>
      <w:tr w:rsidR="00101352" w:rsidRPr="000977D1" w14:paraId="451F0786" w14:textId="77777777" w:rsidTr="005553E8">
        <w:trPr>
          <w:trHeight w:val="340"/>
        </w:trPr>
        <w:tc>
          <w:tcPr>
            <w:tcW w:w="2068" w:type="dxa"/>
            <w:vMerge w:val="restart"/>
            <w:tcBorders>
              <w:top w:val="double" w:sz="4" w:space="0" w:color="auto"/>
              <w:left w:val="double" w:sz="4" w:space="0" w:color="auto"/>
              <w:bottom w:val="single" w:sz="4" w:space="0" w:color="auto"/>
              <w:right w:val="single" w:sz="4" w:space="0" w:color="auto"/>
            </w:tcBorders>
            <w:shd w:val="clear" w:color="auto" w:fill="auto"/>
            <w:noWrap/>
            <w:tcMar>
              <w:left w:w="0" w:type="dxa"/>
              <w:right w:w="115" w:type="dxa"/>
            </w:tcMar>
            <w:vAlign w:val="center"/>
            <w:hideMark/>
          </w:tcPr>
          <w:p w14:paraId="451FE10B" w14:textId="77777777" w:rsidR="00101352" w:rsidRPr="000977D1" w:rsidRDefault="00101352" w:rsidP="005553E8">
            <w:pPr>
              <w:spacing w:line="240" w:lineRule="auto"/>
              <w:ind w:firstLine="0"/>
              <w:contextualSpacing/>
              <w:rPr>
                <w:b/>
              </w:rPr>
            </w:pPr>
            <w:r w:rsidRPr="000977D1">
              <w:rPr>
                <w:b/>
                <w:color w:val="000000"/>
              </w:rPr>
              <w:t>System Size</w:t>
            </w:r>
          </w:p>
        </w:tc>
        <w:tc>
          <w:tcPr>
            <w:tcW w:w="6406" w:type="dxa"/>
            <w:gridSpan w:val="4"/>
            <w:tcBorders>
              <w:top w:val="double" w:sz="4" w:space="0" w:color="auto"/>
              <w:left w:val="single" w:sz="4" w:space="0" w:color="auto"/>
              <w:bottom w:val="single" w:sz="4" w:space="0" w:color="auto"/>
              <w:right w:val="double" w:sz="4" w:space="0" w:color="auto"/>
            </w:tcBorders>
            <w:shd w:val="clear" w:color="auto" w:fill="auto"/>
            <w:noWrap/>
            <w:tcMar>
              <w:left w:w="0" w:type="dxa"/>
              <w:right w:w="115" w:type="dxa"/>
            </w:tcMar>
            <w:vAlign w:val="center"/>
            <w:hideMark/>
          </w:tcPr>
          <w:p w14:paraId="73094167" w14:textId="77777777" w:rsidR="00101352" w:rsidRPr="000977D1" w:rsidRDefault="00101352" w:rsidP="005553E8">
            <w:pPr>
              <w:spacing w:line="240" w:lineRule="auto"/>
              <w:ind w:firstLine="0"/>
              <w:contextualSpacing/>
              <w:jc w:val="center"/>
              <w:rPr>
                <w:b/>
                <w:color w:val="000000"/>
                <w:u w:val="single"/>
              </w:rPr>
            </w:pPr>
            <w:r w:rsidRPr="000977D1">
              <w:rPr>
                <w:b/>
                <w:color w:val="000000"/>
                <w:u w:val="single"/>
              </w:rPr>
              <w:t>MCL (</w:t>
            </w:r>
            <w:r>
              <w:rPr>
                <w:b/>
                <w:color w:val="000000"/>
                <w:u w:val="single"/>
              </w:rPr>
              <w:sym w:font="Symbol" w:char="F06D"/>
            </w:r>
            <w:r w:rsidRPr="000977D1">
              <w:rPr>
                <w:b/>
                <w:color w:val="000000"/>
                <w:u w:val="single"/>
              </w:rPr>
              <w:t>g/L)</w:t>
            </w:r>
          </w:p>
        </w:tc>
      </w:tr>
      <w:tr w:rsidR="00101352" w:rsidRPr="000977D1" w14:paraId="7F9AAC2C" w14:textId="77777777" w:rsidTr="005553E8">
        <w:trPr>
          <w:trHeight w:val="340"/>
        </w:trPr>
        <w:tc>
          <w:tcPr>
            <w:tcW w:w="2068" w:type="dxa"/>
            <w:vMerge/>
            <w:tcBorders>
              <w:top w:val="single" w:sz="4" w:space="0" w:color="auto"/>
              <w:left w:val="double" w:sz="4" w:space="0" w:color="auto"/>
              <w:bottom w:val="double" w:sz="4" w:space="0" w:color="auto"/>
              <w:right w:val="single" w:sz="4" w:space="0" w:color="auto"/>
            </w:tcBorders>
            <w:shd w:val="clear" w:color="auto" w:fill="auto"/>
            <w:noWrap/>
            <w:tcMar>
              <w:left w:w="0" w:type="dxa"/>
              <w:right w:w="115" w:type="dxa"/>
            </w:tcMar>
            <w:vAlign w:val="center"/>
            <w:hideMark/>
          </w:tcPr>
          <w:p w14:paraId="52708A4D" w14:textId="77777777" w:rsidR="00101352" w:rsidRPr="000977D1" w:rsidRDefault="00101352" w:rsidP="005553E8">
            <w:pPr>
              <w:spacing w:line="240" w:lineRule="auto"/>
              <w:ind w:firstLine="0"/>
              <w:contextualSpacing/>
              <w:rPr>
                <w:b/>
                <w:color w:val="000000"/>
              </w:rPr>
            </w:pPr>
          </w:p>
        </w:tc>
        <w:tc>
          <w:tcPr>
            <w:tcW w:w="1688" w:type="dxa"/>
            <w:tcBorders>
              <w:top w:val="single" w:sz="4" w:space="0" w:color="auto"/>
              <w:left w:val="single" w:sz="4" w:space="0" w:color="auto"/>
              <w:bottom w:val="double" w:sz="4" w:space="0" w:color="auto"/>
              <w:right w:val="single" w:sz="4" w:space="0" w:color="auto"/>
            </w:tcBorders>
            <w:shd w:val="clear" w:color="auto" w:fill="auto"/>
            <w:noWrap/>
            <w:tcMar>
              <w:left w:w="0" w:type="dxa"/>
              <w:right w:w="115" w:type="dxa"/>
            </w:tcMar>
            <w:vAlign w:val="center"/>
            <w:hideMark/>
          </w:tcPr>
          <w:p w14:paraId="42769805" w14:textId="77777777" w:rsidR="00101352" w:rsidRPr="000977D1" w:rsidRDefault="00101352" w:rsidP="005553E8">
            <w:pPr>
              <w:spacing w:line="240" w:lineRule="auto"/>
              <w:ind w:firstLine="0"/>
              <w:contextualSpacing/>
              <w:jc w:val="right"/>
              <w:rPr>
                <w:b/>
                <w:color w:val="000000"/>
              </w:rPr>
            </w:pPr>
            <w:r w:rsidRPr="000977D1">
              <w:rPr>
                <w:b/>
                <w:color w:val="000000"/>
              </w:rPr>
              <w:t>3</w:t>
            </w:r>
          </w:p>
        </w:tc>
        <w:tc>
          <w:tcPr>
            <w:tcW w:w="1635" w:type="dxa"/>
            <w:tcBorders>
              <w:top w:val="single" w:sz="4" w:space="0" w:color="auto"/>
              <w:left w:val="single" w:sz="4" w:space="0" w:color="auto"/>
              <w:bottom w:val="double" w:sz="4" w:space="0" w:color="auto"/>
              <w:right w:val="single" w:sz="4" w:space="0" w:color="auto"/>
            </w:tcBorders>
            <w:shd w:val="clear" w:color="auto" w:fill="auto"/>
            <w:noWrap/>
            <w:tcMar>
              <w:left w:w="0" w:type="dxa"/>
              <w:right w:w="115" w:type="dxa"/>
            </w:tcMar>
            <w:vAlign w:val="center"/>
            <w:hideMark/>
          </w:tcPr>
          <w:p w14:paraId="5AB2CECF" w14:textId="77777777" w:rsidR="00101352" w:rsidRPr="000977D1" w:rsidRDefault="00101352" w:rsidP="005553E8">
            <w:pPr>
              <w:spacing w:line="240" w:lineRule="auto"/>
              <w:ind w:firstLine="0"/>
              <w:contextualSpacing/>
              <w:jc w:val="right"/>
              <w:rPr>
                <w:b/>
                <w:color w:val="000000"/>
              </w:rPr>
            </w:pPr>
            <w:r w:rsidRPr="000977D1">
              <w:rPr>
                <w:b/>
                <w:color w:val="000000"/>
              </w:rPr>
              <w:t>5</w:t>
            </w:r>
          </w:p>
        </w:tc>
        <w:tc>
          <w:tcPr>
            <w:tcW w:w="1543" w:type="dxa"/>
            <w:tcBorders>
              <w:top w:val="single" w:sz="4" w:space="0" w:color="auto"/>
              <w:left w:val="single" w:sz="4" w:space="0" w:color="auto"/>
              <w:bottom w:val="double" w:sz="4" w:space="0" w:color="auto"/>
              <w:right w:val="single" w:sz="4" w:space="0" w:color="auto"/>
            </w:tcBorders>
            <w:shd w:val="clear" w:color="auto" w:fill="auto"/>
            <w:noWrap/>
            <w:tcMar>
              <w:left w:w="0" w:type="dxa"/>
              <w:right w:w="115" w:type="dxa"/>
            </w:tcMar>
            <w:vAlign w:val="center"/>
            <w:hideMark/>
          </w:tcPr>
          <w:p w14:paraId="18B4B09F" w14:textId="77777777" w:rsidR="00101352" w:rsidRPr="000977D1" w:rsidRDefault="00101352" w:rsidP="005553E8">
            <w:pPr>
              <w:spacing w:line="240" w:lineRule="auto"/>
              <w:ind w:firstLine="0"/>
              <w:contextualSpacing/>
              <w:jc w:val="right"/>
              <w:rPr>
                <w:b/>
                <w:color w:val="000000"/>
              </w:rPr>
            </w:pPr>
            <w:r w:rsidRPr="000977D1">
              <w:rPr>
                <w:b/>
                <w:color w:val="000000"/>
              </w:rPr>
              <w:t>10</w:t>
            </w:r>
          </w:p>
        </w:tc>
        <w:tc>
          <w:tcPr>
            <w:tcW w:w="1540" w:type="dxa"/>
            <w:tcBorders>
              <w:top w:val="single" w:sz="4" w:space="0" w:color="auto"/>
              <w:left w:val="single" w:sz="4" w:space="0" w:color="auto"/>
              <w:bottom w:val="double" w:sz="4" w:space="0" w:color="auto"/>
              <w:right w:val="double" w:sz="4" w:space="0" w:color="auto"/>
            </w:tcBorders>
            <w:shd w:val="clear" w:color="auto" w:fill="auto"/>
            <w:noWrap/>
            <w:tcMar>
              <w:left w:w="0" w:type="dxa"/>
              <w:right w:w="115" w:type="dxa"/>
            </w:tcMar>
            <w:vAlign w:val="center"/>
            <w:hideMark/>
          </w:tcPr>
          <w:p w14:paraId="66E879EF" w14:textId="77777777" w:rsidR="00101352" w:rsidRPr="000977D1" w:rsidRDefault="00101352" w:rsidP="005553E8">
            <w:pPr>
              <w:spacing w:line="240" w:lineRule="auto"/>
              <w:ind w:firstLine="0"/>
              <w:contextualSpacing/>
              <w:jc w:val="right"/>
              <w:rPr>
                <w:b/>
                <w:color w:val="000000"/>
              </w:rPr>
            </w:pPr>
            <w:r w:rsidRPr="000977D1">
              <w:rPr>
                <w:b/>
                <w:color w:val="000000"/>
              </w:rPr>
              <w:t>20</w:t>
            </w:r>
          </w:p>
        </w:tc>
      </w:tr>
      <w:tr w:rsidR="00101352" w:rsidRPr="000977D1" w14:paraId="0FE17F2B" w14:textId="77777777" w:rsidTr="005553E8">
        <w:trPr>
          <w:trHeight w:hRule="exact" w:val="346"/>
        </w:trPr>
        <w:tc>
          <w:tcPr>
            <w:tcW w:w="8474" w:type="dxa"/>
            <w:gridSpan w:val="5"/>
            <w:tcBorders>
              <w:top w:val="double" w:sz="4" w:space="0" w:color="auto"/>
              <w:left w:val="double" w:sz="4" w:space="0" w:color="auto"/>
              <w:bottom w:val="single" w:sz="4" w:space="0" w:color="auto"/>
              <w:right w:val="double" w:sz="4" w:space="0" w:color="auto"/>
            </w:tcBorders>
            <w:shd w:val="clear" w:color="auto" w:fill="auto"/>
            <w:noWrap/>
            <w:tcMar>
              <w:left w:w="0" w:type="dxa"/>
              <w:right w:w="115" w:type="dxa"/>
            </w:tcMar>
            <w:vAlign w:val="center"/>
          </w:tcPr>
          <w:p w14:paraId="6BCC18D4" w14:textId="77777777" w:rsidR="00101352" w:rsidRPr="0059722E" w:rsidRDefault="00101352" w:rsidP="005553E8">
            <w:pPr>
              <w:ind w:firstLine="0"/>
              <w:jc w:val="center"/>
              <w:rPr>
                <w:b/>
                <w:color w:val="000000"/>
              </w:rPr>
            </w:pPr>
            <w:r w:rsidRPr="0059722E">
              <w:rPr>
                <w:b/>
                <w:color w:val="000000"/>
              </w:rPr>
              <w:t>Savings</w:t>
            </w:r>
            <w:r>
              <w:rPr>
                <w:b/>
                <w:color w:val="000000"/>
              </w:rPr>
              <w:t>/</w:t>
            </w:r>
            <w:r w:rsidRPr="0059722E">
              <w:rPr>
                <w:b/>
                <w:color w:val="000000"/>
              </w:rPr>
              <w:t>Household Served by Systems Expected to Treat</w:t>
            </w:r>
            <w:r>
              <w:rPr>
                <w:b/>
                <w:color w:val="000000"/>
              </w:rPr>
              <w:t xml:space="preserve"> ($/Yr)</w:t>
            </w:r>
          </w:p>
        </w:tc>
      </w:tr>
      <w:tr w:rsidR="00101352" w:rsidRPr="000977D1" w14:paraId="5375F387" w14:textId="77777777" w:rsidTr="005553E8">
        <w:trPr>
          <w:trHeight w:hRule="exact" w:val="346"/>
        </w:trPr>
        <w:tc>
          <w:tcPr>
            <w:tcW w:w="2068" w:type="dxa"/>
            <w:tcBorders>
              <w:top w:val="double" w:sz="4" w:space="0" w:color="auto"/>
              <w:left w:val="double" w:sz="4" w:space="0" w:color="auto"/>
              <w:bottom w:val="single" w:sz="4" w:space="0" w:color="auto"/>
              <w:right w:val="single" w:sz="4" w:space="0" w:color="auto"/>
            </w:tcBorders>
            <w:shd w:val="clear" w:color="auto" w:fill="auto"/>
            <w:noWrap/>
            <w:tcMar>
              <w:left w:w="0" w:type="dxa"/>
              <w:right w:w="115" w:type="dxa"/>
            </w:tcMar>
            <w:vAlign w:val="center"/>
          </w:tcPr>
          <w:p w14:paraId="58D85BBA" w14:textId="77777777" w:rsidR="00101352" w:rsidRPr="000977D1" w:rsidRDefault="00101352" w:rsidP="005553E8">
            <w:pPr>
              <w:spacing w:line="240" w:lineRule="auto"/>
              <w:ind w:firstLine="0"/>
              <w:contextualSpacing/>
              <w:rPr>
                <w:color w:val="000000"/>
              </w:rPr>
            </w:pPr>
            <w:r w:rsidRPr="000977D1">
              <w:rPr>
                <w:color w:val="000000"/>
              </w:rPr>
              <w:t>&lt;100</w:t>
            </w:r>
          </w:p>
        </w:tc>
        <w:tc>
          <w:tcPr>
            <w:tcW w:w="1688" w:type="dxa"/>
            <w:tcBorders>
              <w:top w:val="double" w:sz="4" w:space="0" w:color="auto"/>
              <w:left w:val="single" w:sz="4" w:space="0" w:color="auto"/>
              <w:bottom w:val="single" w:sz="4" w:space="0" w:color="auto"/>
              <w:right w:val="single" w:sz="4" w:space="0" w:color="auto"/>
            </w:tcBorders>
            <w:shd w:val="clear" w:color="auto" w:fill="auto"/>
            <w:noWrap/>
            <w:tcMar>
              <w:left w:w="0" w:type="dxa"/>
              <w:right w:w="115" w:type="dxa"/>
            </w:tcMar>
            <w:vAlign w:val="center"/>
          </w:tcPr>
          <w:p w14:paraId="7F43D6DE" w14:textId="77777777" w:rsidR="00101352" w:rsidRPr="0059722E" w:rsidRDefault="00101352" w:rsidP="005553E8">
            <w:pPr>
              <w:spacing w:line="240" w:lineRule="auto"/>
              <w:ind w:firstLine="0"/>
              <w:jc w:val="right"/>
              <w:rPr>
                <w:color w:val="000000"/>
              </w:rPr>
            </w:pPr>
            <w:r w:rsidRPr="0059722E">
              <w:rPr>
                <w:color w:val="000000"/>
              </w:rPr>
              <w:t xml:space="preserve">$316.76 </w:t>
            </w:r>
          </w:p>
        </w:tc>
        <w:tc>
          <w:tcPr>
            <w:tcW w:w="1635" w:type="dxa"/>
            <w:tcBorders>
              <w:top w:val="double" w:sz="4" w:space="0" w:color="auto"/>
              <w:left w:val="single" w:sz="4" w:space="0" w:color="auto"/>
              <w:bottom w:val="single" w:sz="4" w:space="0" w:color="auto"/>
              <w:right w:val="single" w:sz="4" w:space="0" w:color="auto"/>
            </w:tcBorders>
            <w:shd w:val="clear" w:color="auto" w:fill="auto"/>
            <w:noWrap/>
            <w:tcMar>
              <w:left w:w="0" w:type="dxa"/>
              <w:right w:w="115" w:type="dxa"/>
            </w:tcMar>
            <w:vAlign w:val="center"/>
          </w:tcPr>
          <w:p w14:paraId="6896FCDB" w14:textId="77777777" w:rsidR="00101352" w:rsidRPr="0059722E" w:rsidRDefault="00101352" w:rsidP="005553E8">
            <w:pPr>
              <w:jc w:val="right"/>
              <w:rPr>
                <w:color w:val="000000"/>
              </w:rPr>
            </w:pPr>
            <w:r w:rsidRPr="0059722E">
              <w:rPr>
                <w:color w:val="000000"/>
              </w:rPr>
              <w:t xml:space="preserve">$317.67 </w:t>
            </w:r>
          </w:p>
        </w:tc>
        <w:tc>
          <w:tcPr>
            <w:tcW w:w="1543" w:type="dxa"/>
            <w:tcBorders>
              <w:top w:val="double" w:sz="4" w:space="0" w:color="auto"/>
              <w:left w:val="single" w:sz="4" w:space="0" w:color="auto"/>
              <w:bottom w:val="single" w:sz="4" w:space="0" w:color="auto"/>
              <w:right w:val="single" w:sz="4" w:space="0" w:color="auto"/>
            </w:tcBorders>
            <w:shd w:val="clear" w:color="auto" w:fill="auto"/>
            <w:noWrap/>
            <w:tcMar>
              <w:left w:w="0" w:type="dxa"/>
              <w:right w:w="115" w:type="dxa"/>
            </w:tcMar>
            <w:vAlign w:val="center"/>
          </w:tcPr>
          <w:p w14:paraId="036F414B" w14:textId="77777777" w:rsidR="00101352" w:rsidRPr="0059722E" w:rsidRDefault="00101352" w:rsidP="005553E8">
            <w:pPr>
              <w:jc w:val="right"/>
              <w:rPr>
                <w:color w:val="000000"/>
              </w:rPr>
            </w:pPr>
            <w:r w:rsidRPr="0059722E">
              <w:rPr>
                <w:color w:val="000000"/>
              </w:rPr>
              <w:t xml:space="preserve">$325.44 </w:t>
            </w:r>
          </w:p>
        </w:tc>
        <w:tc>
          <w:tcPr>
            <w:tcW w:w="1540" w:type="dxa"/>
            <w:tcBorders>
              <w:top w:val="double" w:sz="4" w:space="0" w:color="auto"/>
              <w:left w:val="single" w:sz="4" w:space="0" w:color="auto"/>
              <w:bottom w:val="single" w:sz="4" w:space="0" w:color="auto"/>
              <w:right w:val="double" w:sz="4" w:space="0" w:color="auto"/>
            </w:tcBorders>
            <w:shd w:val="clear" w:color="auto" w:fill="auto"/>
            <w:noWrap/>
            <w:tcMar>
              <w:left w:w="0" w:type="dxa"/>
              <w:right w:w="115" w:type="dxa"/>
            </w:tcMar>
            <w:vAlign w:val="center"/>
          </w:tcPr>
          <w:p w14:paraId="5E2884A7" w14:textId="77777777" w:rsidR="00101352" w:rsidRPr="0059722E" w:rsidRDefault="00101352" w:rsidP="005553E8">
            <w:pPr>
              <w:jc w:val="right"/>
              <w:rPr>
                <w:color w:val="000000"/>
              </w:rPr>
            </w:pPr>
            <w:r w:rsidRPr="0059722E">
              <w:rPr>
                <w:color w:val="000000"/>
              </w:rPr>
              <w:t xml:space="preserve">$348.74 </w:t>
            </w:r>
          </w:p>
        </w:tc>
      </w:tr>
      <w:tr w:rsidR="00101352" w:rsidRPr="000977D1" w14:paraId="1D637917" w14:textId="77777777" w:rsidTr="005553E8">
        <w:trPr>
          <w:trHeight w:hRule="exact" w:val="346"/>
        </w:trPr>
        <w:tc>
          <w:tcPr>
            <w:tcW w:w="2068" w:type="dxa"/>
            <w:tcBorders>
              <w:top w:val="double" w:sz="4" w:space="0" w:color="auto"/>
              <w:left w:val="double" w:sz="4" w:space="0" w:color="auto"/>
              <w:bottom w:val="single" w:sz="4" w:space="0" w:color="auto"/>
              <w:right w:val="single" w:sz="4" w:space="0" w:color="auto"/>
            </w:tcBorders>
            <w:shd w:val="clear" w:color="auto" w:fill="auto"/>
            <w:noWrap/>
            <w:tcMar>
              <w:left w:w="0" w:type="dxa"/>
              <w:right w:w="115" w:type="dxa"/>
            </w:tcMar>
            <w:vAlign w:val="center"/>
          </w:tcPr>
          <w:p w14:paraId="6F0C5B5B" w14:textId="77777777" w:rsidR="00101352" w:rsidRPr="000977D1" w:rsidRDefault="00101352" w:rsidP="005553E8">
            <w:pPr>
              <w:spacing w:line="240" w:lineRule="auto"/>
              <w:ind w:firstLine="0"/>
              <w:contextualSpacing/>
              <w:rPr>
                <w:color w:val="000000"/>
              </w:rPr>
            </w:pPr>
            <w:r w:rsidRPr="000977D1">
              <w:rPr>
                <w:color w:val="000000"/>
              </w:rPr>
              <w:t>101-500</w:t>
            </w:r>
          </w:p>
        </w:tc>
        <w:tc>
          <w:tcPr>
            <w:tcW w:w="1688" w:type="dxa"/>
            <w:tcBorders>
              <w:top w:val="double" w:sz="4" w:space="0" w:color="auto"/>
              <w:left w:val="single" w:sz="4" w:space="0" w:color="auto"/>
              <w:bottom w:val="single" w:sz="4" w:space="0" w:color="auto"/>
              <w:right w:val="single" w:sz="4" w:space="0" w:color="auto"/>
            </w:tcBorders>
            <w:shd w:val="clear" w:color="auto" w:fill="auto"/>
            <w:noWrap/>
            <w:tcMar>
              <w:left w:w="0" w:type="dxa"/>
              <w:right w:w="115" w:type="dxa"/>
            </w:tcMar>
            <w:vAlign w:val="center"/>
          </w:tcPr>
          <w:p w14:paraId="48199FAE" w14:textId="77777777" w:rsidR="00101352" w:rsidRPr="0059722E" w:rsidRDefault="00101352" w:rsidP="005553E8">
            <w:pPr>
              <w:jc w:val="right"/>
              <w:rPr>
                <w:color w:val="000000"/>
              </w:rPr>
            </w:pPr>
            <w:r w:rsidRPr="0059722E">
              <w:rPr>
                <w:color w:val="000000"/>
              </w:rPr>
              <w:t xml:space="preserve">$166.67 </w:t>
            </w:r>
          </w:p>
        </w:tc>
        <w:tc>
          <w:tcPr>
            <w:tcW w:w="1635" w:type="dxa"/>
            <w:tcBorders>
              <w:top w:val="double" w:sz="4" w:space="0" w:color="auto"/>
              <w:left w:val="single" w:sz="4" w:space="0" w:color="auto"/>
              <w:bottom w:val="single" w:sz="4" w:space="0" w:color="auto"/>
              <w:right w:val="single" w:sz="4" w:space="0" w:color="auto"/>
            </w:tcBorders>
            <w:shd w:val="clear" w:color="auto" w:fill="auto"/>
            <w:noWrap/>
            <w:tcMar>
              <w:left w:w="0" w:type="dxa"/>
              <w:right w:w="115" w:type="dxa"/>
            </w:tcMar>
            <w:vAlign w:val="center"/>
          </w:tcPr>
          <w:p w14:paraId="1A0FA629" w14:textId="77777777" w:rsidR="00101352" w:rsidRPr="0059722E" w:rsidRDefault="00101352" w:rsidP="005553E8">
            <w:pPr>
              <w:jc w:val="right"/>
              <w:rPr>
                <w:color w:val="000000"/>
              </w:rPr>
            </w:pPr>
            <w:r w:rsidRPr="0059722E">
              <w:rPr>
                <w:color w:val="000000"/>
              </w:rPr>
              <w:t xml:space="preserve">$163.43 </w:t>
            </w:r>
          </w:p>
        </w:tc>
        <w:tc>
          <w:tcPr>
            <w:tcW w:w="1543" w:type="dxa"/>
            <w:tcBorders>
              <w:top w:val="double" w:sz="4" w:space="0" w:color="auto"/>
              <w:left w:val="single" w:sz="4" w:space="0" w:color="auto"/>
              <w:bottom w:val="single" w:sz="4" w:space="0" w:color="auto"/>
              <w:right w:val="single" w:sz="4" w:space="0" w:color="auto"/>
            </w:tcBorders>
            <w:shd w:val="clear" w:color="auto" w:fill="auto"/>
            <w:noWrap/>
            <w:tcMar>
              <w:left w:w="0" w:type="dxa"/>
              <w:right w:w="115" w:type="dxa"/>
            </w:tcMar>
            <w:vAlign w:val="center"/>
          </w:tcPr>
          <w:p w14:paraId="65664577" w14:textId="77777777" w:rsidR="00101352" w:rsidRPr="0059722E" w:rsidRDefault="00101352" w:rsidP="005553E8">
            <w:pPr>
              <w:jc w:val="right"/>
              <w:rPr>
                <w:color w:val="000000"/>
              </w:rPr>
            </w:pPr>
            <w:r w:rsidRPr="0059722E">
              <w:rPr>
                <w:color w:val="000000"/>
              </w:rPr>
              <w:t xml:space="preserve">$161.12 </w:t>
            </w:r>
          </w:p>
        </w:tc>
        <w:tc>
          <w:tcPr>
            <w:tcW w:w="1540" w:type="dxa"/>
            <w:tcBorders>
              <w:top w:val="double" w:sz="4" w:space="0" w:color="auto"/>
              <w:left w:val="single" w:sz="4" w:space="0" w:color="auto"/>
              <w:bottom w:val="single" w:sz="4" w:space="0" w:color="auto"/>
              <w:right w:val="double" w:sz="4" w:space="0" w:color="auto"/>
            </w:tcBorders>
            <w:shd w:val="clear" w:color="auto" w:fill="auto"/>
            <w:noWrap/>
            <w:tcMar>
              <w:left w:w="0" w:type="dxa"/>
              <w:right w:w="115" w:type="dxa"/>
            </w:tcMar>
            <w:vAlign w:val="center"/>
          </w:tcPr>
          <w:p w14:paraId="1F83C684" w14:textId="77777777" w:rsidR="00101352" w:rsidRPr="0059722E" w:rsidRDefault="00101352" w:rsidP="005553E8">
            <w:pPr>
              <w:jc w:val="right"/>
              <w:rPr>
                <w:color w:val="000000"/>
              </w:rPr>
            </w:pPr>
            <w:r w:rsidRPr="0059722E">
              <w:rPr>
                <w:color w:val="000000"/>
              </w:rPr>
              <w:t xml:space="preserve">$164.31 </w:t>
            </w:r>
          </w:p>
        </w:tc>
      </w:tr>
      <w:tr w:rsidR="00101352" w:rsidRPr="000977D1" w14:paraId="3A489445" w14:textId="77777777" w:rsidTr="005553E8">
        <w:trPr>
          <w:trHeight w:hRule="exact" w:val="346"/>
        </w:trPr>
        <w:tc>
          <w:tcPr>
            <w:tcW w:w="2068" w:type="dxa"/>
            <w:tcBorders>
              <w:top w:val="double" w:sz="4" w:space="0" w:color="auto"/>
              <w:left w:val="double" w:sz="4" w:space="0" w:color="auto"/>
              <w:bottom w:val="single" w:sz="4" w:space="0" w:color="auto"/>
              <w:right w:val="single" w:sz="4" w:space="0" w:color="auto"/>
            </w:tcBorders>
            <w:shd w:val="clear" w:color="auto" w:fill="auto"/>
            <w:noWrap/>
            <w:tcMar>
              <w:left w:w="0" w:type="dxa"/>
              <w:right w:w="115" w:type="dxa"/>
            </w:tcMar>
            <w:vAlign w:val="center"/>
          </w:tcPr>
          <w:p w14:paraId="0C29379B" w14:textId="77777777" w:rsidR="00101352" w:rsidRPr="000977D1" w:rsidRDefault="00101352" w:rsidP="005553E8">
            <w:pPr>
              <w:spacing w:line="240" w:lineRule="auto"/>
              <w:ind w:firstLine="0"/>
              <w:contextualSpacing/>
              <w:rPr>
                <w:color w:val="000000"/>
              </w:rPr>
            </w:pPr>
            <w:r w:rsidRPr="000977D1">
              <w:rPr>
                <w:color w:val="000000"/>
              </w:rPr>
              <w:t>501-1,000</w:t>
            </w:r>
          </w:p>
        </w:tc>
        <w:tc>
          <w:tcPr>
            <w:tcW w:w="1688" w:type="dxa"/>
            <w:tcBorders>
              <w:top w:val="double" w:sz="4" w:space="0" w:color="auto"/>
              <w:left w:val="single" w:sz="4" w:space="0" w:color="auto"/>
              <w:bottom w:val="single" w:sz="4" w:space="0" w:color="auto"/>
              <w:right w:val="single" w:sz="4" w:space="0" w:color="auto"/>
            </w:tcBorders>
            <w:shd w:val="clear" w:color="auto" w:fill="auto"/>
            <w:noWrap/>
            <w:tcMar>
              <w:left w:w="0" w:type="dxa"/>
              <w:right w:w="115" w:type="dxa"/>
            </w:tcMar>
            <w:vAlign w:val="center"/>
          </w:tcPr>
          <w:p w14:paraId="2446FD64" w14:textId="77777777" w:rsidR="00101352" w:rsidRPr="0059722E" w:rsidRDefault="00101352" w:rsidP="005553E8">
            <w:pPr>
              <w:jc w:val="right"/>
              <w:rPr>
                <w:color w:val="000000"/>
              </w:rPr>
            </w:pPr>
            <w:r w:rsidRPr="0059722E">
              <w:rPr>
                <w:color w:val="000000"/>
              </w:rPr>
              <w:t xml:space="preserve">$74.57 </w:t>
            </w:r>
          </w:p>
        </w:tc>
        <w:tc>
          <w:tcPr>
            <w:tcW w:w="1635" w:type="dxa"/>
            <w:tcBorders>
              <w:top w:val="double" w:sz="4" w:space="0" w:color="auto"/>
              <w:left w:val="single" w:sz="4" w:space="0" w:color="auto"/>
              <w:bottom w:val="single" w:sz="4" w:space="0" w:color="auto"/>
              <w:right w:val="single" w:sz="4" w:space="0" w:color="auto"/>
            </w:tcBorders>
            <w:shd w:val="clear" w:color="auto" w:fill="auto"/>
            <w:noWrap/>
            <w:tcMar>
              <w:left w:w="0" w:type="dxa"/>
              <w:right w:w="115" w:type="dxa"/>
            </w:tcMar>
            <w:vAlign w:val="center"/>
          </w:tcPr>
          <w:p w14:paraId="5273B520" w14:textId="77777777" w:rsidR="00101352" w:rsidRPr="0059722E" w:rsidRDefault="00101352" w:rsidP="005553E8">
            <w:pPr>
              <w:jc w:val="right"/>
              <w:rPr>
                <w:color w:val="000000"/>
              </w:rPr>
            </w:pPr>
            <w:r w:rsidRPr="0059722E">
              <w:rPr>
                <w:color w:val="000000"/>
              </w:rPr>
              <w:t xml:space="preserve">$72.52 </w:t>
            </w:r>
          </w:p>
        </w:tc>
        <w:tc>
          <w:tcPr>
            <w:tcW w:w="1543" w:type="dxa"/>
            <w:tcBorders>
              <w:top w:val="double" w:sz="4" w:space="0" w:color="auto"/>
              <w:left w:val="single" w:sz="4" w:space="0" w:color="auto"/>
              <w:bottom w:val="single" w:sz="4" w:space="0" w:color="auto"/>
              <w:right w:val="single" w:sz="4" w:space="0" w:color="auto"/>
            </w:tcBorders>
            <w:shd w:val="clear" w:color="auto" w:fill="auto"/>
            <w:noWrap/>
            <w:tcMar>
              <w:left w:w="0" w:type="dxa"/>
              <w:right w:w="115" w:type="dxa"/>
            </w:tcMar>
            <w:vAlign w:val="center"/>
          </w:tcPr>
          <w:p w14:paraId="3BF877A0" w14:textId="77777777" w:rsidR="00101352" w:rsidRPr="0059722E" w:rsidRDefault="00101352" w:rsidP="005553E8">
            <w:pPr>
              <w:jc w:val="right"/>
              <w:rPr>
                <w:color w:val="000000"/>
              </w:rPr>
            </w:pPr>
            <w:r w:rsidRPr="0059722E">
              <w:rPr>
                <w:color w:val="000000"/>
              </w:rPr>
              <w:t xml:space="preserve">$69.34 </w:t>
            </w:r>
          </w:p>
        </w:tc>
        <w:tc>
          <w:tcPr>
            <w:tcW w:w="1540" w:type="dxa"/>
            <w:tcBorders>
              <w:top w:val="double" w:sz="4" w:space="0" w:color="auto"/>
              <w:left w:val="single" w:sz="4" w:space="0" w:color="auto"/>
              <w:bottom w:val="single" w:sz="4" w:space="0" w:color="auto"/>
              <w:right w:val="double" w:sz="4" w:space="0" w:color="auto"/>
            </w:tcBorders>
            <w:shd w:val="clear" w:color="auto" w:fill="auto"/>
            <w:noWrap/>
            <w:tcMar>
              <w:left w:w="0" w:type="dxa"/>
              <w:right w:w="115" w:type="dxa"/>
            </w:tcMar>
            <w:vAlign w:val="center"/>
          </w:tcPr>
          <w:p w14:paraId="4611F749" w14:textId="77777777" w:rsidR="00101352" w:rsidRPr="0059722E" w:rsidRDefault="00101352" w:rsidP="005553E8">
            <w:pPr>
              <w:jc w:val="right"/>
              <w:rPr>
                <w:color w:val="000000"/>
              </w:rPr>
            </w:pPr>
            <w:r w:rsidRPr="0059722E">
              <w:rPr>
                <w:color w:val="000000"/>
              </w:rPr>
              <w:t xml:space="preserve">$65.83 </w:t>
            </w:r>
          </w:p>
        </w:tc>
      </w:tr>
      <w:tr w:rsidR="00101352" w:rsidRPr="000977D1" w14:paraId="0F35ECB6" w14:textId="77777777" w:rsidTr="005553E8">
        <w:trPr>
          <w:trHeight w:hRule="exact" w:val="346"/>
        </w:trPr>
        <w:tc>
          <w:tcPr>
            <w:tcW w:w="2068" w:type="dxa"/>
            <w:tcBorders>
              <w:top w:val="double" w:sz="4" w:space="0" w:color="auto"/>
              <w:left w:val="double" w:sz="4" w:space="0" w:color="auto"/>
              <w:bottom w:val="single" w:sz="4" w:space="0" w:color="auto"/>
              <w:right w:val="single" w:sz="4" w:space="0" w:color="auto"/>
            </w:tcBorders>
            <w:shd w:val="clear" w:color="auto" w:fill="auto"/>
            <w:noWrap/>
            <w:tcMar>
              <w:left w:w="0" w:type="dxa"/>
              <w:right w:w="115" w:type="dxa"/>
            </w:tcMar>
            <w:vAlign w:val="center"/>
          </w:tcPr>
          <w:p w14:paraId="0D6CF25C" w14:textId="77777777" w:rsidR="00101352" w:rsidRPr="000977D1" w:rsidRDefault="00101352" w:rsidP="005553E8">
            <w:pPr>
              <w:spacing w:line="240" w:lineRule="auto"/>
              <w:ind w:firstLine="0"/>
              <w:contextualSpacing/>
              <w:rPr>
                <w:color w:val="000000"/>
              </w:rPr>
            </w:pPr>
            <w:r w:rsidRPr="000977D1">
              <w:rPr>
                <w:color w:val="000000"/>
              </w:rPr>
              <w:t>1,001-3,300</w:t>
            </w:r>
          </w:p>
        </w:tc>
        <w:tc>
          <w:tcPr>
            <w:tcW w:w="1688" w:type="dxa"/>
            <w:tcBorders>
              <w:top w:val="double" w:sz="4" w:space="0" w:color="auto"/>
              <w:left w:val="single" w:sz="4" w:space="0" w:color="auto"/>
              <w:bottom w:val="single" w:sz="4" w:space="0" w:color="auto"/>
              <w:right w:val="single" w:sz="4" w:space="0" w:color="auto"/>
            </w:tcBorders>
            <w:shd w:val="clear" w:color="auto" w:fill="auto"/>
            <w:noWrap/>
            <w:tcMar>
              <w:left w:w="0" w:type="dxa"/>
              <w:right w:w="115" w:type="dxa"/>
            </w:tcMar>
            <w:vAlign w:val="center"/>
          </w:tcPr>
          <w:p w14:paraId="279A7E5A" w14:textId="77777777" w:rsidR="00101352" w:rsidRPr="0059722E" w:rsidRDefault="00101352" w:rsidP="005553E8">
            <w:pPr>
              <w:jc w:val="right"/>
              <w:rPr>
                <w:color w:val="000000"/>
              </w:rPr>
            </w:pPr>
            <w:r w:rsidRPr="0059722E">
              <w:rPr>
                <w:color w:val="000000"/>
              </w:rPr>
              <w:t xml:space="preserve">$63.52 </w:t>
            </w:r>
          </w:p>
        </w:tc>
        <w:tc>
          <w:tcPr>
            <w:tcW w:w="1635" w:type="dxa"/>
            <w:tcBorders>
              <w:top w:val="double" w:sz="4" w:space="0" w:color="auto"/>
              <w:left w:val="single" w:sz="4" w:space="0" w:color="auto"/>
              <w:bottom w:val="single" w:sz="4" w:space="0" w:color="auto"/>
              <w:right w:val="single" w:sz="4" w:space="0" w:color="auto"/>
            </w:tcBorders>
            <w:shd w:val="clear" w:color="auto" w:fill="auto"/>
            <w:noWrap/>
            <w:tcMar>
              <w:left w:w="0" w:type="dxa"/>
              <w:right w:w="115" w:type="dxa"/>
            </w:tcMar>
            <w:vAlign w:val="center"/>
          </w:tcPr>
          <w:p w14:paraId="6CEE0EBF" w14:textId="77777777" w:rsidR="00101352" w:rsidRPr="0059722E" w:rsidRDefault="00101352" w:rsidP="005553E8">
            <w:pPr>
              <w:jc w:val="right"/>
              <w:rPr>
                <w:color w:val="000000"/>
              </w:rPr>
            </w:pPr>
            <w:r w:rsidRPr="0059722E">
              <w:rPr>
                <w:color w:val="000000"/>
              </w:rPr>
              <w:t xml:space="preserve">$61.35 </w:t>
            </w:r>
          </w:p>
        </w:tc>
        <w:tc>
          <w:tcPr>
            <w:tcW w:w="1543" w:type="dxa"/>
            <w:tcBorders>
              <w:top w:val="double" w:sz="4" w:space="0" w:color="auto"/>
              <w:left w:val="single" w:sz="4" w:space="0" w:color="auto"/>
              <w:bottom w:val="single" w:sz="4" w:space="0" w:color="auto"/>
              <w:right w:val="single" w:sz="4" w:space="0" w:color="auto"/>
            </w:tcBorders>
            <w:shd w:val="clear" w:color="auto" w:fill="auto"/>
            <w:noWrap/>
            <w:tcMar>
              <w:left w:w="0" w:type="dxa"/>
              <w:right w:w="115" w:type="dxa"/>
            </w:tcMar>
            <w:vAlign w:val="center"/>
          </w:tcPr>
          <w:p w14:paraId="03B89D3E" w14:textId="77777777" w:rsidR="00101352" w:rsidRPr="0059722E" w:rsidRDefault="00101352" w:rsidP="005553E8">
            <w:pPr>
              <w:jc w:val="right"/>
              <w:rPr>
                <w:color w:val="000000"/>
              </w:rPr>
            </w:pPr>
            <w:r w:rsidRPr="0059722E">
              <w:rPr>
                <w:color w:val="000000"/>
              </w:rPr>
              <w:t xml:space="preserve">$56.86 </w:t>
            </w:r>
          </w:p>
        </w:tc>
        <w:tc>
          <w:tcPr>
            <w:tcW w:w="1540" w:type="dxa"/>
            <w:tcBorders>
              <w:top w:val="double" w:sz="4" w:space="0" w:color="auto"/>
              <w:left w:val="single" w:sz="4" w:space="0" w:color="auto"/>
              <w:bottom w:val="single" w:sz="4" w:space="0" w:color="auto"/>
              <w:right w:val="double" w:sz="4" w:space="0" w:color="auto"/>
            </w:tcBorders>
            <w:shd w:val="clear" w:color="auto" w:fill="auto"/>
            <w:noWrap/>
            <w:tcMar>
              <w:left w:w="0" w:type="dxa"/>
              <w:right w:w="115" w:type="dxa"/>
            </w:tcMar>
            <w:vAlign w:val="center"/>
          </w:tcPr>
          <w:p w14:paraId="5C74FDB5" w14:textId="77777777" w:rsidR="00101352" w:rsidRPr="0059722E" w:rsidRDefault="00101352" w:rsidP="005553E8">
            <w:pPr>
              <w:jc w:val="right"/>
              <w:rPr>
                <w:color w:val="000000"/>
              </w:rPr>
            </w:pPr>
            <w:r w:rsidRPr="0059722E">
              <w:rPr>
                <w:color w:val="000000"/>
              </w:rPr>
              <w:t xml:space="preserve">$51.95 </w:t>
            </w:r>
          </w:p>
        </w:tc>
      </w:tr>
      <w:tr w:rsidR="00101352" w:rsidRPr="000977D1" w14:paraId="311AFDF1" w14:textId="77777777" w:rsidTr="005553E8">
        <w:trPr>
          <w:trHeight w:hRule="exact" w:val="346"/>
        </w:trPr>
        <w:tc>
          <w:tcPr>
            <w:tcW w:w="2068" w:type="dxa"/>
            <w:tcBorders>
              <w:top w:val="double" w:sz="4" w:space="0" w:color="auto"/>
              <w:left w:val="double" w:sz="4" w:space="0" w:color="auto"/>
              <w:bottom w:val="single" w:sz="4" w:space="0" w:color="auto"/>
              <w:right w:val="single" w:sz="4" w:space="0" w:color="auto"/>
            </w:tcBorders>
            <w:shd w:val="clear" w:color="auto" w:fill="auto"/>
            <w:noWrap/>
            <w:tcMar>
              <w:left w:w="0" w:type="dxa"/>
              <w:right w:w="115" w:type="dxa"/>
            </w:tcMar>
            <w:vAlign w:val="center"/>
          </w:tcPr>
          <w:p w14:paraId="22C6C16F" w14:textId="77777777" w:rsidR="00101352" w:rsidRPr="000977D1" w:rsidRDefault="00101352" w:rsidP="005553E8">
            <w:pPr>
              <w:spacing w:line="240" w:lineRule="auto"/>
              <w:ind w:firstLine="0"/>
              <w:contextualSpacing/>
              <w:rPr>
                <w:color w:val="000000"/>
              </w:rPr>
            </w:pPr>
            <w:r w:rsidRPr="000977D1">
              <w:rPr>
                <w:color w:val="000000"/>
              </w:rPr>
              <w:t>3,301-10,000</w:t>
            </w:r>
          </w:p>
        </w:tc>
        <w:tc>
          <w:tcPr>
            <w:tcW w:w="1688" w:type="dxa"/>
            <w:tcBorders>
              <w:top w:val="double" w:sz="4" w:space="0" w:color="auto"/>
              <w:left w:val="single" w:sz="4" w:space="0" w:color="auto"/>
              <w:bottom w:val="single" w:sz="4" w:space="0" w:color="auto"/>
              <w:right w:val="single" w:sz="4" w:space="0" w:color="auto"/>
            </w:tcBorders>
            <w:shd w:val="clear" w:color="auto" w:fill="auto"/>
            <w:noWrap/>
            <w:tcMar>
              <w:left w:w="0" w:type="dxa"/>
              <w:right w:w="115" w:type="dxa"/>
            </w:tcMar>
            <w:vAlign w:val="center"/>
          </w:tcPr>
          <w:p w14:paraId="3DF78575" w14:textId="77777777" w:rsidR="00101352" w:rsidRPr="0059722E" w:rsidRDefault="00101352" w:rsidP="005553E8">
            <w:pPr>
              <w:jc w:val="right"/>
              <w:rPr>
                <w:color w:val="000000"/>
              </w:rPr>
            </w:pPr>
            <w:r w:rsidRPr="0059722E">
              <w:rPr>
                <w:color w:val="000000"/>
              </w:rPr>
              <w:t xml:space="preserve">$42.60 </w:t>
            </w:r>
          </w:p>
        </w:tc>
        <w:tc>
          <w:tcPr>
            <w:tcW w:w="1635" w:type="dxa"/>
            <w:tcBorders>
              <w:top w:val="double" w:sz="4" w:space="0" w:color="auto"/>
              <w:left w:val="single" w:sz="4" w:space="0" w:color="auto"/>
              <w:bottom w:val="single" w:sz="4" w:space="0" w:color="auto"/>
              <w:right w:val="single" w:sz="4" w:space="0" w:color="auto"/>
            </w:tcBorders>
            <w:shd w:val="clear" w:color="auto" w:fill="auto"/>
            <w:noWrap/>
            <w:tcMar>
              <w:left w:w="0" w:type="dxa"/>
              <w:right w:w="115" w:type="dxa"/>
            </w:tcMar>
            <w:vAlign w:val="center"/>
          </w:tcPr>
          <w:p w14:paraId="5BC7B3F1" w14:textId="77777777" w:rsidR="00101352" w:rsidRPr="0059722E" w:rsidRDefault="00101352" w:rsidP="005553E8">
            <w:pPr>
              <w:jc w:val="right"/>
              <w:rPr>
                <w:color w:val="000000"/>
              </w:rPr>
            </w:pPr>
            <w:r w:rsidRPr="0059722E">
              <w:rPr>
                <w:color w:val="000000"/>
              </w:rPr>
              <w:t xml:space="preserve">$39.59 </w:t>
            </w:r>
          </w:p>
        </w:tc>
        <w:tc>
          <w:tcPr>
            <w:tcW w:w="1543" w:type="dxa"/>
            <w:tcBorders>
              <w:top w:val="double" w:sz="4" w:space="0" w:color="auto"/>
              <w:left w:val="single" w:sz="4" w:space="0" w:color="auto"/>
              <w:bottom w:val="single" w:sz="4" w:space="0" w:color="auto"/>
              <w:right w:val="single" w:sz="4" w:space="0" w:color="auto"/>
            </w:tcBorders>
            <w:shd w:val="clear" w:color="auto" w:fill="auto"/>
            <w:noWrap/>
            <w:tcMar>
              <w:left w:w="0" w:type="dxa"/>
              <w:right w:w="115" w:type="dxa"/>
            </w:tcMar>
            <w:vAlign w:val="center"/>
          </w:tcPr>
          <w:p w14:paraId="174F079C" w14:textId="77777777" w:rsidR="00101352" w:rsidRPr="0059722E" w:rsidRDefault="00101352" w:rsidP="005553E8">
            <w:pPr>
              <w:jc w:val="right"/>
              <w:rPr>
                <w:color w:val="000000"/>
              </w:rPr>
            </w:pPr>
            <w:r w:rsidRPr="0059722E">
              <w:rPr>
                <w:color w:val="000000"/>
              </w:rPr>
              <w:t xml:space="preserve">$36.33 </w:t>
            </w:r>
          </w:p>
        </w:tc>
        <w:tc>
          <w:tcPr>
            <w:tcW w:w="1540" w:type="dxa"/>
            <w:tcBorders>
              <w:top w:val="double" w:sz="4" w:space="0" w:color="auto"/>
              <w:left w:val="single" w:sz="4" w:space="0" w:color="auto"/>
              <w:bottom w:val="single" w:sz="4" w:space="0" w:color="auto"/>
              <w:right w:val="double" w:sz="4" w:space="0" w:color="auto"/>
            </w:tcBorders>
            <w:shd w:val="clear" w:color="auto" w:fill="auto"/>
            <w:noWrap/>
            <w:tcMar>
              <w:left w:w="0" w:type="dxa"/>
              <w:right w:w="115" w:type="dxa"/>
            </w:tcMar>
            <w:vAlign w:val="center"/>
          </w:tcPr>
          <w:p w14:paraId="4DE3A418" w14:textId="77777777" w:rsidR="00101352" w:rsidRPr="0059722E" w:rsidRDefault="00101352" w:rsidP="005553E8">
            <w:pPr>
              <w:jc w:val="right"/>
              <w:rPr>
                <w:color w:val="000000"/>
              </w:rPr>
            </w:pPr>
            <w:r w:rsidRPr="0059722E">
              <w:rPr>
                <w:color w:val="000000"/>
              </w:rPr>
              <w:t xml:space="preserve">$32.22 </w:t>
            </w:r>
          </w:p>
        </w:tc>
      </w:tr>
      <w:tr w:rsidR="00101352" w:rsidRPr="000977D1" w14:paraId="73A294BE" w14:textId="77777777" w:rsidTr="005553E8">
        <w:trPr>
          <w:trHeight w:hRule="exact" w:val="346"/>
        </w:trPr>
        <w:tc>
          <w:tcPr>
            <w:tcW w:w="2068" w:type="dxa"/>
            <w:tcBorders>
              <w:top w:val="double" w:sz="4" w:space="0" w:color="auto"/>
              <w:left w:val="double" w:sz="4" w:space="0" w:color="auto"/>
              <w:bottom w:val="single" w:sz="4" w:space="0" w:color="auto"/>
              <w:right w:val="single" w:sz="4" w:space="0" w:color="auto"/>
            </w:tcBorders>
            <w:shd w:val="clear" w:color="auto" w:fill="auto"/>
            <w:noWrap/>
            <w:tcMar>
              <w:left w:w="0" w:type="dxa"/>
              <w:right w:w="115" w:type="dxa"/>
            </w:tcMar>
            <w:vAlign w:val="center"/>
          </w:tcPr>
          <w:p w14:paraId="738CDC7E" w14:textId="77777777" w:rsidR="00101352" w:rsidRPr="000977D1" w:rsidRDefault="00101352" w:rsidP="005553E8">
            <w:pPr>
              <w:spacing w:line="240" w:lineRule="auto"/>
              <w:ind w:firstLine="0"/>
              <w:contextualSpacing/>
              <w:rPr>
                <w:color w:val="000000"/>
              </w:rPr>
            </w:pPr>
            <w:r w:rsidRPr="000977D1">
              <w:rPr>
                <w:color w:val="000000"/>
              </w:rPr>
              <w:t>10,001-50,000</w:t>
            </w:r>
          </w:p>
        </w:tc>
        <w:tc>
          <w:tcPr>
            <w:tcW w:w="1688" w:type="dxa"/>
            <w:tcBorders>
              <w:top w:val="double" w:sz="4" w:space="0" w:color="auto"/>
              <w:left w:val="single" w:sz="4" w:space="0" w:color="auto"/>
              <w:bottom w:val="single" w:sz="4" w:space="0" w:color="auto"/>
              <w:right w:val="single" w:sz="4" w:space="0" w:color="auto"/>
            </w:tcBorders>
            <w:shd w:val="clear" w:color="auto" w:fill="auto"/>
            <w:noWrap/>
            <w:tcMar>
              <w:left w:w="0" w:type="dxa"/>
              <w:right w:w="115" w:type="dxa"/>
            </w:tcMar>
            <w:vAlign w:val="center"/>
          </w:tcPr>
          <w:p w14:paraId="7DF3B4B9" w14:textId="77777777" w:rsidR="00101352" w:rsidRPr="0059722E" w:rsidRDefault="00101352" w:rsidP="005553E8">
            <w:pPr>
              <w:jc w:val="right"/>
              <w:rPr>
                <w:color w:val="000000"/>
              </w:rPr>
            </w:pPr>
            <w:r w:rsidRPr="0059722E">
              <w:rPr>
                <w:color w:val="000000"/>
              </w:rPr>
              <w:t xml:space="preserve">$38.16 </w:t>
            </w:r>
          </w:p>
        </w:tc>
        <w:tc>
          <w:tcPr>
            <w:tcW w:w="1635" w:type="dxa"/>
            <w:tcBorders>
              <w:top w:val="double" w:sz="4" w:space="0" w:color="auto"/>
              <w:left w:val="single" w:sz="4" w:space="0" w:color="auto"/>
              <w:bottom w:val="single" w:sz="4" w:space="0" w:color="auto"/>
              <w:right w:val="single" w:sz="4" w:space="0" w:color="auto"/>
            </w:tcBorders>
            <w:shd w:val="clear" w:color="auto" w:fill="auto"/>
            <w:noWrap/>
            <w:tcMar>
              <w:left w:w="0" w:type="dxa"/>
              <w:right w:w="115" w:type="dxa"/>
            </w:tcMar>
            <w:vAlign w:val="center"/>
          </w:tcPr>
          <w:p w14:paraId="09690D3A" w14:textId="77777777" w:rsidR="00101352" w:rsidRPr="0059722E" w:rsidRDefault="00101352" w:rsidP="005553E8">
            <w:pPr>
              <w:jc w:val="right"/>
              <w:rPr>
                <w:color w:val="000000"/>
              </w:rPr>
            </w:pPr>
            <w:r w:rsidRPr="0059722E">
              <w:rPr>
                <w:color w:val="000000"/>
              </w:rPr>
              <w:t xml:space="preserve">$35.48 </w:t>
            </w:r>
          </w:p>
        </w:tc>
        <w:tc>
          <w:tcPr>
            <w:tcW w:w="1543" w:type="dxa"/>
            <w:tcBorders>
              <w:top w:val="double" w:sz="4" w:space="0" w:color="auto"/>
              <w:left w:val="single" w:sz="4" w:space="0" w:color="auto"/>
              <w:bottom w:val="single" w:sz="4" w:space="0" w:color="auto"/>
              <w:right w:val="single" w:sz="4" w:space="0" w:color="auto"/>
            </w:tcBorders>
            <w:shd w:val="clear" w:color="auto" w:fill="auto"/>
            <w:noWrap/>
            <w:tcMar>
              <w:left w:w="0" w:type="dxa"/>
              <w:right w:w="115" w:type="dxa"/>
            </w:tcMar>
            <w:vAlign w:val="center"/>
          </w:tcPr>
          <w:p w14:paraId="1E2D32D4" w14:textId="77777777" w:rsidR="00101352" w:rsidRPr="0059722E" w:rsidRDefault="00101352" w:rsidP="005553E8">
            <w:pPr>
              <w:jc w:val="right"/>
              <w:rPr>
                <w:color w:val="000000"/>
              </w:rPr>
            </w:pPr>
            <w:r w:rsidRPr="0059722E">
              <w:rPr>
                <w:color w:val="000000"/>
              </w:rPr>
              <w:t xml:space="preserve">$30.99 </w:t>
            </w:r>
          </w:p>
        </w:tc>
        <w:tc>
          <w:tcPr>
            <w:tcW w:w="1540" w:type="dxa"/>
            <w:tcBorders>
              <w:top w:val="double" w:sz="4" w:space="0" w:color="auto"/>
              <w:left w:val="single" w:sz="4" w:space="0" w:color="auto"/>
              <w:bottom w:val="single" w:sz="4" w:space="0" w:color="auto"/>
              <w:right w:val="double" w:sz="4" w:space="0" w:color="auto"/>
            </w:tcBorders>
            <w:shd w:val="clear" w:color="auto" w:fill="auto"/>
            <w:noWrap/>
            <w:tcMar>
              <w:left w:w="0" w:type="dxa"/>
              <w:right w:w="115" w:type="dxa"/>
            </w:tcMar>
            <w:vAlign w:val="center"/>
          </w:tcPr>
          <w:p w14:paraId="4703B0CD" w14:textId="77777777" w:rsidR="00101352" w:rsidRPr="0059722E" w:rsidRDefault="00101352" w:rsidP="005553E8">
            <w:pPr>
              <w:jc w:val="right"/>
              <w:rPr>
                <w:color w:val="000000"/>
              </w:rPr>
            </w:pPr>
            <w:r w:rsidRPr="0059722E">
              <w:rPr>
                <w:color w:val="000000"/>
              </w:rPr>
              <w:t xml:space="preserve">$26.64 </w:t>
            </w:r>
          </w:p>
        </w:tc>
      </w:tr>
      <w:tr w:rsidR="00101352" w:rsidRPr="000977D1" w14:paraId="3A13680E" w14:textId="77777777" w:rsidTr="005553E8">
        <w:trPr>
          <w:trHeight w:hRule="exact" w:val="346"/>
        </w:trPr>
        <w:tc>
          <w:tcPr>
            <w:tcW w:w="2068" w:type="dxa"/>
            <w:tcBorders>
              <w:top w:val="double" w:sz="4" w:space="0" w:color="auto"/>
              <w:left w:val="double" w:sz="4" w:space="0" w:color="auto"/>
              <w:bottom w:val="single" w:sz="4" w:space="0" w:color="auto"/>
              <w:right w:val="single" w:sz="4" w:space="0" w:color="auto"/>
            </w:tcBorders>
            <w:shd w:val="clear" w:color="auto" w:fill="auto"/>
            <w:noWrap/>
            <w:tcMar>
              <w:left w:w="0" w:type="dxa"/>
              <w:right w:w="115" w:type="dxa"/>
            </w:tcMar>
            <w:vAlign w:val="center"/>
          </w:tcPr>
          <w:p w14:paraId="3F3128EC" w14:textId="77777777" w:rsidR="00101352" w:rsidRPr="000977D1" w:rsidRDefault="00101352" w:rsidP="005553E8">
            <w:pPr>
              <w:spacing w:line="240" w:lineRule="auto"/>
              <w:ind w:firstLine="0"/>
              <w:contextualSpacing/>
              <w:rPr>
                <w:color w:val="000000"/>
              </w:rPr>
            </w:pPr>
            <w:r w:rsidRPr="000977D1">
              <w:rPr>
                <w:color w:val="000000"/>
              </w:rPr>
              <w:t>50,001-100,000</w:t>
            </w:r>
          </w:p>
        </w:tc>
        <w:tc>
          <w:tcPr>
            <w:tcW w:w="1688" w:type="dxa"/>
            <w:tcBorders>
              <w:top w:val="double" w:sz="4" w:space="0" w:color="auto"/>
              <w:left w:val="single" w:sz="4" w:space="0" w:color="auto"/>
              <w:bottom w:val="single" w:sz="4" w:space="0" w:color="auto"/>
              <w:right w:val="single" w:sz="4" w:space="0" w:color="auto"/>
            </w:tcBorders>
            <w:shd w:val="clear" w:color="auto" w:fill="auto"/>
            <w:noWrap/>
            <w:tcMar>
              <w:left w:w="0" w:type="dxa"/>
              <w:right w:w="115" w:type="dxa"/>
            </w:tcMar>
            <w:vAlign w:val="center"/>
          </w:tcPr>
          <w:p w14:paraId="5BFBAECA" w14:textId="77777777" w:rsidR="00101352" w:rsidRPr="0059722E" w:rsidRDefault="00101352" w:rsidP="005553E8">
            <w:pPr>
              <w:jc w:val="right"/>
              <w:rPr>
                <w:color w:val="000000"/>
              </w:rPr>
            </w:pPr>
            <w:r w:rsidRPr="0059722E">
              <w:rPr>
                <w:color w:val="000000"/>
              </w:rPr>
              <w:t xml:space="preserve">$31.39 </w:t>
            </w:r>
          </w:p>
        </w:tc>
        <w:tc>
          <w:tcPr>
            <w:tcW w:w="1635" w:type="dxa"/>
            <w:tcBorders>
              <w:top w:val="double" w:sz="4" w:space="0" w:color="auto"/>
              <w:left w:val="single" w:sz="4" w:space="0" w:color="auto"/>
              <w:bottom w:val="single" w:sz="4" w:space="0" w:color="auto"/>
              <w:right w:val="single" w:sz="4" w:space="0" w:color="auto"/>
            </w:tcBorders>
            <w:shd w:val="clear" w:color="auto" w:fill="auto"/>
            <w:noWrap/>
            <w:tcMar>
              <w:left w:w="0" w:type="dxa"/>
              <w:right w:w="115" w:type="dxa"/>
            </w:tcMar>
            <w:vAlign w:val="center"/>
          </w:tcPr>
          <w:p w14:paraId="616D590B" w14:textId="77777777" w:rsidR="00101352" w:rsidRPr="0059722E" w:rsidRDefault="00101352" w:rsidP="005553E8">
            <w:pPr>
              <w:jc w:val="right"/>
              <w:rPr>
                <w:color w:val="000000"/>
              </w:rPr>
            </w:pPr>
            <w:r w:rsidRPr="0059722E">
              <w:rPr>
                <w:color w:val="000000"/>
              </w:rPr>
              <w:t xml:space="preserve">$28.86 </w:t>
            </w:r>
          </w:p>
        </w:tc>
        <w:tc>
          <w:tcPr>
            <w:tcW w:w="1543" w:type="dxa"/>
            <w:tcBorders>
              <w:top w:val="double" w:sz="4" w:space="0" w:color="auto"/>
              <w:left w:val="single" w:sz="4" w:space="0" w:color="auto"/>
              <w:bottom w:val="single" w:sz="4" w:space="0" w:color="auto"/>
              <w:right w:val="single" w:sz="4" w:space="0" w:color="auto"/>
            </w:tcBorders>
            <w:shd w:val="clear" w:color="auto" w:fill="auto"/>
            <w:noWrap/>
            <w:tcMar>
              <w:left w:w="0" w:type="dxa"/>
              <w:right w:w="115" w:type="dxa"/>
            </w:tcMar>
            <w:vAlign w:val="center"/>
          </w:tcPr>
          <w:p w14:paraId="3AFDD6C9" w14:textId="77777777" w:rsidR="00101352" w:rsidRPr="0059722E" w:rsidRDefault="00101352" w:rsidP="005553E8">
            <w:pPr>
              <w:jc w:val="right"/>
              <w:rPr>
                <w:color w:val="000000"/>
              </w:rPr>
            </w:pPr>
            <w:r w:rsidRPr="0059722E">
              <w:rPr>
                <w:color w:val="000000"/>
              </w:rPr>
              <w:t xml:space="preserve">$23.43 </w:t>
            </w:r>
          </w:p>
        </w:tc>
        <w:tc>
          <w:tcPr>
            <w:tcW w:w="1540" w:type="dxa"/>
            <w:tcBorders>
              <w:top w:val="double" w:sz="4" w:space="0" w:color="auto"/>
              <w:left w:val="single" w:sz="4" w:space="0" w:color="auto"/>
              <w:bottom w:val="single" w:sz="4" w:space="0" w:color="auto"/>
              <w:right w:val="double" w:sz="4" w:space="0" w:color="auto"/>
            </w:tcBorders>
            <w:shd w:val="clear" w:color="auto" w:fill="auto"/>
            <w:noWrap/>
            <w:tcMar>
              <w:left w:w="0" w:type="dxa"/>
              <w:right w:w="115" w:type="dxa"/>
            </w:tcMar>
            <w:vAlign w:val="center"/>
          </w:tcPr>
          <w:p w14:paraId="3725A40D" w14:textId="77777777" w:rsidR="00101352" w:rsidRPr="0059722E" w:rsidRDefault="00101352" w:rsidP="005553E8">
            <w:pPr>
              <w:jc w:val="right"/>
              <w:rPr>
                <w:color w:val="000000"/>
              </w:rPr>
            </w:pPr>
            <w:r w:rsidRPr="0059722E">
              <w:rPr>
                <w:color w:val="000000"/>
              </w:rPr>
              <w:t xml:space="preserve">$20.22 </w:t>
            </w:r>
          </w:p>
        </w:tc>
      </w:tr>
      <w:tr w:rsidR="00101352" w:rsidRPr="000977D1" w14:paraId="151785C2" w14:textId="77777777" w:rsidTr="005553E8">
        <w:trPr>
          <w:trHeight w:hRule="exact" w:val="346"/>
        </w:trPr>
        <w:tc>
          <w:tcPr>
            <w:tcW w:w="2068" w:type="dxa"/>
            <w:tcBorders>
              <w:top w:val="double" w:sz="4" w:space="0" w:color="auto"/>
              <w:left w:val="double" w:sz="4" w:space="0" w:color="auto"/>
              <w:bottom w:val="single" w:sz="4" w:space="0" w:color="auto"/>
              <w:right w:val="single" w:sz="4" w:space="0" w:color="auto"/>
            </w:tcBorders>
            <w:shd w:val="clear" w:color="auto" w:fill="auto"/>
            <w:noWrap/>
            <w:tcMar>
              <w:left w:w="0" w:type="dxa"/>
              <w:right w:w="115" w:type="dxa"/>
            </w:tcMar>
            <w:vAlign w:val="center"/>
          </w:tcPr>
          <w:p w14:paraId="158BB90E" w14:textId="77777777" w:rsidR="00101352" w:rsidRPr="000977D1" w:rsidRDefault="00101352" w:rsidP="005553E8">
            <w:pPr>
              <w:spacing w:line="240" w:lineRule="auto"/>
              <w:ind w:firstLine="0"/>
              <w:contextualSpacing/>
              <w:rPr>
                <w:color w:val="000000"/>
              </w:rPr>
            </w:pPr>
            <w:r w:rsidRPr="000977D1">
              <w:rPr>
                <w:color w:val="000000"/>
              </w:rPr>
              <w:t>100,001-1,000,000</w:t>
            </w:r>
          </w:p>
        </w:tc>
        <w:tc>
          <w:tcPr>
            <w:tcW w:w="1688" w:type="dxa"/>
            <w:tcBorders>
              <w:top w:val="double" w:sz="4" w:space="0" w:color="auto"/>
              <w:left w:val="single" w:sz="4" w:space="0" w:color="auto"/>
              <w:bottom w:val="single" w:sz="4" w:space="0" w:color="auto"/>
              <w:right w:val="single" w:sz="4" w:space="0" w:color="auto"/>
            </w:tcBorders>
            <w:shd w:val="clear" w:color="auto" w:fill="auto"/>
            <w:noWrap/>
            <w:tcMar>
              <w:left w:w="0" w:type="dxa"/>
              <w:right w:w="115" w:type="dxa"/>
            </w:tcMar>
            <w:vAlign w:val="center"/>
          </w:tcPr>
          <w:p w14:paraId="2C470B01" w14:textId="77777777" w:rsidR="00101352" w:rsidRPr="0059722E" w:rsidRDefault="00101352" w:rsidP="005553E8">
            <w:pPr>
              <w:jc w:val="right"/>
              <w:rPr>
                <w:color w:val="000000"/>
              </w:rPr>
            </w:pPr>
            <w:r w:rsidRPr="0059722E">
              <w:rPr>
                <w:color w:val="000000"/>
              </w:rPr>
              <w:t xml:space="preserve">$24.05 </w:t>
            </w:r>
          </w:p>
        </w:tc>
        <w:tc>
          <w:tcPr>
            <w:tcW w:w="1635" w:type="dxa"/>
            <w:tcBorders>
              <w:top w:val="double" w:sz="4" w:space="0" w:color="auto"/>
              <w:left w:val="single" w:sz="4" w:space="0" w:color="auto"/>
              <w:bottom w:val="single" w:sz="4" w:space="0" w:color="auto"/>
              <w:right w:val="single" w:sz="4" w:space="0" w:color="auto"/>
            </w:tcBorders>
            <w:shd w:val="clear" w:color="auto" w:fill="auto"/>
            <w:noWrap/>
            <w:tcMar>
              <w:left w:w="0" w:type="dxa"/>
              <w:right w:w="115" w:type="dxa"/>
            </w:tcMar>
            <w:vAlign w:val="center"/>
          </w:tcPr>
          <w:p w14:paraId="3C7DF2B1" w14:textId="77777777" w:rsidR="00101352" w:rsidRPr="0059722E" w:rsidRDefault="00101352" w:rsidP="005553E8">
            <w:pPr>
              <w:jc w:val="right"/>
              <w:rPr>
                <w:color w:val="000000"/>
              </w:rPr>
            </w:pPr>
            <w:r w:rsidRPr="0059722E">
              <w:rPr>
                <w:color w:val="000000"/>
              </w:rPr>
              <w:t xml:space="preserve">$22.75 </w:t>
            </w:r>
          </w:p>
        </w:tc>
        <w:tc>
          <w:tcPr>
            <w:tcW w:w="1543" w:type="dxa"/>
            <w:tcBorders>
              <w:top w:val="double" w:sz="4" w:space="0" w:color="auto"/>
              <w:left w:val="single" w:sz="4" w:space="0" w:color="auto"/>
              <w:bottom w:val="single" w:sz="4" w:space="0" w:color="auto"/>
              <w:right w:val="single" w:sz="4" w:space="0" w:color="auto"/>
            </w:tcBorders>
            <w:shd w:val="clear" w:color="auto" w:fill="auto"/>
            <w:noWrap/>
            <w:tcMar>
              <w:left w:w="0" w:type="dxa"/>
              <w:right w:w="115" w:type="dxa"/>
            </w:tcMar>
            <w:vAlign w:val="center"/>
          </w:tcPr>
          <w:p w14:paraId="46D43529" w14:textId="77777777" w:rsidR="00101352" w:rsidRPr="0059722E" w:rsidRDefault="00101352" w:rsidP="005553E8">
            <w:pPr>
              <w:jc w:val="right"/>
              <w:rPr>
                <w:color w:val="000000"/>
              </w:rPr>
            </w:pPr>
            <w:r w:rsidRPr="0059722E">
              <w:rPr>
                <w:color w:val="000000"/>
              </w:rPr>
              <w:t xml:space="preserve">$19.14 </w:t>
            </w:r>
          </w:p>
        </w:tc>
        <w:tc>
          <w:tcPr>
            <w:tcW w:w="1540" w:type="dxa"/>
            <w:tcBorders>
              <w:top w:val="double" w:sz="4" w:space="0" w:color="auto"/>
              <w:left w:val="single" w:sz="4" w:space="0" w:color="auto"/>
              <w:bottom w:val="single" w:sz="4" w:space="0" w:color="auto"/>
              <w:right w:val="double" w:sz="4" w:space="0" w:color="auto"/>
            </w:tcBorders>
            <w:shd w:val="clear" w:color="auto" w:fill="auto"/>
            <w:noWrap/>
            <w:tcMar>
              <w:left w:w="0" w:type="dxa"/>
              <w:right w:w="115" w:type="dxa"/>
            </w:tcMar>
            <w:vAlign w:val="center"/>
          </w:tcPr>
          <w:p w14:paraId="56083CF6" w14:textId="77777777" w:rsidR="00101352" w:rsidRPr="0059722E" w:rsidRDefault="00101352" w:rsidP="005553E8">
            <w:pPr>
              <w:jc w:val="right"/>
              <w:rPr>
                <w:color w:val="000000"/>
              </w:rPr>
            </w:pPr>
            <w:r w:rsidRPr="0059722E">
              <w:rPr>
                <w:color w:val="000000"/>
              </w:rPr>
              <w:t xml:space="preserve">$16.85 </w:t>
            </w:r>
          </w:p>
        </w:tc>
      </w:tr>
      <w:tr w:rsidR="00101352" w:rsidRPr="000977D1" w14:paraId="15046DAD" w14:textId="77777777" w:rsidTr="005553E8">
        <w:trPr>
          <w:trHeight w:hRule="exact" w:val="346"/>
        </w:trPr>
        <w:tc>
          <w:tcPr>
            <w:tcW w:w="2068" w:type="dxa"/>
            <w:tcBorders>
              <w:top w:val="double" w:sz="4" w:space="0" w:color="auto"/>
              <w:left w:val="double" w:sz="4" w:space="0" w:color="auto"/>
              <w:bottom w:val="single" w:sz="4" w:space="0" w:color="auto"/>
              <w:right w:val="single" w:sz="4" w:space="0" w:color="auto"/>
            </w:tcBorders>
            <w:shd w:val="clear" w:color="auto" w:fill="auto"/>
            <w:noWrap/>
            <w:tcMar>
              <w:left w:w="0" w:type="dxa"/>
              <w:right w:w="115" w:type="dxa"/>
            </w:tcMar>
            <w:vAlign w:val="center"/>
          </w:tcPr>
          <w:p w14:paraId="42731587" w14:textId="77777777" w:rsidR="00101352" w:rsidRPr="000977D1" w:rsidRDefault="00101352" w:rsidP="005553E8">
            <w:pPr>
              <w:spacing w:line="240" w:lineRule="auto"/>
              <w:ind w:firstLine="0"/>
              <w:contextualSpacing/>
              <w:rPr>
                <w:color w:val="000000"/>
              </w:rPr>
            </w:pPr>
            <w:r w:rsidRPr="000977D1">
              <w:rPr>
                <w:color w:val="000000"/>
              </w:rPr>
              <w:t>&gt; 1,000,000</w:t>
            </w:r>
          </w:p>
        </w:tc>
        <w:tc>
          <w:tcPr>
            <w:tcW w:w="1688" w:type="dxa"/>
            <w:tcBorders>
              <w:top w:val="double" w:sz="4" w:space="0" w:color="auto"/>
              <w:left w:val="single" w:sz="4" w:space="0" w:color="auto"/>
              <w:bottom w:val="single" w:sz="4" w:space="0" w:color="auto"/>
              <w:right w:val="single" w:sz="4" w:space="0" w:color="auto"/>
            </w:tcBorders>
            <w:shd w:val="clear" w:color="auto" w:fill="auto"/>
            <w:noWrap/>
            <w:tcMar>
              <w:left w:w="0" w:type="dxa"/>
              <w:right w:w="115" w:type="dxa"/>
            </w:tcMar>
            <w:vAlign w:val="center"/>
          </w:tcPr>
          <w:p w14:paraId="540DC2C5" w14:textId="77777777" w:rsidR="00101352" w:rsidRPr="0059722E" w:rsidRDefault="00101352" w:rsidP="005553E8">
            <w:pPr>
              <w:jc w:val="right"/>
              <w:rPr>
                <w:color w:val="000000"/>
              </w:rPr>
            </w:pPr>
            <w:r w:rsidRPr="0059722E">
              <w:rPr>
                <w:color w:val="000000"/>
              </w:rPr>
              <w:t xml:space="preserve">$7.17 </w:t>
            </w:r>
          </w:p>
        </w:tc>
        <w:tc>
          <w:tcPr>
            <w:tcW w:w="1635" w:type="dxa"/>
            <w:tcBorders>
              <w:top w:val="double" w:sz="4" w:space="0" w:color="auto"/>
              <w:left w:val="single" w:sz="4" w:space="0" w:color="auto"/>
              <w:bottom w:val="single" w:sz="4" w:space="0" w:color="auto"/>
              <w:right w:val="single" w:sz="4" w:space="0" w:color="auto"/>
            </w:tcBorders>
            <w:shd w:val="clear" w:color="auto" w:fill="auto"/>
            <w:noWrap/>
            <w:tcMar>
              <w:left w:w="0" w:type="dxa"/>
              <w:right w:w="115" w:type="dxa"/>
            </w:tcMar>
            <w:vAlign w:val="center"/>
          </w:tcPr>
          <w:p w14:paraId="2EF5DA88" w14:textId="77777777" w:rsidR="00101352" w:rsidRPr="0059722E" w:rsidRDefault="00101352" w:rsidP="005553E8">
            <w:pPr>
              <w:jc w:val="right"/>
              <w:rPr>
                <w:color w:val="000000"/>
              </w:rPr>
            </w:pPr>
            <w:r w:rsidRPr="0059722E">
              <w:rPr>
                <w:color w:val="000000"/>
              </w:rPr>
              <w:t xml:space="preserve">$2.20 </w:t>
            </w:r>
          </w:p>
        </w:tc>
        <w:tc>
          <w:tcPr>
            <w:tcW w:w="1543" w:type="dxa"/>
            <w:tcBorders>
              <w:top w:val="double" w:sz="4" w:space="0" w:color="auto"/>
              <w:left w:val="single" w:sz="4" w:space="0" w:color="auto"/>
              <w:bottom w:val="single" w:sz="4" w:space="0" w:color="auto"/>
              <w:right w:val="single" w:sz="4" w:space="0" w:color="auto"/>
            </w:tcBorders>
            <w:shd w:val="clear" w:color="auto" w:fill="auto"/>
            <w:noWrap/>
            <w:tcMar>
              <w:left w:w="0" w:type="dxa"/>
              <w:right w:w="115" w:type="dxa"/>
            </w:tcMar>
            <w:vAlign w:val="center"/>
          </w:tcPr>
          <w:p w14:paraId="28CD5A84" w14:textId="77777777" w:rsidR="00101352" w:rsidRPr="0059722E" w:rsidRDefault="00101352" w:rsidP="005553E8">
            <w:pPr>
              <w:jc w:val="right"/>
              <w:rPr>
                <w:color w:val="000000"/>
              </w:rPr>
            </w:pPr>
            <w:r w:rsidRPr="0059722E">
              <w:rPr>
                <w:color w:val="000000"/>
              </w:rPr>
              <w:t xml:space="preserve">$0.00 </w:t>
            </w:r>
          </w:p>
        </w:tc>
        <w:tc>
          <w:tcPr>
            <w:tcW w:w="1540" w:type="dxa"/>
            <w:tcBorders>
              <w:top w:val="double" w:sz="4" w:space="0" w:color="auto"/>
              <w:left w:val="single" w:sz="4" w:space="0" w:color="auto"/>
              <w:bottom w:val="single" w:sz="4" w:space="0" w:color="auto"/>
              <w:right w:val="double" w:sz="4" w:space="0" w:color="auto"/>
            </w:tcBorders>
            <w:shd w:val="clear" w:color="auto" w:fill="auto"/>
            <w:noWrap/>
            <w:tcMar>
              <w:left w:w="0" w:type="dxa"/>
              <w:right w:w="115" w:type="dxa"/>
            </w:tcMar>
            <w:vAlign w:val="center"/>
          </w:tcPr>
          <w:p w14:paraId="69163BE3" w14:textId="77777777" w:rsidR="00101352" w:rsidRPr="0059722E" w:rsidRDefault="00101352" w:rsidP="005553E8">
            <w:pPr>
              <w:jc w:val="right"/>
              <w:rPr>
                <w:color w:val="000000"/>
              </w:rPr>
            </w:pPr>
            <w:r w:rsidRPr="0059722E">
              <w:rPr>
                <w:color w:val="000000"/>
              </w:rPr>
              <w:t xml:space="preserve">$0.00 </w:t>
            </w:r>
          </w:p>
        </w:tc>
      </w:tr>
      <w:tr w:rsidR="00101352" w:rsidRPr="000977D1" w14:paraId="4D4C85E2" w14:textId="77777777" w:rsidTr="005553E8">
        <w:trPr>
          <w:trHeight w:hRule="exact" w:val="346"/>
        </w:trPr>
        <w:tc>
          <w:tcPr>
            <w:tcW w:w="8474" w:type="dxa"/>
            <w:gridSpan w:val="5"/>
            <w:tcBorders>
              <w:top w:val="double" w:sz="4" w:space="0" w:color="auto"/>
              <w:left w:val="double" w:sz="4" w:space="0" w:color="auto"/>
              <w:bottom w:val="single" w:sz="4" w:space="0" w:color="auto"/>
              <w:right w:val="double" w:sz="4" w:space="0" w:color="auto"/>
            </w:tcBorders>
            <w:shd w:val="clear" w:color="auto" w:fill="auto"/>
            <w:noWrap/>
            <w:tcMar>
              <w:left w:w="0" w:type="dxa"/>
              <w:right w:w="115" w:type="dxa"/>
            </w:tcMar>
            <w:vAlign w:val="center"/>
          </w:tcPr>
          <w:p w14:paraId="65F04323" w14:textId="77777777" w:rsidR="00101352" w:rsidRPr="0059722E" w:rsidRDefault="00101352" w:rsidP="005553E8">
            <w:pPr>
              <w:ind w:firstLine="0"/>
              <w:jc w:val="center"/>
              <w:rPr>
                <w:b/>
                <w:color w:val="000000"/>
              </w:rPr>
            </w:pPr>
            <w:r w:rsidRPr="0059722E">
              <w:rPr>
                <w:b/>
                <w:color w:val="000000"/>
              </w:rPr>
              <w:t>Savings</w:t>
            </w:r>
            <w:r>
              <w:rPr>
                <w:b/>
                <w:color w:val="000000"/>
              </w:rPr>
              <w:t>/</w:t>
            </w:r>
            <w:r w:rsidRPr="0059722E">
              <w:rPr>
                <w:b/>
                <w:color w:val="000000"/>
              </w:rPr>
              <w:t>All Households Served by Systems Expected to Treat</w:t>
            </w:r>
            <w:r>
              <w:rPr>
                <w:b/>
                <w:color w:val="000000"/>
              </w:rPr>
              <w:t xml:space="preserve"> ($M/Yr)</w:t>
            </w:r>
          </w:p>
        </w:tc>
      </w:tr>
      <w:tr w:rsidR="00101352" w:rsidRPr="000977D1" w14:paraId="35DB069B" w14:textId="77777777" w:rsidTr="005553E8">
        <w:trPr>
          <w:trHeight w:hRule="exact" w:val="346"/>
        </w:trPr>
        <w:tc>
          <w:tcPr>
            <w:tcW w:w="2068" w:type="dxa"/>
            <w:tcBorders>
              <w:top w:val="double" w:sz="4" w:space="0" w:color="auto"/>
              <w:left w:val="double" w:sz="4" w:space="0" w:color="auto"/>
              <w:bottom w:val="single" w:sz="4" w:space="0" w:color="auto"/>
              <w:right w:val="single" w:sz="4" w:space="0" w:color="auto"/>
            </w:tcBorders>
            <w:shd w:val="clear" w:color="auto" w:fill="auto"/>
            <w:noWrap/>
            <w:tcMar>
              <w:left w:w="0" w:type="dxa"/>
              <w:right w:w="115" w:type="dxa"/>
            </w:tcMar>
            <w:vAlign w:val="center"/>
            <w:hideMark/>
          </w:tcPr>
          <w:p w14:paraId="0BB905B9" w14:textId="77777777" w:rsidR="00101352" w:rsidRPr="000977D1" w:rsidRDefault="00101352" w:rsidP="005553E8">
            <w:pPr>
              <w:spacing w:line="240" w:lineRule="auto"/>
              <w:ind w:firstLine="0"/>
              <w:contextualSpacing/>
              <w:rPr>
                <w:color w:val="000000"/>
              </w:rPr>
            </w:pPr>
            <w:r w:rsidRPr="000977D1">
              <w:rPr>
                <w:color w:val="000000"/>
              </w:rPr>
              <w:t>&lt;100</w:t>
            </w:r>
          </w:p>
        </w:tc>
        <w:tc>
          <w:tcPr>
            <w:tcW w:w="1688" w:type="dxa"/>
            <w:tcBorders>
              <w:top w:val="double" w:sz="4" w:space="0" w:color="auto"/>
              <w:left w:val="single" w:sz="4" w:space="0" w:color="auto"/>
              <w:bottom w:val="single" w:sz="4" w:space="0" w:color="auto"/>
              <w:right w:val="single" w:sz="4" w:space="0" w:color="auto"/>
            </w:tcBorders>
            <w:shd w:val="clear" w:color="auto" w:fill="auto"/>
            <w:noWrap/>
            <w:tcMar>
              <w:left w:w="0" w:type="dxa"/>
              <w:right w:w="115" w:type="dxa"/>
            </w:tcMar>
            <w:vAlign w:val="center"/>
            <w:hideMark/>
          </w:tcPr>
          <w:p w14:paraId="541D3CC8" w14:textId="77777777" w:rsidR="00101352" w:rsidRPr="000977D1" w:rsidRDefault="00101352" w:rsidP="005553E8">
            <w:pPr>
              <w:spacing w:line="240" w:lineRule="auto"/>
              <w:ind w:firstLine="0"/>
              <w:jc w:val="right"/>
              <w:rPr>
                <w:color w:val="000000"/>
              </w:rPr>
            </w:pPr>
            <w:r w:rsidRPr="000977D1">
              <w:rPr>
                <w:color w:val="000000"/>
              </w:rPr>
              <w:t>$31.5</w:t>
            </w:r>
          </w:p>
        </w:tc>
        <w:tc>
          <w:tcPr>
            <w:tcW w:w="1635" w:type="dxa"/>
            <w:tcBorders>
              <w:top w:val="double" w:sz="4" w:space="0" w:color="auto"/>
              <w:left w:val="single" w:sz="4" w:space="0" w:color="auto"/>
              <w:bottom w:val="single" w:sz="4" w:space="0" w:color="auto"/>
              <w:right w:val="single" w:sz="4" w:space="0" w:color="auto"/>
            </w:tcBorders>
            <w:shd w:val="clear" w:color="auto" w:fill="auto"/>
            <w:noWrap/>
            <w:tcMar>
              <w:left w:w="0" w:type="dxa"/>
              <w:right w:w="115" w:type="dxa"/>
            </w:tcMar>
            <w:vAlign w:val="center"/>
            <w:hideMark/>
          </w:tcPr>
          <w:p w14:paraId="00B1B5CD" w14:textId="77777777" w:rsidR="00101352" w:rsidRPr="000977D1" w:rsidRDefault="00101352" w:rsidP="005553E8">
            <w:pPr>
              <w:jc w:val="right"/>
              <w:rPr>
                <w:color w:val="000000"/>
              </w:rPr>
            </w:pPr>
            <w:r w:rsidRPr="000977D1">
              <w:rPr>
                <w:color w:val="000000"/>
              </w:rPr>
              <w:t>$18.7</w:t>
            </w:r>
          </w:p>
        </w:tc>
        <w:tc>
          <w:tcPr>
            <w:tcW w:w="1543" w:type="dxa"/>
            <w:tcBorders>
              <w:top w:val="double" w:sz="4" w:space="0" w:color="auto"/>
              <w:left w:val="single" w:sz="4" w:space="0" w:color="auto"/>
              <w:bottom w:val="single" w:sz="4" w:space="0" w:color="auto"/>
              <w:right w:val="single" w:sz="4" w:space="0" w:color="auto"/>
            </w:tcBorders>
            <w:shd w:val="clear" w:color="auto" w:fill="auto"/>
            <w:noWrap/>
            <w:tcMar>
              <w:left w:w="0" w:type="dxa"/>
              <w:right w:w="115" w:type="dxa"/>
            </w:tcMar>
            <w:vAlign w:val="center"/>
            <w:hideMark/>
          </w:tcPr>
          <w:p w14:paraId="3C983797" w14:textId="77777777" w:rsidR="00101352" w:rsidRPr="000977D1" w:rsidRDefault="00101352" w:rsidP="005553E8">
            <w:pPr>
              <w:jc w:val="right"/>
              <w:rPr>
                <w:color w:val="000000"/>
              </w:rPr>
            </w:pPr>
            <w:r w:rsidRPr="000977D1">
              <w:rPr>
                <w:color w:val="000000"/>
              </w:rPr>
              <w:t>$8.6</w:t>
            </w:r>
          </w:p>
        </w:tc>
        <w:tc>
          <w:tcPr>
            <w:tcW w:w="1540" w:type="dxa"/>
            <w:tcBorders>
              <w:top w:val="double" w:sz="4" w:space="0" w:color="auto"/>
              <w:left w:val="single" w:sz="4" w:space="0" w:color="auto"/>
              <w:bottom w:val="single" w:sz="4" w:space="0" w:color="auto"/>
              <w:right w:val="double" w:sz="4" w:space="0" w:color="auto"/>
            </w:tcBorders>
            <w:shd w:val="clear" w:color="auto" w:fill="auto"/>
            <w:noWrap/>
            <w:tcMar>
              <w:left w:w="0" w:type="dxa"/>
              <w:right w:w="115" w:type="dxa"/>
            </w:tcMar>
            <w:vAlign w:val="center"/>
            <w:hideMark/>
          </w:tcPr>
          <w:p w14:paraId="36996596" w14:textId="77777777" w:rsidR="00101352" w:rsidRPr="000977D1" w:rsidRDefault="00101352" w:rsidP="005553E8">
            <w:pPr>
              <w:jc w:val="right"/>
              <w:rPr>
                <w:color w:val="000000"/>
              </w:rPr>
            </w:pPr>
            <w:r w:rsidRPr="000977D1">
              <w:rPr>
                <w:color w:val="000000"/>
              </w:rPr>
              <w:t>$3.6</w:t>
            </w:r>
          </w:p>
        </w:tc>
      </w:tr>
      <w:tr w:rsidR="00101352" w:rsidRPr="000977D1" w14:paraId="10156040" w14:textId="77777777" w:rsidTr="005553E8">
        <w:trPr>
          <w:trHeight w:hRule="exact" w:val="346"/>
        </w:trPr>
        <w:tc>
          <w:tcPr>
            <w:tcW w:w="2068" w:type="dxa"/>
            <w:tcBorders>
              <w:top w:val="single" w:sz="4" w:space="0" w:color="auto"/>
              <w:left w:val="double" w:sz="4" w:space="0" w:color="auto"/>
              <w:bottom w:val="single" w:sz="4" w:space="0" w:color="auto"/>
              <w:right w:val="single" w:sz="4" w:space="0" w:color="auto"/>
            </w:tcBorders>
            <w:shd w:val="clear" w:color="auto" w:fill="auto"/>
            <w:noWrap/>
            <w:tcMar>
              <w:left w:w="0" w:type="dxa"/>
              <w:right w:w="115" w:type="dxa"/>
            </w:tcMar>
            <w:vAlign w:val="center"/>
            <w:hideMark/>
          </w:tcPr>
          <w:p w14:paraId="2E993D5B" w14:textId="77777777" w:rsidR="00101352" w:rsidRPr="000977D1" w:rsidRDefault="00101352" w:rsidP="005553E8">
            <w:pPr>
              <w:spacing w:line="240" w:lineRule="auto"/>
              <w:ind w:firstLine="0"/>
              <w:contextualSpacing/>
              <w:rPr>
                <w:color w:val="000000"/>
              </w:rPr>
            </w:pPr>
            <w:r w:rsidRPr="000977D1">
              <w:rPr>
                <w:color w:val="000000"/>
              </w:rPr>
              <w:t>101-500</w:t>
            </w:r>
          </w:p>
        </w:tc>
        <w:tc>
          <w:tcPr>
            <w:tcW w:w="1688" w:type="dxa"/>
            <w:tcBorders>
              <w:top w:val="single" w:sz="4" w:space="0" w:color="auto"/>
              <w:left w:val="single" w:sz="4" w:space="0" w:color="auto"/>
              <w:bottom w:val="single" w:sz="4" w:space="0" w:color="auto"/>
              <w:right w:val="single" w:sz="4" w:space="0" w:color="auto"/>
            </w:tcBorders>
            <w:shd w:val="clear" w:color="auto" w:fill="auto"/>
            <w:noWrap/>
            <w:tcMar>
              <w:left w:w="0" w:type="dxa"/>
              <w:right w:w="115" w:type="dxa"/>
            </w:tcMar>
            <w:vAlign w:val="center"/>
            <w:hideMark/>
          </w:tcPr>
          <w:p w14:paraId="47D385C1" w14:textId="77777777" w:rsidR="00101352" w:rsidRPr="000977D1" w:rsidRDefault="00101352" w:rsidP="005553E8">
            <w:pPr>
              <w:jc w:val="right"/>
              <w:rPr>
                <w:color w:val="000000"/>
              </w:rPr>
            </w:pPr>
            <w:r w:rsidRPr="000977D1">
              <w:rPr>
                <w:color w:val="000000"/>
              </w:rPr>
              <w:t>$61.3</w:t>
            </w:r>
          </w:p>
        </w:tc>
        <w:tc>
          <w:tcPr>
            <w:tcW w:w="1635" w:type="dxa"/>
            <w:tcBorders>
              <w:top w:val="single" w:sz="4" w:space="0" w:color="auto"/>
              <w:left w:val="single" w:sz="4" w:space="0" w:color="auto"/>
              <w:bottom w:val="single" w:sz="4" w:space="0" w:color="auto"/>
              <w:right w:val="single" w:sz="4" w:space="0" w:color="auto"/>
            </w:tcBorders>
            <w:shd w:val="clear" w:color="auto" w:fill="auto"/>
            <w:noWrap/>
            <w:tcMar>
              <w:left w:w="0" w:type="dxa"/>
              <w:right w:w="115" w:type="dxa"/>
            </w:tcMar>
            <w:vAlign w:val="center"/>
            <w:hideMark/>
          </w:tcPr>
          <w:p w14:paraId="18BF11B6" w14:textId="77777777" w:rsidR="00101352" w:rsidRPr="000977D1" w:rsidRDefault="00101352" w:rsidP="005553E8">
            <w:pPr>
              <w:jc w:val="right"/>
              <w:rPr>
                <w:color w:val="000000"/>
              </w:rPr>
            </w:pPr>
            <w:r w:rsidRPr="000977D1">
              <w:rPr>
                <w:color w:val="000000"/>
              </w:rPr>
              <w:t>$37.3</w:t>
            </w:r>
          </w:p>
        </w:tc>
        <w:tc>
          <w:tcPr>
            <w:tcW w:w="1543" w:type="dxa"/>
            <w:tcBorders>
              <w:top w:val="single" w:sz="4" w:space="0" w:color="auto"/>
              <w:left w:val="single" w:sz="4" w:space="0" w:color="auto"/>
              <w:bottom w:val="single" w:sz="4" w:space="0" w:color="auto"/>
              <w:right w:val="single" w:sz="4" w:space="0" w:color="auto"/>
            </w:tcBorders>
            <w:shd w:val="clear" w:color="auto" w:fill="auto"/>
            <w:noWrap/>
            <w:tcMar>
              <w:left w:w="0" w:type="dxa"/>
              <w:right w:w="115" w:type="dxa"/>
            </w:tcMar>
            <w:vAlign w:val="center"/>
            <w:hideMark/>
          </w:tcPr>
          <w:p w14:paraId="7517295D" w14:textId="77777777" w:rsidR="00101352" w:rsidRPr="000977D1" w:rsidRDefault="00101352" w:rsidP="005553E8">
            <w:pPr>
              <w:jc w:val="right"/>
              <w:rPr>
                <w:color w:val="000000"/>
              </w:rPr>
            </w:pPr>
            <w:r w:rsidRPr="000977D1">
              <w:rPr>
                <w:color w:val="000000"/>
              </w:rPr>
              <w:t>$16.8</w:t>
            </w:r>
          </w:p>
        </w:tc>
        <w:tc>
          <w:tcPr>
            <w:tcW w:w="1540" w:type="dxa"/>
            <w:tcBorders>
              <w:top w:val="single" w:sz="4" w:space="0" w:color="auto"/>
              <w:left w:val="single" w:sz="4" w:space="0" w:color="auto"/>
              <w:bottom w:val="single" w:sz="4" w:space="0" w:color="auto"/>
              <w:right w:val="double" w:sz="4" w:space="0" w:color="auto"/>
            </w:tcBorders>
            <w:shd w:val="clear" w:color="auto" w:fill="auto"/>
            <w:noWrap/>
            <w:tcMar>
              <w:left w:w="0" w:type="dxa"/>
              <w:right w:w="115" w:type="dxa"/>
            </w:tcMar>
            <w:vAlign w:val="center"/>
            <w:hideMark/>
          </w:tcPr>
          <w:p w14:paraId="149AC21C" w14:textId="77777777" w:rsidR="00101352" w:rsidRPr="000977D1" w:rsidRDefault="00101352" w:rsidP="005553E8">
            <w:pPr>
              <w:jc w:val="right"/>
              <w:rPr>
                <w:color w:val="000000"/>
              </w:rPr>
            </w:pPr>
            <w:r w:rsidRPr="000977D1">
              <w:rPr>
                <w:color w:val="000000"/>
              </w:rPr>
              <w:t>$6.6</w:t>
            </w:r>
          </w:p>
        </w:tc>
      </w:tr>
      <w:tr w:rsidR="00101352" w:rsidRPr="000977D1" w14:paraId="6D8440B1" w14:textId="77777777" w:rsidTr="005553E8">
        <w:trPr>
          <w:trHeight w:hRule="exact" w:val="346"/>
        </w:trPr>
        <w:tc>
          <w:tcPr>
            <w:tcW w:w="2068" w:type="dxa"/>
            <w:tcBorders>
              <w:top w:val="single" w:sz="4" w:space="0" w:color="auto"/>
              <w:left w:val="double" w:sz="4" w:space="0" w:color="auto"/>
              <w:bottom w:val="single" w:sz="4" w:space="0" w:color="auto"/>
              <w:right w:val="single" w:sz="4" w:space="0" w:color="auto"/>
            </w:tcBorders>
            <w:shd w:val="clear" w:color="auto" w:fill="auto"/>
            <w:noWrap/>
            <w:tcMar>
              <w:left w:w="0" w:type="dxa"/>
              <w:right w:w="115" w:type="dxa"/>
            </w:tcMar>
            <w:vAlign w:val="center"/>
            <w:hideMark/>
          </w:tcPr>
          <w:p w14:paraId="1F1A33F2" w14:textId="77777777" w:rsidR="00101352" w:rsidRPr="000977D1" w:rsidRDefault="00101352" w:rsidP="005553E8">
            <w:pPr>
              <w:spacing w:line="240" w:lineRule="auto"/>
              <w:ind w:firstLine="0"/>
              <w:contextualSpacing/>
              <w:rPr>
                <w:color w:val="000000"/>
              </w:rPr>
            </w:pPr>
            <w:r w:rsidRPr="000977D1">
              <w:rPr>
                <w:color w:val="000000"/>
              </w:rPr>
              <w:t>501-1,000</w:t>
            </w:r>
          </w:p>
        </w:tc>
        <w:tc>
          <w:tcPr>
            <w:tcW w:w="1688" w:type="dxa"/>
            <w:tcBorders>
              <w:top w:val="single" w:sz="4" w:space="0" w:color="auto"/>
              <w:left w:val="single" w:sz="4" w:space="0" w:color="auto"/>
              <w:bottom w:val="single" w:sz="4" w:space="0" w:color="auto"/>
              <w:right w:val="single" w:sz="4" w:space="0" w:color="auto"/>
            </w:tcBorders>
            <w:shd w:val="clear" w:color="auto" w:fill="auto"/>
            <w:noWrap/>
            <w:tcMar>
              <w:left w:w="0" w:type="dxa"/>
              <w:right w:w="115" w:type="dxa"/>
            </w:tcMar>
            <w:vAlign w:val="center"/>
            <w:hideMark/>
          </w:tcPr>
          <w:p w14:paraId="4B478356" w14:textId="77777777" w:rsidR="00101352" w:rsidRPr="000977D1" w:rsidRDefault="00101352" w:rsidP="005553E8">
            <w:pPr>
              <w:jc w:val="right"/>
              <w:rPr>
                <w:color w:val="000000"/>
              </w:rPr>
            </w:pPr>
            <w:r w:rsidRPr="000977D1">
              <w:rPr>
                <w:color w:val="000000"/>
              </w:rPr>
              <w:t>$26.9</w:t>
            </w:r>
          </w:p>
        </w:tc>
        <w:tc>
          <w:tcPr>
            <w:tcW w:w="1635" w:type="dxa"/>
            <w:tcBorders>
              <w:top w:val="single" w:sz="4" w:space="0" w:color="auto"/>
              <w:left w:val="single" w:sz="4" w:space="0" w:color="auto"/>
              <w:bottom w:val="single" w:sz="4" w:space="0" w:color="auto"/>
              <w:right w:val="single" w:sz="4" w:space="0" w:color="auto"/>
            </w:tcBorders>
            <w:shd w:val="clear" w:color="auto" w:fill="auto"/>
            <w:noWrap/>
            <w:tcMar>
              <w:left w:w="0" w:type="dxa"/>
              <w:right w:w="115" w:type="dxa"/>
            </w:tcMar>
            <w:vAlign w:val="center"/>
            <w:hideMark/>
          </w:tcPr>
          <w:p w14:paraId="11864B78" w14:textId="77777777" w:rsidR="00101352" w:rsidRPr="000977D1" w:rsidRDefault="00101352" w:rsidP="005553E8">
            <w:pPr>
              <w:jc w:val="right"/>
              <w:rPr>
                <w:color w:val="000000"/>
              </w:rPr>
            </w:pPr>
            <w:r w:rsidRPr="000977D1">
              <w:rPr>
                <w:color w:val="000000"/>
              </w:rPr>
              <w:t>$15.9</w:t>
            </w:r>
          </w:p>
        </w:tc>
        <w:tc>
          <w:tcPr>
            <w:tcW w:w="1543" w:type="dxa"/>
            <w:tcBorders>
              <w:top w:val="single" w:sz="4" w:space="0" w:color="auto"/>
              <w:left w:val="single" w:sz="4" w:space="0" w:color="auto"/>
              <w:bottom w:val="single" w:sz="4" w:space="0" w:color="auto"/>
              <w:right w:val="single" w:sz="4" w:space="0" w:color="auto"/>
            </w:tcBorders>
            <w:shd w:val="clear" w:color="auto" w:fill="auto"/>
            <w:noWrap/>
            <w:tcMar>
              <w:left w:w="0" w:type="dxa"/>
              <w:right w:w="115" w:type="dxa"/>
            </w:tcMar>
            <w:vAlign w:val="center"/>
            <w:hideMark/>
          </w:tcPr>
          <w:p w14:paraId="6809EA2C" w14:textId="77777777" w:rsidR="00101352" w:rsidRPr="000977D1" w:rsidRDefault="00101352" w:rsidP="005553E8">
            <w:pPr>
              <w:jc w:val="right"/>
              <w:rPr>
                <w:color w:val="000000"/>
              </w:rPr>
            </w:pPr>
            <w:r w:rsidRPr="000977D1">
              <w:rPr>
                <w:color w:val="000000"/>
              </w:rPr>
              <w:t>$7.1</w:t>
            </w:r>
          </w:p>
        </w:tc>
        <w:tc>
          <w:tcPr>
            <w:tcW w:w="1540" w:type="dxa"/>
            <w:tcBorders>
              <w:top w:val="single" w:sz="4" w:space="0" w:color="auto"/>
              <w:left w:val="single" w:sz="4" w:space="0" w:color="auto"/>
              <w:bottom w:val="single" w:sz="4" w:space="0" w:color="auto"/>
              <w:right w:val="double" w:sz="4" w:space="0" w:color="auto"/>
            </w:tcBorders>
            <w:shd w:val="clear" w:color="auto" w:fill="auto"/>
            <w:noWrap/>
            <w:tcMar>
              <w:left w:w="0" w:type="dxa"/>
              <w:right w:w="115" w:type="dxa"/>
            </w:tcMar>
            <w:vAlign w:val="center"/>
            <w:hideMark/>
          </w:tcPr>
          <w:p w14:paraId="5F6980EF" w14:textId="77777777" w:rsidR="00101352" w:rsidRPr="000977D1" w:rsidRDefault="00101352" w:rsidP="005553E8">
            <w:pPr>
              <w:jc w:val="right"/>
              <w:rPr>
                <w:color w:val="000000"/>
              </w:rPr>
            </w:pPr>
            <w:r w:rsidRPr="000977D1">
              <w:rPr>
                <w:color w:val="000000"/>
              </w:rPr>
              <w:t>$2.7</w:t>
            </w:r>
          </w:p>
        </w:tc>
      </w:tr>
      <w:tr w:rsidR="00101352" w:rsidRPr="000977D1" w14:paraId="3C8C0042" w14:textId="77777777" w:rsidTr="005553E8">
        <w:trPr>
          <w:trHeight w:hRule="exact" w:val="346"/>
        </w:trPr>
        <w:tc>
          <w:tcPr>
            <w:tcW w:w="2068" w:type="dxa"/>
            <w:tcBorders>
              <w:top w:val="single" w:sz="4" w:space="0" w:color="auto"/>
              <w:left w:val="double" w:sz="4" w:space="0" w:color="auto"/>
              <w:bottom w:val="single" w:sz="4" w:space="0" w:color="auto"/>
              <w:right w:val="single" w:sz="4" w:space="0" w:color="auto"/>
            </w:tcBorders>
            <w:shd w:val="clear" w:color="auto" w:fill="auto"/>
            <w:noWrap/>
            <w:tcMar>
              <w:left w:w="0" w:type="dxa"/>
              <w:right w:w="115" w:type="dxa"/>
            </w:tcMar>
            <w:vAlign w:val="center"/>
            <w:hideMark/>
          </w:tcPr>
          <w:p w14:paraId="05B2A769" w14:textId="77777777" w:rsidR="00101352" w:rsidRPr="000977D1" w:rsidRDefault="00101352" w:rsidP="005553E8">
            <w:pPr>
              <w:spacing w:line="240" w:lineRule="auto"/>
              <w:ind w:firstLine="0"/>
              <w:contextualSpacing/>
              <w:rPr>
                <w:color w:val="000000"/>
              </w:rPr>
            </w:pPr>
            <w:r w:rsidRPr="000977D1">
              <w:rPr>
                <w:color w:val="000000"/>
              </w:rPr>
              <w:t>1,001-3,300</w:t>
            </w:r>
          </w:p>
        </w:tc>
        <w:tc>
          <w:tcPr>
            <w:tcW w:w="1688" w:type="dxa"/>
            <w:tcBorders>
              <w:top w:val="single" w:sz="4" w:space="0" w:color="auto"/>
              <w:left w:val="single" w:sz="4" w:space="0" w:color="auto"/>
              <w:bottom w:val="single" w:sz="4" w:space="0" w:color="auto"/>
              <w:right w:val="single" w:sz="4" w:space="0" w:color="auto"/>
            </w:tcBorders>
            <w:shd w:val="clear" w:color="auto" w:fill="auto"/>
            <w:noWrap/>
            <w:tcMar>
              <w:left w:w="0" w:type="dxa"/>
              <w:right w:w="115" w:type="dxa"/>
            </w:tcMar>
            <w:vAlign w:val="center"/>
            <w:hideMark/>
          </w:tcPr>
          <w:p w14:paraId="31CD2A35" w14:textId="77777777" w:rsidR="00101352" w:rsidRPr="000977D1" w:rsidRDefault="00101352" w:rsidP="005553E8">
            <w:pPr>
              <w:jc w:val="right"/>
              <w:rPr>
                <w:color w:val="000000"/>
              </w:rPr>
            </w:pPr>
            <w:r w:rsidRPr="000977D1">
              <w:rPr>
                <w:color w:val="000000"/>
              </w:rPr>
              <w:t>$63.7</w:t>
            </w:r>
          </w:p>
        </w:tc>
        <w:tc>
          <w:tcPr>
            <w:tcW w:w="1635" w:type="dxa"/>
            <w:tcBorders>
              <w:top w:val="single" w:sz="4" w:space="0" w:color="auto"/>
              <w:left w:val="single" w:sz="4" w:space="0" w:color="auto"/>
              <w:bottom w:val="single" w:sz="4" w:space="0" w:color="auto"/>
              <w:right w:val="single" w:sz="4" w:space="0" w:color="auto"/>
            </w:tcBorders>
            <w:shd w:val="clear" w:color="auto" w:fill="auto"/>
            <w:noWrap/>
            <w:tcMar>
              <w:left w:w="0" w:type="dxa"/>
              <w:right w:w="115" w:type="dxa"/>
            </w:tcMar>
            <w:vAlign w:val="center"/>
            <w:hideMark/>
          </w:tcPr>
          <w:p w14:paraId="26D8FC89" w14:textId="77777777" w:rsidR="00101352" w:rsidRPr="000977D1" w:rsidRDefault="00101352" w:rsidP="005553E8">
            <w:pPr>
              <w:jc w:val="right"/>
              <w:rPr>
                <w:color w:val="000000"/>
              </w:rPr>
            </w:pPr>
            <w:r w:rsidRPr="000977D1">
              <w:rPr>
                <w:color w:val="000000"/>
              </w:rPr>
              <w:t>$38.2</w:t>
            </w:r>
          </w:p>
        </w:tc>
        <w:tc>
          <w:tcPr>
            <w:tcW w:w="1543" w:type="dxa"/>
            <w:tcBorders>
              <w:top w:val="single" w:sz="4" w:space="0" w:color="auto"/>
              <w:left w:val="single" w:sz="4" w:space="0" w:color="auto"/>
              <w:bottom w:val="single" w:sz="4" w:space="0" w:color="auto"/>
              <w:right w:val="single" w:sz="4" w:space="0" w:color="auto"/>
            </w:tcBorders>
            <w:shd w:val="clear" w:color="auto" w:fill="auto"/>
            <w:noWrap/>
            <w:tcMar>
              <w:left w:w="0" w:type="dxa"/>
              <w:right w:w="115" w:type="dxa"/>
            </w:tcMar>
            <w:vAlign w:val="center"/>
            <w:hideMark/>
          </w:tcPr>
          <w:p w14:paraId="6D5CDFF8" w14:textId="77777777" w:rsidR="00101352" w:rsidRPr="000977D1" w:rsidRDefault="00101352" w:rsidP="005553E8">
            <w:pPr>
              <w:jc w:val="right"/>
              <w:rPr>
                <w:color w:val="000000"/>
              </w:rPr>
            </w:pPr>
            <w:r w:rsidRPr="000977D1">
              <w:rPr>
                <w:color w:val="000000"/>
              </w:rPr>
              <w:t>$16.4</w:t>
            </w:r>
          </w:p>
        </w:tc>
        <w:tc>
          <w:tcPr>
            <w:tcW w:w="1540" w:type="dxa"/>
            <w:tcBorders>
              <w:top w:val="single" w:sz="4" w:space="0" w:color="auto"/>
              <w:left w:val="single" w:sz="4" w:space="0" w:color="auto"/>
              <w:bottom w:val="single" w:sz="4" w:space="0" w:color="auto"/>
              <w:right w:val="double" w:sz="4" w:space="0" w:color="auto"/>
            </w:tcBorders>
            <w:shd w:val="clear" w:color="auto" w:fill="auto"/>
            <w:noWrap/>
            <w:tcMar>
              <w:left w:w="0" w:type="dxa"/>
              <w:right w:w="115" w:type="dxa"/>
            </w:tcMar>
            <w:vAlign w:val="center"/>
            <w:hideMark/>
          </w:tcPr>
          <w:p w14:paraId="1F0922E2" w14:textId="77777777" w:rsidR="00101352" w:rsidRPr="000977D1" w:rsidRDefault="00101352" w:rsidP="005553E8">
            <w:pPr>
              <w:jc w:val="right"/>
              <w:rPr>
                <w:color w:val="000000"/>
              </w:rPr>
            </w:pPr>
            <w:r w:rsidRPr="000977D1">
              <w:rPr>
                <w:color w:val="000000"/>
              </w:rPr>
              <w:t>$6.1</w:t>
            </w:r>
          </w:p>
        </w:tc>
      </w:tr>
      <w:tr w:rsidR="00101352" w:rsidRPr="000977D1" w14:paraId="4B2B5433" w14:textId="77777777" w:rsidTr="005553E8">
        <w:trPr>
          <w:trHeight w:hRule="exact" w:val="346"/>
        </w:trPr>
        <w:tc>
          <w:tcPr>
            <w:tcW w:w="2068" w:type="dxa"/>
            <w:tcBorders>
              <w:top w:val="single" w:sz="4" w:space="0" w:color="auto"/>
              <w:left w:val="double" w:sz="4" w:space="0" w:color="auto"/>
              <w:bottom w:val="single" w:sz="4" w:space="0" w:color="auto"/>
              <w:right w:val="single" w:sz="4" w:space="0" w:color="auto"/>
            </w:tcBorders>
            <w:shd w:val="clear" w:color="auto" w:fill="auto"/>
            <w:noWrap/>
            <w:tcMar>
              <w:left w:w="0" w:type="dxa"/>
              <w:right w:w="115" w:type="dxa"/>
            </w:tcMar>
            <w:vAlign w:val="center"/>
            <w:hideMark/>
          </w:tcPr>
          <w:p w14:paraId="61F2BABE" w14:textId="77777777" w:rsidR="00101352" w:rsidRPr="000977D1" w:rsidRDefault="00101352" w:rsidP="005553E8">
            <w:pPr>
              <w:spacing w:line="240" w:lineRule="auto"/>
              <w:ind w:firstLine="0"/>
              <w:contextualSpacing/>
              <w:rPr>
                <w:color w:val="000000"/>
              </w:rPr>
            </w:pPr>
            <w:r w:rsidRPr="000977D1">
              <w:rPr>
                <w:color w:val="000000"/>
              </w:rPr>
              <w:t>3,301-10,000</w:t>
            </w:r>
          </w:p>
        </w:tc>
        <w:tc>
          <w:tcPr>
            <w:tcW w:w="1688" w:type="dxa"/>
            <w:tcBorders>
              <w:top w:val="single" w:sz="4" w:space="0" w:color="auto"/>
              <w:left w:val="single" w:sz="4" w:space="0" w:color="auto"/>
              <w:bottom w:val="single" w:sz="4" w:space="0" w:color="auto"/>
              <w:right w:val="single" w:sz="4" w:space="0" w:color="auto"/>
            </w:tcBorders>
            <w:shd w:val="clear" w:color="auto" w:fill="auto"/>
            <w:noWrap/>
            <w:tcMar>
              <w:left w:w="0" w:type="dxa"/>
              <w:right w:w="115" w:type="dxa"/>
            </w:tcMar>
            <w:vAlign w:val="center"/>
            <w:hideMark/>
          </w:tcPr>
          <w:p w14:paraId="37F2F1E7" w14:textId="77777777" w:rsidR="00101352" w:rsidRPr="000977D1" w:rsidRDefault="00101352" w:rsidP="005553E8">
            <w:pPr>
              <w:jc w:val="right"/>
              <w:rPr>
                <w:color w:val="000000"/>
              </w:rPr>
            </w:pPr>
            <w:r w:rsidRPr="000977D1">
              <w:rPr>
                <w:color w:val="000000"/>
              </w:rPr>
              <w:t>$69.0</w:t>
            </w:r>
          </w:p>
        </w:tc>
        <w:tc>
          <w:tcPr>
            <w:tcW w:w="1635" w:type="dxa"/>
            <w:tcBorders>
              <w:top w:val="single" w:sz="4" w:space="0" w:color="auto"/>
              <w:left w:val="single" w:sz="4" w:space="0" w:color="auto"/>
              <w:bottom w:val="single" w:sz="4" w:space="0" w:color="auto"/>
              <w:right w:val="single" w:sz="4" w:space="0" w:color="auto"/>
            </w:tcBorders>
            <w:shd w:val="clear" w:color="auto" w:fill="auto"/>
            <w:noWrap/>
            <w:tcMar>
              <w:left w:w="0" w:type="dxa"/>
              <w:right w:w="115" w:type="dxa"/>
            </w:tcMar>
            <w:vAlign w:val="center"/>
            <w:hideMark/>
          </w:tcPr>
          <w:p w14:paraId="7E36ED73" w14:textId="77777777" w:rsidR="00101352" w:rsidRPr="000977D1" w:rsidRDefault="00101352" w:rsidP="005553E8">
            <w:pPr>
              <w:jc w:val="right"/>
              <w:rPr>
                <w:color w:val="000000"/>
              </w:rPr>
            </w:pPr>
            <w:r w:rsidRPr="000977D1">
              <w:rPr>
                <w:color w:val="000000"/>
              </w:rPr>
              <w:t>$40.4</w:t>
            </w:r>
          </w:p>
        </w:tc>
        <w:tc>
          <w:tcPr>
            <w:tcW w:w="1543" w:type="dxa"/>
            <w:tcBorders>
              <w:top w:val="single" w:sz="4" w:space="0" w:color="auto"/>
              <w:left w:val="single" w:sz="4" w:space="0" w:color="auto"/>
              <w:bottom w:val="single" w:sz="4" w:space="0" w:color="auto"/>
              <w:right w:val="single" w:sz="4" w:space="0" w:color="auto"/>
            </w:tcBorders>
            <w:shd w:val="clear" w:color="auto" w:fill="auto"/>
            <w:noWrap/>
            <w:tcMar>
              <w:left w:w="0" w:type="dxa"/>
              <w:right w:w="115" w:type="dxa"/>
            </w:tcMar>
            <w:vAlign w:val="center"/>
            <w:hideMark/>
          </w:tcPr>
          <w:p w14:paraId="1C40605F" w14:textId="77777777" w:rsidR="00101352" w:rsidRPr="000977D1" w:rsidRDefault="00101352" w:rsidP="005553E8">
            <w:pPr>
              <w:jc w:val="right"/>
              <w:rPr>
                <w:color w:val="000000"/>
              </w:rPr>
            </w:pPr>
            <w:r w:rsidRPr="000977D1">
              <w:rPr>
                <w:color w:val="000000"/>
              </w:rPr>
              <w:t>$17.3</w:t>
            </w:r>
          </w:p>
        </w:tc>
        <w:tc>
          <w:tcPr>
            <w:tcW w:w="1540" w:type="dxa"/>
            <w:tcBorders>
              <w:top w:val="single" w:sz="4" w:space="0" w:color="auto"/>
              <w:left w:val="single" w:sz="4" w:space="0" w:color="auto"/>
              <w:bottom w:val="single" w:sz="4" w:space="0" w:color="auto"/>
              <w:right w:val="double" w:sz="4" w:space="0" w:color="auto"/>
            </w:tcBorders>
            <w:shd w:val="clear" w:color="auto" w:fill="auto"/>
            <w:noWrap/>
            <w:tcMar>
              <w:left w:w="0" w:type="dxa"/>
              <w:right w:w="115" w:type="dxa"/>
            </w:tcMar>
            <w:vAlign w:val="center"/>
            <w:hideMark/>
          </w:tcPr>
          <w:p w14:paraId="6CBDDF45" w14:textId="77777777" w:rsidR="00101352" w:rsidRPr="000977D1" w:rsidRDefault="00101352" w:rsidP="005553E8">
            <w:pPr>
              <w:jc w:val="right"/>
              <w:rPr>
                <w:color w:val="000000"/>
              </w:rPr>
            </w:pPr>
            <w:r w:rsidRPr="000977D1">
              <w:rPr>
                <w:color w:val="000000"/>
              </w:rPr>
              <w:t>$6.2</w:t>
            </w:r>
          </w:p>
        </w:tc>
      </w:tr>
      <w:tr w:rsidR="00101352" w:rsidRPr="000977D1" w14:paraId="3D7BA249" w14:textId="77777777" w:rsidTr="005553E8">
        <w:trPr>
          <w:trHeight w:hRule="exact" w:val="346"/>
        </w:trPr>
        <w:tc>
          <w:tcPr>
            <w:tcW w:w="2068" w:type="dxa"/>
            <w:tcBorders>
              <w:top w:val="single" w:sz="4" w:space="0" w:color="auto"/>
              <w:left w:val="double" w:sz="4" w:space="0" w:color="auto"/>
              <w:bottom w:val="single" w:sz="4" w:space="0" w:color="auto"/>
              <w:right w:val="single" w:sz="4" w:space="0" w:color="auto"/>
            </w:tcBorders>
            <w:shd w:val="clear" w:color="auto" w:fill="auto"/>
            <w:noWrap/>
            <w:tcMar>
              <w:left w:w="0" w:type="dxa"/>
              <w:right w:w="115" w:type="dxa"/>
            </w:tcMar>
            <w:vAlign w:val="center"/>
            <w:hideMark/>
          </w:tcPr>
          <w:p w14:paraId="584A055D" w14:textId="77777777" w:rsidR="00101352" w:rsidRPr="000977D1" w:rsidRDefault="00101352" w:rsidP="005553E8">
            <w:pPr>
              <w:spacing w:line="240" w:lineRule="auto"/>
              <w:ind w:firstLine="0"/>
              <w:contextualSpacing/>
              <w:rPr>
                <w:color w:val="000000"/>
              </w:rPr>
            </w:pPr>
            <w:r w:rsidRPr="000977D1">
              <w:rPr>
                <w:color w:val="000000"/>
              </w:rPr>
              <w:t>10,001-50,000</w:t>
            </w:r>
          </w:p>
        </w:tc>
        <w:tc>
          <w:tcPr>
            <w:tcW w:w="1688" w:type="dxa"/>
            <w:tcBorders>
              <w:top w:val="single" w:sz="4" w:space="0" w:color="auto"/>
              <w:left w:val="single" w:sz="4" w:space="0" w:color="auto"/>
              <w:bottom w:val="single" w:sz="4" w:space="0" w:color="auto"/>
              <w:right w:val="single" w:sz="4" w:space="0" w:color="auto"/>
            </w:tcBorders>
            <w:shd w:val="clear" w:color="auto" w:fill="auto"/>
            <w:noWrap/>
            <w:tcMar>
              <w:left w:w="0" w:type="dxa"/>
              <w:right w:w="115" w:type="dxa"/>
            </w:tcMar>
            <w:vAlign w:val="center"/>
            <w:hideMark/>
          </w:tcPr>
          <w:p w14:paraId="2ABC9CA6" w14:textId="77777777" w:rsidR="00101352" w:rsidRPr="000977D1" w:rsidRDefault="00101352" w:rsidP="005553E8">
            <w:pPr>
              <w:jc w:val="right"/>
              <w:rPr>
                <w:color w:val="000000"/>
              </w:rPr>
            </w:pPr>
            <w:r w:rsidRPr="000977D1">
              <w:rPr>
                <w:color w:val="000000"/>
              </w:rPr>
              <w:t>$123.2</w:t>
            </w:r>
          </w:p>
        </w:tc>
        <w:tc>
          <w:tcPr>
            <w:tcW w:w="1635" w:type="dxa"/>
            <w:tcBorders>
              <w:top w:val="single" w:sz="4" w:space="0" w:color="auto"/>
              <w:left w:val="single" w:sz="4" w:space="0" w:color="auto"/>
              <w:bottom w:val="single" w:sz="4" w:space="0" w:color="auto"/>
              <w:right w:val="single" w:sz="4" w:space="0" w:color="auto"/>
            </w:tcBorders>
            <w:shd w:val="clear" w:color="auto" w:fill="auto"/>
            <w:noWrap/>
            <w:tcMar>
              <w:left w:w="0" w:type="dxa"/>
              <w:right w:w="115" w:type="dxa"/>
            </w:tcMar>
            <w:vAlign w:val="center"/>
            <w:hideMark/>
          </w:tcPr>
          <w:p w14:paraId="20D25A4F" w14:textId="77777777" w:rsidR="00101352" w:rsidRPr="000977D1" w:rsidRDefault="00101352" w:rsidP="005553E8">
            <w:pPr>
              <w:jc w:val="right"/>
              <w:rPr>
                <w:color w:val="000000"/>
              </w:rPr>
            </w:pPr>
            <w:r w:rsidRPr="000977D1">
              <w:rPr>
                <w:color w:val="000000"/>
              </w:rPr>
              <w:t>$73.7</w:t>
            </w:r>
          </w:p>
        </w:tc>
        <w:tc>
          <w:tcPr>
            <w:tcW w:w="1543" w:type="dxa"/>
            <w:tcBorders>
              <w:top w:val="single" w:sz="4" w:space="0" w:color="auto"/>
              <w:left w:val="single" w:sz="4" w:space="0" w:color="auto"/>
              <w:bottom w:val="single" w:sz="4" w:space="0" w:color="auto"/>
              <w:right w:val="single" w:sz="4" w:space="0" w:color="auto"/>
            </w:tcBorders>
            <w:shd w:val="clear" w:color="auto" w:fill="auto"/>
            <w:noWrap/>
            <w:tcMar>
              <w:left w:w="0" w:type="dxa"/>
              <w:right w:w="115" w:type="dxa"/>
            </w:tcMar>
            <w:vAlign w:val="center"/>
            <w:hideMark/>
          </w:tcPr>
          <w:p w14:paraId="40DF3F8C" w14:textId="77777777" w:rsidR="00101352" w:rsidRPr="000977D1" w:rsidRDefault="00101352" w:rsidP="005553E8">
            <w:pPr>
              <w:jc w:val="right"/>
              <w:rPr>
                <w:color w:val="000000"/>
              </w:rPr>
            </w:pPr>
            <w:r w:rsidRPr="000977D1">
              <w:rPr>
                <w:color w:val="000000"/>
              </w:rPr>
              <w:t>$30.9</w:t>
            </w:r>
          </w:p>
        </w:tc>
        <w:tc>
          <w:tcPr>
            <w:tcW w:w="1540" w:type="dxa"/>
            <w:tcBorders>
              <w:top w:val="single" w:sz="4" w:space="0" w:color="auto"/>
              <w:left w:val="single" w:sz="4" w:space="0" w:color="auto"/>
              <w:bottom w:val="single" w:sz="4" w:space="0" w:color="auto"/>
              <w:right w:val="double" w:sz="4" w:space="0" w:color="auto"/>
            </w:tcBorders>
            <w:shd w:val="clear" w:color="auto" w:fill="auto"/>
            <w:noWrap/>
            <w:tcMar>
              <w:left w:w="0" w:type="dxa"/>
              <w:right w:w="115" w:type="dxa"/>
            </w:tcMar>
            <w:vAlign w:val="center"/>
            <w:hideMark/>
          </w:tcPr>
          <w:p w14:paraId="4F95B633" w14:textId="77777777" w:rsidR="00101352" w:rsidRPr="000977D1" w:rsidRDefault="00101352" w:rsidP="005553E8">
            <w:pPr>
              <w:jc w:val="right"/>
              <w:rPr>
                <w:color w:val="000000"/>
              </w:rPr>
            </w:pPr>
            <w:r w:rsidRPr="000977D1">
              <w:rPr>
                <w:color w:val="000000"/>
              </w:rPr>
              <w:t>$10.8</w:t>
            </w:r>
          </w:p>
        </w:tc>
      </w:tr>
      <w:tr w:rsidR="00101352" w:rsidRPr="000977D1" w14:paraId="3C2EF9A1" w14:textId="77777777" w:rsidTr="005553E8">
        <w:trPr>
          <w:trHeight w:hRule="exact" w:val="346"/>
        </w:trPr>
        <w:tc>
          <w:tcPr>
            <w:tcW w:w="2068" w:type="dxa"/>
            <w:tcBorders>
              <w:top w:val="single" w:sz="4" w:space="0" w:color="auto"/>
              <w:left w:val="double" w:sz="4" w:space="0" w:color="auto"/>
              <w:bottom w:val="single" w:sz="4" w:space="0" w:color="auto"/>
              <w:right w:val="single" w:sz="4" w:space="0" w:color="auto"/>
            </w:tcBorders>
            <w:shd w:val="clear" w:color="auto" w:fill="auto"/>
            <w:noWrap/>
            <w:tcMar>
              <w:left w:w="0" w:type="dxa"/>
              <w:right w:w="115" w:type="dxa"/>
            </w:tcMar>
            <w:vAlign w:val="center"/>
            <w:hideMark/>
          </w:tcPr>
          <w:p w14:paraId="4B0DA99A" w14:textId="77777777" w:rsidR="00101352" w:rsidRPr="000977D1" w:rsidRDefault="00101352" w:rsidP="005553E8">
            <w:pPr>
              <w:spacing w:line="240" w:lineRule="auto"/>
              <w:ind w:firstLine="0"/>
              <w:contextualSpacing/>
              <w:rPr>
                <w:color w:val="000000"/>
              </w:rPr>
            </w:pPr>
            <w:r w:rsidRPr="000977D1">
              <w:rPr>
                <w:color w:val="000000"/>
              </w:rPr>
              <w:t>50,001-100,000</w:t>
            </w:r>
          </w:p>
        </w:tc>
        <w:tc>
          <w:tcPr>
            <w:tcW w:w="1688" w:type="dxa"/>
            <w:tcBorders>
              <w:top w:val="single" w:sz="4" w:space="0" w:color="auto"/>
              <w:left w:val="single" w:sz="4" w:space="0" w:color="auto"/>
              <w:bottom w:val="single" w:sz="4" w:space="0" w:color="auto"/>
              <w:right w:val="single" w:sz="4" w:space="0" w:color="auto"/>
            </w:tcBorders>
            <w:shd w:val="clear" w:color="auto" w:fill="auto"/>
            <w:noWrap/>
            <w:tcMar>
              <w:left w:w="0" w:type="dxa"/>
              <w:right w:w="115" w:type="dxa"/>
            </w:tcMar>
            <w:vAlign w:val="center"/>
            <w:hideMark/>
          </w:tcPr>
          <w:p w14:paraId="6630660A" w14:textId="77777777" w:rsidR="00101352" w:rsidRPr="000977D1" w:rsidRDefault="00101352" w:rsidP="005553E8">
            <w:pPr>
              <w:jc w:val="right"/>
              <w:rPr>
                <w:color w:val="000000"/>
              </w:rPr>
            </w:pPr>
            <w:r w:rsidRPr="000977D1">
              <w:rPr>
                <w:color w:val="000000"/>
              </w:rPr>
              <w:t>$45.6</w:t>
            </w:r>
          </w:p>
        </w:tc>
        <w:tc>
          <w:tcPr>
            <w:tcW w:w="1635" w:type="dxa"/>
            <w:tcBorders>
              <w:top w:val="single" w:sz="4" w:space="0" w:color="auto"/>
              <w:left w:val="single" w:sz="4" w:space="0" w:color="auto"/>
              <w:bottom w:val="single" w:sz="4" w:space="0" w:color="auto"/>
              <w:right w:val="single" w:sz="4" w:space="0" w:color="auto"/>
            </w:tcBorders>
            <w:shd w:val="clear" w:color="auto" w:fill="auto"/>
            <w:noWrap/>
            <w:tcMar>
              <w:left w:w="0" w:type="dxa"/>
              <w:right w:w="115" w:type="dxa"/>
            </w:tcMar>
            <w:vAlign w:val="center"/>
            <w:hideMark/>
          </w:tcPr>
          <w:p w14:paraId="69C77974" w14:textId="77777777" w:rsidR="00101352" w:rsidRPr="000977D1" w:rsidRDefault="00101352" w:rsidP="005553E8">
            <w:pPr>
              <w:jc w:val="right"/>
              <w:rPr>
                <w:color w:val="000000"/>
              </w:rPr>
            </w:pPr>
            <w:r w:rsidRPr="000977D1">
              <w:rPr>
                <w:color w:val="000000"/>
              </w:rPr>
              <w:t>$26.1</w:t>
            </w:r>
          </w:p>
        </w:tc>
        <w:tc>
          <w:tcPr>
            <w:tcW w:w="1543" w:type="dxa"/>
            <w:tcBorders>
              <w:top w:val="single" w:sz="4" w:space="0" w:color="auto"/>
              <w:left w:val="single" w:sz="4" w:space="0" w:color="auto"/>
              <w:bottom w:val="single" w:sz="4" w:space="0" w:color="auto"/>
              <w:right w:val="single" w:sz="4" w:space="0" w:color="auto"/>
            </w:tcBorders>
            <w:shd w:val="clear" w:color="auto" w:fill="auto"/>
            <w:noWrap/>
            <w:tcMar>
              <w:left w:w="0" w:type="dxa"/>
              <w:right w:w="115" w:type="dxa"/>
            </w:tcMar>
            <w:vAlign w:val="center"/>
            <w:hideMark/>
          </w:tcPr>
          <w:p w14:paraId="248B3F98" w14:textId="77777777" w:rsidR="00101352" w:rsidRPr="000977D1" w:rsidRDefault="00101352" w:rsidP="005553E8">
            <w:pPr>
              <w:jc w:val="right"/>
              <w:rPr>
                <w:color w:val="000000"/>
              </w:rPr>
            </w:pPr>
            <w:r w:rsidRPr="000977D1">
              <w:rPr>
                <w:color w:val="000000"/>
              </w:rPr>
              <w:t>$11.0</w:t>
            </w:r>
          </w:p>
        </w:tc>
        <w:tc>
          <w:tcPr>
            <w:tcW w:w="1540" w:type="dxa"/>
            <w:tcBorders>
              <w:top w:val="single" w:sz="4" w:space="0" w:color="auto"/>
              <w:left w:val="single" w:sz="4" w:space="0" w:color="auto"/>
              <w:bottom w:val="single" w:sz="4" w:space="0" w:color="auto"/>
              <w:right w:val="double" w:sz="4" w:space="0" w:color="auto"/>
            </w:tcBorders>
            <w:shd w:val="clear" w:color="auto" w:fill="auto"/>
            <w:noWrap/>
            <w:tcMar>
              <w:left w:w="0" w:type="dxa"/>
              <w:right w:w="115" w:type="dxa"/>
            </w:tcMar>
            <w:vAlign w:val="center"/>
            <w:hideMark/>
          </w:tcPr>
          <w:p w14:paraId="0D1365A4" w14:textId="77777777" w:rsidR="00101352" w:rsidRPr="000977D1" w:rsidRDefault="00101352" w:rsidP="005553E8">
            <w:pPr>
              <w:jc w:val="right"/>
              <w:rPr>
                <w:color w:val="000000"/>
              </w:rPr>
            </w:pPr>
            <w:r w:rsidRPr="000977D1">
              <w:rPr>
                <w:color w:val="000000"/>
              </w:rPr>
              <w:t>$3.8</w:t>
            </w:r>
          </w:p>
        </w:tc>
      </w:tr>
      <w:tr w:rsidR="00101352" w:rsidRPr="000977D1" w14:paraId="5C870543" w14:textId="77777777" w:rsidTr="005553E8">
        <w:trPr>
          <w:trHeight w:hRule="exact" w:val="346"/>
        </w:trPr>
        <w:tc>
          <w:tcPr>
            <w:tcW w:w="2068" w:type="dxa"/>
            <w:tcBorders>
              <w:top w:val="single" w:sz="4" w:space="0" w:color="auto"/>
              <w:left w:val="double" w:sz="4" w:space="0" w:color="auto"/>
              <w:bottom w:val="single" w:sz="4" w:space="0" w:color="auto"/>
              <w:right w:val="single" w:sz="4" w:space="0" w:color="auto"/>
            </w:tcBorders>
            <w:shd w:val="clear" w:color="auto" w:fill="auto"/>
            <w:noWrap/>
            <w:tcMar>
              <w:left w:w="0" w:type="dxa"/>
              <w:right w:w="115" w:type="dxa"/>
            </w:tcMar>
            <w:vAlign w:val="center"/>
            <w:hideMark/>
          </w:tcPr>
          <w:p w14:paraId="712B600A" w14:textId="77777777" w:rsidR="00101352" w:rsidRPr="000977D1" w:rsidRDefault="00101352" w:rsidP="005553E8">
            <w:pPr>
              <w:spacing w:line="240" w:lineRule="auto"/>
              <w:ind w:firstLine="0"/>
              <w:contextualSpacing/>
              <w:rPr>
                <w:color w:val="000000"/>
              </w:rPr>
            </w:pPr>
            <w:r w:rsidRPr="000977D1">
              <w:rPr>
                <w:color w:val="000000"/>
              </w:rPr>
              <w:t>100,001-1,000,000</w:t>
            </w:r>
          </w:p>
        </w:tc>
        <w:tc>
          <w:tcPr>
            <w:tcW w:w="1688" w:type="dxa"/>
            <w:tcBorders>
              <w:top w:val="single" w:sz="4" w:space="0" w:color="auto"/>
              <w:left w:val="single" w:sz="4" w:space="0" w:color="auto"/>
              <w:bottom w:val="single" w:sz="4" w:space="0" w:color="auto"/>
              <w:right w:val="single" w:sz="4" w:space="0" w:color="auto"/>
            </w:tcBorders>
            <w:shd w:val="clear" w:color="auto" w:fill="auto"/>
            <w:noWrap/>
            <w:tcMar>
              <w:left w:w="0" w:type="dxa"/>
              <w:right w:w="115" w:type="dxa"/>
            </w:tcMar>
            <w:vAlign w:val="center"/>
            <w:hideMark/>
          </w:tcPr>
          <w:p w14:paraId="28105592" w14:textId="77777777" w:rsidR="00101352" w:rsidRPr="000977D1" w:rsidRDefault="00101352" w:rsidP="005553E8">
            <w:pPr>
              <w:jc w:val="right"/>
              <w:rPr>
                <w:color w:val="000000"/>
              </w:rPr>
            </w:pPr>
            <w:r w:rsidRPr="000977D1">
              <w:rPr>
                <w:color w:val="000000"/>
              </w:rPr>
              <w:t>$72.5</w:t>
            </w:r>
          </w:p>
        </w:tc>
        <w:tc>
          <w:tcPr>
            <w:tcW w:w="1635" w:type="dxa"/>
            <w:tcBorders>
              <w:top w:val="single" w:sz="4" w:space="0" w:color="auto"/>
              <w:left w:val="single" w:sz="4" w:space="0" w:color="auto"/>
              <w:bottom w:val="single" w:sz="4" w:space="0" w:color="auto"/>
              <w:right w:val="single" w:sz="4" w:space="0" w:color="auto"/>
            </w:tcBorders>
            <w:shd w:val="clear" w:color="auto" w:fill="auto"/>
            <w:noWrap/>
            <w:tcMar>
              <w:left w:w="0" w:type="dxa"/>
              <w:right w:w="115" w:type="dxa"/>
            </w:tcMar>
            <w:vAlign w:val="center"/>
            <w:hideMark/>
          </w:tcPr>
          <w:p w14:paraId="15AF9849" w14:textId="77777777" w:rsidR="00101352" w:rsidRPr="000977D1" w:rsidRDefault="00101352" w:rsidP="005553E8">
            <w:pPr>
              <w:jc w:val="right"/>
              <w:rPr>
                <w:color w:val="000000"/>
              </w:rPr>
            </w:pPr>
            <w:r w:rsidRPr="000977D1">
              <w:rPr>
                <w:color w:val="000000"/>
              </w:rPr>
              <w:t>$44.1</w:t>
            </w:r>
          </w:p>
        </w:tc>
        <w:tc>
          <w:tcPr>
            <w:tcW w:w="1543" w:type="dxa"/>
            <w:tcBorders>
              <w:top w:val="single" w:sz="4" w:space="0" w:color="auto"/>
              <w:left w:val="single" w:sz="4" w:space="0" w:color="auto"/>
              <w:bottom w:val="single" w:sz="4" w:space="0" w:color="auto"/>
              <w:right w:val="single" w:sz="4" w:space="0" w:color="auto"/>
            </w:tcBorders>
            <w:shd w:val="clear" w:color="auto" w:fill="auto"/>
            <w:noWrap/>
            <w:tcMar>
              <w:left w:w="0" w:type="dxa"/>
              <w:right w:w="115" w:type="dxa"/>
            </w:tcMar>
            <w:vAlign w:val="center"/>
            <w:hideMark/>
          </w:tcPr>
          <w:p w14:paraId="0C71DE9F" w14:textId="77777777" w:rsidR="00101352" w:rsidRPr="000977D1" w:rsidRDefault="00101352" w:rsidP="005553E8">
            <w:pPr>
              <w:jc w:val="right"/>
              <w:rPr>
                <w:color w:val="000000"/>
              </w:rPr>
            </w:pPr>
            <w:r w:rsidRPr="000977D1">
              <w:rPr>
                <w:color w:val="000000"/>
              </w:rPr>
              <w:t>$17.9</w:t>
            </w:r>
          </w:p>
        </w:tc>
        <w:tc>
          <w:tcPr>
            <w:tcW w:w="1540" w:type="dxa"/>
            <w:tcBorders>
              <w:top w:val="single" w:sz="4" w:space="0" w:color="auto"/>
              <w:left w:val="single" w:sz="4" w:space="0" w:color="auto"/>
              <w:bottom w:val="single" w:sz="4" w:space="0" w:color="auto"/>
              <w:right w:val="double" w:sz="4" w:space="0" w:color="auto"/>
            </w:tcBorders>
            <w:shd w:val="clear" w:color="auto" w:fill="auto"/>
            <w:noWrap/>
            <w:tcMar>
              <w:left w:w="0" w:type="dxa"/>
              <w:right w:w="115" w:type="dxa"/>
            </w:tcMar>
            <w:vAlign w:val="center"/>
            <w:hideMark/>
          </w:tcPr>
          <w:p w14:paraId="077632C9" w14:textId="77777777" w:rsidR="00101352" w:rsidRPr="000977D1" w:rsidRDefault="00101352" w:rsidP="005553E8">
            <w:pPr>
              <w:jc w:val="right"/>
              <w:rPr>
                <w:color w:val="000000"/>
              </w:rPr>
            </w:pPr>
            <w:r w:rsidRPr="000977D1">
              <w:rPr>
                <w:color w:val="000000"/>
              </w:rPr>
              <w:t>$6.1</w:t>
            </w:r>
          </w:p>
        </w:tc>
      </w:tr>
      <w:tr w:rsidR="00101352" w:rsidRPr="000977D1" w14:paraId="049FB2B9" w14:textId="77777777" w:rsidTr="005553E8">
        <w:trPr>
          <w:trHeight w:hRule="exact" w:val="346"/>
        </w:trPr>
        <w:tc>
          <w:tcPr>
            <w:tcW w:w="2068" w:type="dxa"/>
            <w:tcBorders>
              <w:top w:val="single" w:sz="4" w:space="0" w:color="auto"/>
              <w:left w:val="double" w:sz="4" w:space="0" w:color="auto"/>
              <w:bottom w:val="double" w:sz="4" w:space="0" w:color="auto"/>
              <w:right w:val="single" w:sz="4" w:space="0" w:color="auto"/>
            </w:tcBorders>
            <w:shd w:val="clear" w:color="auto" w:fill="auto"/>
            <w:noWrap/>
            <w:tcMar>
              <w:left w:w="0" w:type="dxa"/>
              <w:right w:w="115" w:type="dxa"/>
            </w:tcMar>
            <w:vAlign w:val="center"/>
            <w:hideMark/>
          </w:tcPr>
          <w:p w14:paraId="42E1B6AD" w14:textId="77777777" w:rsidR="00101352" w:rsidRPr="000977D1" w:rsidRDefault="00101352" w:rsidP="005553E8">
            <w:pPr>
              <w:spacing w:line="240" w:lineRule="auto"/>
              <w:ind w:firstLine="0"/>
              <w:contextualSpacing/>
              <w:rPr>
                <w:color w:val="000000"/>
              </w:rPr>
            </w:pPr>
            <w:r w:rsidRPr="000977D1">
              <w:rPr>
                <w:color w:val="000000"/>
              </w:rPr>
              <w:t>&gt; 1,000,000</w:t>
            </w:r>
          </w:p>
        </w:tc>
        <w:tc>
          <w:tcPr>
            <w:tcW w:w="1688" w:type="dxa"/>
            <w:tcBorders>
              <w:top w:val="single" w:sz="4" w:space="0" w:color="auto"/>
              <w:left w:val="single" w:sz="4" w:space="0" w:color="auto"/>
              <w:bottom w:val="double" w:sz="4" w:space="0" w:color="auto"/>
              <w:right w:val="single" w:sz="4" w:space="0" w:color="auto"/>
            </w:tcBorders>
            <w:shd w:val="clear" w:color="auto" w:fill="auto"/>
            <w:noWrap/>
            <w:tcMar>
              <w:left w:w="0" w:type="dxa"/>
              <w:right w:w="115" w:type="dxa"/>
            </w:tcMar>
            <w:vAlign w:val="center"/>
            <w:hideMark/>
          </w:tcPr>
          <w:p w14:paraId="6829F4CB" w14:textId="77777777" w:rsidR="00101352" w:rsidRPr="000977D1" w:rsidRDefault="00101352" w:rsidP="005553E8">
            <w:pPr>
              <w:jc w:val="right"/>
              <w:rPr>
                <w:color w:val="000000"/>
              </w:rPr>
            </w:pPr>
            <w:r w:rsidRPr="000977D1">
              <w:rPr>
                <w:color w:val="000000"/>
              </w:rPr>
              <w:t>$0.0</w:t>
            </w:r>
          </w:p>
        </w:tc>
        <w:tc>
          <w:tcPr>
            <w:tcW w:w="1635" w:type="dxa"/>
            <w:tcBorders>
              <w:top w:val="single" w:sz="4" w:space="0" w:color="auto"/>
              <w:left w:val="single" w:sz="4" w:space="0" w:color="auto"/>
              <w:bottom w:val="double" w:sz="4" w:space="0" w:color="auto"/>
              <w:right w:val="single" w:sz="4" w:space="0" w:color="auto"/>
            </w:tcBorders>
            <w:shd w:val="clear" w:color="auto" w:fill="auto"/>
            <w:noWrap/>
            <w:tcMar>
              <w:left w:w="0" w:type="dxa"/>
              <w:right w:w="115" w:type="dxa"/>
            </w:tcMar>
            <w:vAlign w:val="center"/>
            <w:hideMark/>
          </w:tcPr>
          <w:p w14:paraId="2CA109CE" w14:textId="77777777" w:rsidR="00101352" w:rsidRPr="000977D1" w:rsidRDefault="00101352" w:rsidP="005553E8">
            <w:pPr>
              <w:jc w:val="right"/>
              <w:rPr>
                <w:color w:val="000000"/>
              </w:rPr>
            </w:pPr>
            <w:r w:rsidRPr="000977D1">
              <w:rPr>
                <w:color w:val="000000"/>
              </w:rPr>
              <w:t>$0.0</w:t>
            </w:r>
          </w:p>
        </w:tc>
        <w:tc>
          <w:tcPr>
            <w:tcW w:w="1543" w:type="dxa"/>
            <w:tcBorders>
              <w:top w:val="single" w:sz="4" w:space="0" w:color="auto"/>
              <w:left w:val="single" w:sz="4" w:space="0" w:color="auto"/>
              <w:bottom w:val="double" w:sz="4" w:space="0" w:color="auto"/>
              <w:right w:val="single" w:sz="4" w:space="0" w:color="auto"/>
            </w:tcBorders>
            <w:shd w:val="clear" w:color="auto" w:fill="auto"/>
            <w:noWrap/>
            <w:tcMar>
              <w:left w:w="0" w:type="dxa"/>
              <w:right w:w="115" w:type="dxa"/>
            </w:tcMar>
            <w:vAlign w:val="center"/>
            <w:hideMark/>
          </w:tcPr>
          <w:p w14:paraId="3901F98E" w14:textId="77777777" w:rsidR="00101352" w:rsidRPr="000977D1" w:rsidRDefault="00101352" w:rsidP="005553E8">
            <w:pPr>
              <w:jc w:val="right"/>
              <w:rPr>
                <w:color w:val="000000"/>
              </w:rPr>
            </w:pPr>
            <w:r w:rsidRPr="000977D1">
              <w:rPr>
                <w:color w:val="000000"/>
              </w:rPr>
              <w:t>$0.0</w:t>
            </w:r>
          </w:p>
        </w:tc>
        <w:tc>
          <w:tcPr>
            <w:tcW w:w="1540" w:type="dxa"/>
            <w:tcBorders>
              <w:top w:val="single" w:sz="4" w:space="0" w:color="auto"/>
              <w:left w:val="single" w:sz="4" w:space="0" w:color="auto"/>
              <w:bottom w:val="double" w:sz="4" w:space="0" w:color="auto"/>
              <w:right w:val="double" w:sz="4" w:space="0" w:color="auto"/>
            </w:tcBorders>
            <w:shd w:val="clear" w:color="auto" w:fill="auto"/>
            <w:noWrap/>
            <w:tcMar>
              <w:left w:w="0" w:type="dxa"/>
              <w:right w:w="115" w:type="dxa"/>
            </w:tcMar>
            <w:vAlign w:val="center"/>
            <w:hideMark/>
          </w:tcPr>
          <w:p w14:paraId="1BCF8EA3" w14:textId="77777777" w:rsidR="00101352" w:rsidRPr="000977D1" w:rsidRDefault="00101352" w:rsidP="005553E8">
            <w:pPr>
              <w:jc w:val="right"/>
              <w:rPr>
                <w:color w:val="000000"/>
              </w:rPr>
            </w:pPr>
            <w:r w:rsidRPr="000977D1">
              <w:rPr>
                <w:color w:val="000000"/>
              </w:rPr>
              <w:t>$0.0</w:t>
            </w:r>
          </w:p>
        </w:tc>
      </w:tr>
      <w:tr w:rsidR="00101352" w:rsidRPr="000977D1" w14:paraId="5E84E758" w14:textId="77777777" w:rsidTr="005553E8">
        <w:trPr>
          <w:trHeight w:hRule="exact" w:val="346"/>
        </w:trPr>
        <w:tc>
          <w:tcPr>
            <w:tcW w:w="2068" w:type="dxa"/>
            <w:tcBorders>
              <w:top w:val="double" w:sz="4" w:space="0" w:color="auto"/>
              <w:left w:val="double" w:sz="4" w:space="0" w:color="auto"/>
              <w:bottom w:val="double" w:sz="4" w:space="0" w:color="auto"/>
            </w:tcBorders>
            <w:shd w:val="clear" w:color="auto" w:fill="auto"/>
            <w:noWrap/>
            <w:tcMar>
              <w:left w:w="0" w:type="dxa"/>
              <w:right w:w="115" w:type="dxa"/>
            </w:tcMar>
            <w:vAlign w:val="center"/>
          </w:tcPr>
          <w:p w14:paraId="7D981CD3" w14:textId="77777777" w:rsidR="00101352" w:rsidRPr="000977D1" w:rsidRDefault="00101352" w:rsidP="005553E8">
            <w:pPr>
              <w:spacing w:line="240" w:lineRule="auto"/>
              <w:ind w:firstLine="0"/>
              <w:contextualSpacing/>
              <w:rPr>
                <w:b/>
                <w:color w:val="000000"/>
              </w:rPr>
            </w:pPr>
            <w:r w:rsidRPr="000977D1">
              <w:rPr>
                <w:b/>
                <w:color w:val="000000"/>
              </w:rPr>
              <w:t>Total Savings</w:t>
            </w:r>
          </w:p>
        </w:tc>
        <w:tc>
          <w:tcPr>
            <w:tcW w:w="1688" w:type="dxa"/>
            <w:tcBorders>
              <w:top w:val="double" w:sz="4" w:space="0" w:color="auto"/>
              <w:bottom w:val="double" w:sz="4" w:space="0" w:color="auto"/>
            </w:tcBorders>
            <w:shd w:val="clear" w:color="auto" w:fill="auto"/>
            <w:noWrap/>
            <w:tcMar>
              <w:left w:w="0" w:type="dxa"/>
              <w:right w:w="115" w:type="dxa"/>
            </w:tcMar>
            <w:vAlign w:val="center"/>
          </w:tcPr>
          <w:p w14:paraId="4F96BEA4" w14:textId="77777777" w:rsidR="00101352" w:rsidRPr="000977D1" w:rsidRDefault="00101352" w:rsidP="005553E8">
            <w:pPr>
              <w:spacing w:line="240" w:lineRule="auto"/>
              <w:ind w:firstLine="0"/>
              <w:jc w:val="right"/>
              <w:rPr>
                <w:b/>
                <w:color w:val="000000"/>
              </w:rPr>
            </w:pPr>
            <w:r w:rsidRPr="000977D1">
              <w:rPr>
                <w:b/>
                <w:color w:val="000000"/>
              </w:rPr>
              <w:t>$493.8</w:t>
            </w:r>
          </w:p>
        </w:tc>
        <w:tc>
          <w:tcPr>
            <w:tcW w:w="1635" w:type="dxa"/>
            <w:tcBorders>
              <w:top w:val="double" w:sz="4" w:space="0" w:color="auto"/>
              <w:bottom w:val="double" w:sz="4" w:space="0" w:color="auto"/>
            </w:tcBorders>
            <w:shd w:val="clear" w:color="auto" w:fill="auto"/>
            <w:noWrap/>
            <w:tcMar>
              <w:left w:w="0" w:type="dxa"/>
              <w:right w:w="115" w:type="dxa"/>
            </w:tcMar>
            <w:vAlign w:val="center"/>
          </w:tcPr>
          <w:p w14:paraId="651C7A4F" w14:textId="77777777" w:rsidR="00101352" w:rsidRPr="000977D1" w:rsidRDefault="00101352" w:rsidP="005553E8">
            <w:pPr>
              <w:jc w:val="right"/>
              <w:rPr>
                <w:b/>
                <w:color w:val="000000"/>
              </w:rPr>
            </w:pPr>
            <w:r w:rsidRPr="000977D1">
              <w:rPr>
                <w:b/>
                <w:color w:val="000000"/>
              </w:rPr>
              <w:t>$294.4</w:t>
            </w:r>
          </w:p>
        </w:tc>
        <w:tc>
          <w:tcPr>
            <w:tcW w:w="1543" w:type="dxa"/>
            <w:tcBorders>
              <w:top w:val="double" w:sz="4" w:space="0" w:color="auto"/>
              <w:bottom w:val="double" w:sz="4" w:space="0" w:color="auto"/>
            </w:tcBorders>
            <w:shd w:val="clear" w:color="auto" w:fill="auto"/>
            <w:noWrap/>
            <w:tcMar>
              <w:left w:w="0" w:type="dxa"/>
              <w:right w:w="115" w:type="dxa"/>
            </w:tcMar>
            <w:vAlign w:val="center"/>
          </w:tcPr>
          <w:p w14:paraId="108D15A6" w14:textId="77777777" w:rsidR="00101352" w:rsidRPr="000977D1" w:rsidRDefault="00101352" w:rsidP="005553E8">
            <w:pPr>
              <w:jc w:val="right"/>
              <w:rPr>
                <w:b/>
                <w:color w:val="000000"/>
              </w:rPr>
            </w:pPr>
            <w:r w:rsidRPr="000977D1">
              <w:rPr>
                <w:b/>
                <w:color w:val="000000"/>
              </w:rPr>
              <w:t>$126.0</w:t>
            </w:r>
          </w:p>
        </w:tc>
        <w:tc>
          <w:tcPr>
            <w:tcW w:w="1540" w:type="dxa"/>
            <w:tcBorders>
              <w:top w:val="double" w:sz="4" w:space="0" w:color="auto"/>
              <w:bottom w:val="double" w:sz="4" w:space="0" w:color="auto"/>
              <w:right w:val="double" w:sz="4" w:space="0" w:color="auto"/>
            </w:tcBorders>
            <w:shd w:val="clear" w:color="auto" w:fill="auto"/>
            <w:noWrap/>
            <w:tcMar>
              <w:left w:w="0" w:type="dxa"/>
              <w:right w:w="115" w:type="dxa"/>
            </w:tcMar>
            <w:vAlign w:val="center"/>
          </w:tcPr>
          <w:p w14:paraId="0F8438D4" w14:textId="77777777" w:rsidR="00101352" w:rsidRPr="000977D1" w:rsidRDefault="00101352" w:rsidP="005553E8">
            <w:pPr>
              <w:jc w:val="right"/>
              <w:rPr>
                <w:b/>
                <w:color w:val="000000"/>
              </w:rPr>
            </w:pPr>
            <w:r w:rsidRPr="000977D1">
              <w:rPr>
                <w:b/>
                <w:color w:val="000000"/>
              </w:rPr>
              <w:t>$46.0</w:t>
            </w:r>
          </w:p>
        </w:tc>
      </w:tr>
      <w:tr w:rsidR="00101352" w:rsidRPr="000977D1" w14:paraId="1F6D4BE8" w14:textId="77777777" w:rsidTr="005553E8">
        <w:trPr>
          <w:trHeight w:val="320"/>
        </w:trPr>
        <w:tc>
          <w:tcPr>
            <w:tcW w:w="8474" w:type="dxa"/>
            <w:gridSpan w:val="5"/>
            <w:tcBorders>
              <w:top w:val="double" w:sz="4" w:space="0" w:color="auto"/>
              <w:left w:val="double" w:sz="4" w:space="0" w:color="auto"/>
              <w:bottom w:val="double" w:sz="4" w:space="0" w:color="auto"/>
              <w:right w:val="double" w:sz="4" w:space="0" w:color="auto"/>
            </w:tcBorders>
            <w:shd w:val="clear" w:color="auto" w:fill="auto"/>
            <w:noWrap/>
            <w:tcMar>
              <w:left w:w="0" w:type="dxa"/>
              <w:right w:w="115" w:type="dxa"/>
            </w:tcMar>
            <w:vAlign w:val="center"/>
            <w:hideMark/>
          </w:tcPr>
          <w:p w14:paraId="2BABFC01" w14:textId="77777777" w:rsidR="00101352" w:rsidRDefault="00101352" w:rsidP="005553E8">
            <w:pPr>
              <w:spacing w:line="240" w:lineRule="auto"/>
              <w:ind w:firstLine="0"/>
              <w:rPr>
                <w:iCs/>
                <w:color w:val="000000" w:themeColor="text1"/>
                <w:szCs w:val="18"/>
              </w:rPr>
            </w:pPr>
            <w:r>
              <w:rPr>
                <w:color w:val="000000"/>
              </w:rPr>
              <w:t xml:space="preserve">Source: Derived from </w:t>
            </w:r>
            <w:r>
              <w:rPr>
                <w:color w:val="000000"/>
              </w:rPr>
              <w:fldChar w:fldCharType="begin"/>
            </w:r>
            <w:r>
              <w:rPr>
                <w:color w:val="000000"/>
              </w:rPr>
              <w:instrText xml:space="preserve"> REF _Ref536529356 </w:instrText>
            </w:r>
            <w:r>
              <w:rPr>
                <w:color w:val="000000"/>
              </w:rPr>
              <w:fldChar w:fldCharType="separate"/>
            </w:r>
            <w:r>
              <w:br w:type="page"/>
            </w:r>
          </w:p>
          <w:p w14:paraId="7FEF6E74" w14:textId="77777777" w:rsidR="00101352" w:rsidRPr="000977D1" w:rsidRDefault="00101352" w:rsidP="005553E8">
            <w:pPr>
              <w:spacing w:line="240" w:lineRule="auto"/>
              <w:ind w:firstLine="0"/>
              <w:rPr>
                <w:sz w:val="20"/>
                <w:szCs w:val="20"/>
              </w:rPr>
            </w:pPr>
            <w:r>
              <w:t xml:space="preserve">Table </w:t>
            </w:r>
            <w:r>
              <w:rPr>
                <w:noProof/>
              </w:rPr>
              <w:t>7</w:t>
            </w:r>
            <w:r>
              <w:noBreakHyphen/>
            </w:r>
            <w:r>
              <w:rPr>
                <w:noProof/>
              </w:rPr>
              <w:t>8</w:t>
            </w:r>
            <w:r>
              <w:rPr>
                <w:color w:val="000000"/>
              </w:rPr>
              <w:fldChar w:fldCharType="end"/>
            </w:r>
            <w:r>
              <w:rPr>
                <w:color w:val="000000"/>
              </w:rPr>
              <w:t xml:space="preserve"> and </w:t>
            </w:r>
            <w:r>
              <w:rPr>
                <w:color w:val="000000"/>
              </w:rPr>
              <w:fldChar w:fldCharType="begin"/>
            </w:r>
            <w:r>
              <w:rPr>
                <w:color w:val="000000"/>
              </w:rPr>
              <w:instrText xml:space="preserve"> REF _Ref536529335 </w:instrText>
            </w:r>
            <w:r>
              <w:rPr>
                <w:color w:val="000000"/>
              </w:rPr>
              <w:fldChar w:fldCharType="separate"/>
            </w:r>
            <w:r>
              <w:t xml:space="preserve">Table </w:t>
            </w:r>
            <w:r>
              <w:rPr>
                <w:noProof/>
              </w:rPr>
              <w:t>7</w:t>
            </w:r>
            <w:r>
              <w:noBreakHyphen/>
            </w:r>
            <w:r>
              <w:rPr>
                <w:noProof/>
              </w:rPr>
              <w:t>9</w:t>
            </w:r>
            <w:r>
              <w:rPr>
                <w:color w:val="000000"/>
              </w:rPr>
              <w:fldChar w:fldCharType="end"/>
            </w:r>
            <w:r>
              <w:rPr>
                <w:color w:val="000000"/>
              </w:rPr>
              <w:t>.</w:t>
            </w:r>
          </w:p>
        </w:tc>
      </w:tr>
    </w:tbl>
    <w:p w14:paraId="3F05CF2F" w14:textId="77777777" w:rsidR="00101352" w:rsidRDefault="00101352" w:rsidP="00101352">
      <w:pPr>
        <w:spacing w:line="240" w:lineRule="auto"/>
        <w:ind w:firstLine="0"/>
        <w:rPr>
          <w:iCs/>
          <w:color w:val="1F497D" w:themeColor="text2"/>
          <w:szCs w:val="18"/>
        </w:rPr>
      </w:pPr>
    </w:p>
    <w:p w14:paraId="5CEA17FD" w14:textId="77777777" w:rsidR="00101352" w:rsidRDefault="00101352" w:rsidP="00101352">
      <w:pPr>
        <w:spacing w:line="240" w:lineRule="auto"/>
        <w:ind w:firstLine="0"/>
        <w:rPr>
          <w:iCs/>
          <w:color w:val="1F497D" w:themeColor="text2"/>
          <w:szCs w:val="18"/>
        </w:rPr>
      </w:pPr>
      <w:r>
        <w:rPr>
          <w:iCs/>
          <w:color w:val="1F497D" w:themeColor="text2"/>
          <w:szCs w:val="18"/>
        </w:rPr>
        <w:br w:type="page"/>
      </w:r>
    </w:p>
    <w:p w14:paraId="1BA71D8E" w14:textId="77777777" w:rsidR="00101352" w:rsidRDefault="00101352" w:rsidP="00101352">
      <w:pPr>
        <w:pStyle w:val="Heading3"/>
      </w:pPr>
      <w:r w:rsidRPr="00720A0A">
        <w:lastRenderedPageBreak/>
        <w:t>Lead and Copper: Short-Term Regulatory Revisions and Clarifications</w:t>
      </w:r>
    </w:p>
    <w:p w14:paraId="75257F7D" w14:textId="77777777" w:rsidR="00101352" w:rsidRDefault="00101352" w:rsidP="00101352">
      <w:r>
        <w:t xml:space="preserve">In 2007, USEPA made seven changes in its existing NPWDR for lead and copper </w:t>
      </w:r>
      <w:r>
        <w:rPr>
          <w:noProof/>
        </w:rPr>
        <w:t>(USEPA 2007b)</w:t>
      </w:r>
      <w:r>
        <w:t>. The Agency described the rule’s purpose as “</w:t>
      </w:r>
      <w:r w:rsidRPr="0067352E">
        <w:t>to protect populations from exposure</w:t>
      </w:r>
      <w:r>
        <w:t xml:space="preserve"> </w:t>
      </w:r>
      <w:r w:rsidRPr="0067352E">
        <w:t>to lead in drinking water to reduce potential health risks associated with lead</w:t>
      </w:r>
      <w:r>
        <w:t xml:space="preserve">” </w:t>
      </w:r>
      <w:r>
        <w:rPr>
          <w:noProof/>
        </w:rPr>
        <w:t>(USEPA 2007a)</w:t>
      </w:r>
      <w:r>
        <w:t>. No benefits are quantified, however, so the economic feasibility of none of the seven provisions can be evaluated.</w:t>
      </w:r>
    </w:p>
    <w:p w14:paraId="3A98D360" w14:textId="77777777" w:rsidR="00101352" w:rsidRDefault="00101352" w:rsidP="00101352">
      <w:pPr>
        <w:pStyle w:val="Heading2"/>
      </w:pPr>
      <w:bookmarkStart w:id="66" w:name="_Ref533755494"/>
      <w:r>
        <w:t>Miscellaneous Standards</w:t>
      </w:r>
      <w:bookmarkEnd w:id="66"/>
    </w:p>
    <w:p w14:paraId="13F1D22F" w14:textId="77777777" w:rsidR="00101352" w:rsidRDefault="00101352" w:rsidP="00101352">
      <w:pPr>
        <w:pStyle w:val="Heading3"/>
      </w:pPr>
      <w:r w:rsidRPr="00720A0A">
        <w:t>Drinking Water Regulations for Aircraft Public Water Systems</w:t>
      </w:r>
    </w:p>
    <w:p w14:paraId="3F19136A" w14:textId="77777777" w:rsidR="00101352" w:rsidRDefault="00101352" w:rsidP="00101352">
      <w:r>
        <w:t xml:space="preserve">In 2009, USEPA promulgated a final rule setting standards for drinking water in scheduled and charter passenger aircraft that serve on average at least 25 persons daily at least 60 days per year </w:t>
      </w:r>
      <w:r>
        <w:rPr>
          <w:noProof/>
        </w:rPr>
        <w:t>(USEPA 2009a)</w:t>
      </w:r>
      <w:r>
        <w:t>.</w:t>
      </w:r>
      <w:r>
        <w:rPr>
          <w:rStyle w:val="FootnoteReference"/>
        </w:rPr>
        <w:footnoteReference w:id="5"/>
      </w:r>
      <w:r>
        <w:t xml:space="preserve"> USEPA obtained data indicating that about 4% of aircraft lavatory water samples tested positive for coliform (Table III-2). The Agency considered four options in its RIA but did not examine the no-action alternative </w:t>
      </w:r>
      <w:r>
        <w:rPr>
          <w:noProof/>
        </w:rPr>
        <w:t>(USEPA 2009b)</w:t>
      </w:r>
      <w:r>
        <w:t xml:space="preserve">. No benefits were estimated, so the effects of having applied the economic feasibility principle cannot be characterized. </w:t>
      </w:r>
    </w:p>
    <w:p w14:paraId="400AA824" w14:textId="77777777" w:rsidR="00101352" w:rsidRDefault="00101352" w:rsidP="00101352">
      <w:pPr>
        <w:pStyle w:val="Heading3"/>
      </w:pPr>
      <w:r w:rsidRPr="00720A0A">
        <w:t>Revisions to the Total Coliform Rule</w:t>
      </w:r>
    </w:p>
    <w:p w14:paraId="73E156B9" w14:textId="77777777" w:rsidR="00101352" w:rsidRDefault="00101352" w:rsidP="00101352">
      <w:r>
        <w:t>In 2013, USEPA promulgated a Revised Total Coliform Rule (RTCR) asserting that it provided “</w:t>
      </w:r>
      <w:r w:rsidRPr="001B3BAB">
        <w:t>a</w:t>
      </w:r>
      <w:r>
        <w:t xml:space="preserve"> </w:t>
      </w:r>
      <w:r w:rsidRPr="001B3BAB">
        <w:t>meaningful opportunity for greater</w:t>
      </w:r>
      <w:r>
        <w:t xml:space="preserve"> </w:t>
      </w:r>
      <w:r w:rsidRPr="001B3BAB">
        <w:t>public health protection beyond the</w:t>
      </w:r>
      <w:r>
        <w:t xml:space="preserve"> 1</w:t>
      </w:r>
      <w:r w:rsidRPr="001B3BAB">
        <w:t>989 TCR</w:t>
      </w:r>
      <w:r>
        <w:t xml:space="preserve">” </w:t>
      </w:r>
      <w:r>
        <w:rPr>
          <w:noProof/>
        </w:rPr>
        <w:t>(USEPA 2013, p. 10270 [citing SDWA 1996 § (b)(1)(A)(iii)])</w:t>
      </w:r>
      <w:r>
        <w:t xml:space="preserve">. The rule required all CWSs and </w:t>
      </w:r>
      <w:r>
        <w:lastRenderedPageBreak/>
        <w:t>NCWSs “</w:t>
      </w:r>
      <w:r w:rsidRPr="009E680D">
        <w:t>vulnerable to</w:t>
      </w:r>
      <w:r>
        <w:t xml:space="preserve"> </w:t>
      </w:r>
      <w:r w:rsidRPr="009E680D">
        <w:t>microbial contamination to identify and</w:t>
      </w:r>
      <w:r>
        <w:t xml:space="preserve"> </w:t>
      </w:r>
      <w:r w:rsidRPr="009E680D">
        <w:t>fix problems,</w:t>
      </w:r>
      <w:r>
        <w:t xml:space="preserve"> [and] </w:t>
      </w:r>
      <w:r w:rsidRPr="009E680D">
        <w:t>establish</w:t>
      </w:r>
      <w:r>
        <w:t>[</w:t>
      </w:r>
      <w:r w:rsidRPr="009E680D">
        <w:t>e</w:t>
      </w:r>
      <w:r>
        <w:t>d]</w:t>
      </w:r>
      <w:r w:rsidRPr="009E680D">
        <w:t xml:space="preserve"> criteria</w:t>
      </w:r>
      <w:r>
        <w:t xml:space="preserve"> </w:t>
      </w:r>
      <w:r w:rsidRPr="009E680D">
        <w:t>for systems to qualify for and stay on</w:t>
      </w:r>
      <w:r>
        <w:t xml:space="preserve"> </w:t>
      </w:r>
      <w:r w:rsidRPr="009E680D">
        <w:t>reduced monitoring, thereby providing</w:t>
      </w:r>
      <w:r>
        <w:t xml:space="preserve"> </w:t>
      </w:r>
      <w:r w:rsidRPr="009E680D">
        <w:t>incentives for improved water system</w:t>
      </w:r>
      <w:r>
        <w:t xml:space="preserve"> </w:t>
      </w:r>
      <w:r w:rsidRPr="009E680D">
        <w:t>operation</w:t>
      </w:r>
      <w:r>
        <w:t>” (p. 10270). USEPA estimated 155,000 public water systems serving 310 million individuals were covered (p. 10271). The Agency determined that the benefits of the rule justified the costs (p. 10335), so this rule is potentially susceptible to economic feasibility analysis.</w:t>
      </w:r>
    </w:p>
    <w:p w14:paraId="26C8FBC2" w14:textId="77777777" w:rsidR="00101352" w:rsidRPr="00C768FD" w:rsidRDefault="00101352" w:rsidP="00101352">
      <w:r>
        <w:t xml:space="preserve">The reported number and rate of positive total coliform and </w:t>
      </w:r>
      <w:r>
        <w:rPr>
          <w:i/>
        </w:rPr>
        <w:t xml:space="preserve">E. coli </w:t>
      </w:r>
      <w:r>
        <w:t>tests was described as “</w:t>
      </w:r>
      <w:r w:rsidRPr="00C768FD">
        <w:t>an indicator of baseline water</w:t>
      </w:r>
      <w:r>
        <w:t xml:space="preserve">,” and ranged from a low of 0.00% (8 system type/size combinations) to a high of 0.46% (TNCWSs serving 101-500 persons) </w:t>
      </w:r>
      <w:r>
        <w:rPr>
          <w:noProof/>
        </w:rPr>
        <w:t>(USEPA 2013, p. 10308)</w:t>
      </w:r>
      <w:r>
        <w:t>. These data were used to populate a model calculating MCL violations and triggers for regulatory requirements. A causal nexus between differences in violation frequency within these ranges and human health risk was asserted but not substantiated.</w:t>
      </w:r>
    </w:p>
    <w:p w14:paraId="076F0165" w14:textId="77777777" w:rsidR="00101352" w:rsidRDefault="00101352" w:rsidP="00101352">
      <w:r>
        <w:t xml:space="preserve">Three regulatory options were examined: the no-action alternative, the final rule as promulgated, and a more stringent “Alternative” option that would have required more frequent sampling. Though USEPA stated that the rule was cost-effective, it did not quantify social benefits (pp. 10308, 10319-10320). The Agency estimated expenditures for compliance (not opportunity costs) by system type and size. Estimated annualized compliance expenditures for the rule (and the more stringent Alternative) were $200 million ($216 million) at 3%, and $193 million ($210 million) at 7% </w:t>
      </w:r>
      <w:r>
        <w:rPr>
          <w:noProof/>
        </w:rPr>
        <w:t>(p. 10321 [Exhibit VI-15])</w:t>
      </w:r>
      <w:r>
        <w:t xml:space="preserve">. </w:t>
      </w:r>
    </w:p>
    <w:p w14:paraId="489530D8" w14:textId="77777777" w:rsidR="00101352" w:rsidRDefault="00101352" w:rsidP="00101352">
      <w:r>
        <w:t>Outcomes (e.g., health risk reduction) were assumed based on changes in inputs (e.g., monitoring frequency and corrective actions triggered by positive test results).</w:t>
      </w:r>
      <w:r>
        <w:rPr>
          <w:rStyle w:val="FootnoteReference"/>
        </w:rPr>
        <w:footnoteReference w:id="6"/>
      </w:r>
      <w:r>
        <w:t xml:space="preserve"> It is therefore </w:t>
      </w:r>
      <w:r>
        <w:lastRenderedPageBreak/>
        <w:t>unclear how the Agency determined that benefits justified costs. Finally, because USEPA did not include a less stringent alternative other than no-action, improvements in net social benefits from the adoption of the economic feasibility principle cannot be estimated.</w:t>
      </w:r>
    </w:p>
    <w:p w14:paraId="1E7FAE4E" w14:textId="77777777" w:rsidR="00D359FB" w:rsidRDefault="00D359FB" w:rsidP="00101352">
      <w:pPr>
        <w:spacing w:line="240" w:lineRule="auto"/>
        <w:ind w:firstLine="0"/>
      </w:pPr>
    </w:p>
    <w:p w14:paraId="234EA607" w14:textId="77777777" w:rsidR="00D359FB" w:rsidRPr="00D359FB" w:rsidRDefault="00D359FB" w:rsidP="00D359FB">
      <w:pPr>
        <w:keepNext/>
        <w:keepLines/>
        <w:spacing w:before="240" w:after="240"/>
        <w:ind w:left="4032" w:firstLine="288"/>
        <w:outlineLvl w:val="0"/>
        <w:rPr>
          <w:rFonts w:eastAsiaTheme="majorEastAsia" w:cstheme="majorBidi"/>
          <w:b/>
          <w:color w:val="000000" w:themeColor="text1"/>
          <w:szCs w:val="32"/>
        </w:rPr>
      </w:pPr>
      <w:r w:rsidRPr="00D359FB">
        <w:rPr>
          <w:rFonts w:eastAsiaTheme="majorEastAsia" w:cstheme="majorBidi"/>
          <w:b/>
          <w:color w:val="000000" w:themeColor="text1"/>
          <w:szCs w:val="32"/>
        </w:rPr>
        <w:t>References</w:t>
      </w:r>
    </w:p>
    <w:p w14:paraId="1B441D28" w14:textId="77777777" w:rsidR="00D359FB" w:rsidRPr="00D359FB" w:rsidRDefault="00D359FB" w:rsidP="00D359FB">
      <w:pPr>
        <w:spacing w:after="240" w:line="240" w:lineRule="auto"/>
        <w:ind w:left="360" w:hanging="360"/>
        <w:rPr>
          <w:noProof/>
        </w:rPr>
      </w:pPr>
      <w:r w:rsidRPr="00D359FB">
        <w:rPr>
          <w:noProof/>
        </w:rPr>
        <w:t>Browner CM. 1995. Memorandum: EPA Risk Characterizaion Program. Washington DC: USEPA.</w:t>
      </w:r>
    </w:p>
    <w:p w14:paraId="1F1F4D5E" w14:textId="77777777" w:rsidR="00D359FB" w:rsidRPr="00D359FB" w:rsidRDefault="00D359FB" w:rsidP="00D359FB">
      <w:pPr>
        <w:spacing w:after="240" w:line="240" w:lineRule="auto"/>
        <w:ind w:left="360" w:hanging="360"/>
        <w:rPr>
          <w:noProof/>
        </w:rPr>
      </w:pPr>
      <w:r w:rsidRPr="00D359FB">
        <w:rPr>
          <w:noProof/>
        </w:rPr>
        <w:t>Burnett JK, Hahn RW. 2001a. EPA's Arsenic Rule: The Benefits of the Standard Do Not Justify the Costs. Washington DC AEI-Brookings Joint Center for Regulatory Studies.</w:t>
      </w:r>
    </w:p>
    <w:p w14:paraId="0EE7CDB8" w14:textId="77777777" w:rsidR="00D359FB" w:rsidRPr="00D359FB" w:rsidRDefault="00D359FB" w:rsidP="00D359FB">
      <w:pPr>
        <w:spacing w:after="240" w:line="240" w:lineRule="auto"/>
        <w:ind w:left="360" w:hanging="360"/>
        <w:rPr>
          <w:noProof/>
        </w:rPr>
      </w:pPr>
      <w:r w:rsidRPr="00D359FB">
        <w:rPr>
          <w:noProof/>
        </w:rPr>
        <w:t>Burnett JK, Hahn RW. 2001b. A Costly Benefit: Economic Analysis Does Not Support EPA's New Arsenic Rule. Regulation 24 (Fall):44-49.</w:t>
      </w:r>
    </w:p>
    <w:p w14:paraId="6DCBB2A7" w14:textId="77777777" w:rsidR="00D359FB" w:rsidRPr="00D359FB" w:rsidRDefault="00D359FB" w:rsidP="00D359FB">
      <w:pPr>
        <w:spacing w:after="240" w:line="240" w:lineRule="auto"/>
        <w:ind w:left="360" w:hanging="360"/>
        <w:rPr>
          <w:noProof/>
        </w:rPr>
      </w:pPr>
      <w:r w:rsidRPr="00D359FB">
        <w:rPr>
          <w:noProof/>
        </w:rPr>
        <w:t>Centers for Disease Control and Prevention. 2017a. Summary of Notifiable Infectious Diseases and Conditions — United States, 2015. MMWR 64:1-143.</w:t>
      </w:r>
    </w:p>
    <w:p w14:paraId="3A91B451" w14:textId="77777777" w:rsidR="00D359FB" w:rsidRPr="00D359FB" w:rsidRDefault="00D359FB" w:rsidP="00D359FB">
      <w:pPr>
        <w:spacing w:after="240" w:line="240" w:lineRule="auto"/>
        <w:ind w:left="360" w:hanging="360"/>
        <w:rPr>
          <w:noProof/>
        </w:rPr>
      </w:pPr>
      <w:r w:rsidRPr="00D359FB">
        <w:rPr>
          <w:noProof/>
        </w:rPr>
        <w:t xml:space="preserve">Centers for Disease Control and Prevention. 2017b. Publications, Data, &amp; Statistics; Parasites - Cryptosporidium. Available: </w:t>
      </w:r>
      <w:hyperlink r:id="rId15" w:history="1">
        <w:r w:rsidRPr="00D359FB">
          <w:rPr>
            <w:noProof/>
            <w:color w:val="0000FF" w:themeColor="hyperlink"/>
            <w:u w:val="single"/>
          </w:rPr>
          <w:t>https://www.cdc.gov/parasites/crypto/publications.html</w:t>
        </w:r>
      </w:hyperlink>
      <w:r w:rsidRPr="00D359FB">
        <w:rPr>
          <w:noProof/>
        </w:rPr>
        <w:t xml:space="preserve"> [accessed November 20, 2018].</w:t>
      </w:r>
    </w:p>
    <w:p w14:paraId="02BF66D0" w14:textId="77777777" w:rsidR="00D359FB" w:rsidRPr="00D359FB" w:rsidRDefault="00D359FB" w:rsidP="00D359FB">
      <w:pPr>
        <w:spacing w:after="240" w:line="240" w:lineRule="auto"/>
        <w:ind w:left="360" w:hanging="360"/>
        <w:rPr>
          <w:noProof/>
        </w:rPr>
      </w:pPr>
      <w:r w:rsidRPr="00D359FB">
        <w:rPr>
          <w:noProof/>
        </w:rPr>
        <w:t xml:space="preserve">Centers for Disease Control and Prevention. 2017c. Underlying Cause of Death 1999-2014. Available: </w:t>
      </w:r>
      <w:hyperlink r:id="rId16" w:history="1">
        <w:r w:rsidRPr="00D359FB">
          <w:rPr>
            <w:noProof/>
            <w:color w:val="0000FF" w:themeColor="hyperlink"/>
            <w:u w:val="single"/>
          </w:rPr>
          <w:t>https://wonder.cdc.gov/wonder/help/ucd.html</w:t>
        </w:r>
      </w:hyperlink>
      <w:r w:rsidRPr="00D359FB">
        <w:rPr>
          <w:noProof/>
        </w:rPr>
        <w:t xml:space="preserve"> [accessed November 20, 2018].</w:t>
      </w:r>
    </w:p>
    <w:p w14:paraId="03D7F5CF" w14:textId="77777777" w:rsidR="00D359FB" w:rsidRPr="00D359FB" w:rsidRDefault="00D359FB" w:rsidP="00D359FB">
      <w:pPr>
        <w:spacing w:after="240" w:line="240" w:lineRule="auto"/>
        <w:ind w:left="360" w:hanging="360"/>
        <w:rPr>
          <w:noProof/>
        </w:rPr>
      </w:pPr>
      <w:r w:rsidRPr="00D359FB">
        <w:rPr>
          <w:noProof/>
        </w:rPr>
        <w:t xml:space="preserve">Centers for Disease Control and Prevention. 2018a. Weekly Statistics from the National Notifiable Diseases Surveillance System (NNDSS). Available: </w:t>
      </w:r>
      <w:hyperlink r:id="rId17" w:history="1">
        <w:r w:rsidRPr="00D359FB">
          <w:rPr>
            <w:noProof/>
            <w:color w:val="0000FF" w:themeColor="hyperlink"/>
            <w:u w:val="single"/>
          </w:rPr>
          <w:t>https://wonder.cdc.gov/nndss/nndss_weekly_tables_menu.asp</w:t>
        </w:r>
      </w:hyperlink>
      <w:r w:rsidRPr="00D359FB">
        <w:rPr>
          <w:noProof/>
        </w:rPr>
        <w:t xml:space="preserve"> [accessed November 20, 2018].</w:t>
      </w:r>
    </w:p>
    <w:p w14:paraId="0EFDBB2E" w14:textId="77777777" w:rsidR="00D359FB" w:rsidRPr="00D359FB" w:rsidRDefault="00D359FB" w:rsidP="00D359FB">
      <w:pPr>
        <w:spacing w:after="240" w:line="240" w:lineRule="auto"/>
        <w:ind w:left="360" w:hanging="360"/>
        <w:rPr>
          <w:noProof/>
        </w:rPr>
      </w:pPr>
      <w:r w:rsidRPr="00D359FB">
        <w:rPr>
          <w:noProof/>
        </w:rPr>
        <w:t xml:space="preserve">Centers for Disease Control and Prevention. 2018b. CDC WONDER. Available: </w:t>
      </w:r>
      <w:hyperlink r:id="rId18" w:history="1">
        <w:r w:rsidRPr="00D359FB">
          <w:rPr>
            <w:noProof/>
            <w:color w:val="0000FF" w:themeColor="hyperlink"/>
            <w:u w:val="single"/>
          </w:rPr>
          <w:t>https://wonder.cdc.gov/</w:t>
        </w:r>
      </w:hyperlink>
      <w:r w:rsidRPr="00D359FB">
        <w:rPr>
          <w:noProof/>
        </w:rPr>
        <w:t xml:space="preserve"> [accessed November 20, 2018].</w:t>
      </w:r>
    </w:p>
    <w:p w14:paraId="370287ED" w14:textId="77777777" w:rsidR="00D359FB" w:rsidRPr="00D359FB" w:rsidRDefault="00D359FB" w:rsidP="00D359FB">
      <w:pPr>
        <w:spacing w:after="240" w:line="240" w:lineRule="auto"/>
        <w:ind w:left="360" w:hanging="360"/>
        <w:rPr>
          <w:noProof/>
        </w:rPr>
      </w:pPr>
      <w:r w:rsidRPr="00D359FB">
        <w:rPr>
          <w:noProof/>
        </w:rPr>
        <w:t>Crim SM, Iwamoto M, Huang JY, Griffin PM, Gilliss D, Cronquist AB, et al. 2014. Incidence and Trends of Infection with Pathogens Transmitted Commonly Through Food -- Foodborne Diseases Active Surveillance Network, 10 US Sites, 2006-2013. MMWR Morbidity and Mortality Weekly Report 63:328-332.</w:t>
      </w:r>
    </w:p>
    <w:p w14:paraId="772570D7" w14:textId="77777777" w:rsidR="00D359FB" w:rsidRPr="00D359FB" w:rsidRDefault="00D359FB" w:rsidP="00D359FB">
      <w:pPr>
        <w:spacing w:after="240" w:line="240" w:lineRule="auto"/>
        <w:ind w:left="360" w:hanging="360"/>
        <w:rPr>
          <w:noProof/>
        </w:rPr>
      </w:pPr>
      <w:r w:rsidRPr="00D359FB">
        <w:rPr>
          <w:noProof/>
        </w:rPr>
        <w:lastRenderedPageBreak/>
        <w:t>Fayer R, Morgan U, Upton SJ. 2000. Epidemiology of Cryptosporidium: Transmission, Detection and Identification. International Journal for Parasitology 30:1305-1322.</w:t>
      </w:r>
    </w:p>
    <w:p w14:paraId="7266D340" w14:textId="77777777" w:rsidR="00D359FB" w:rsidRPr="00D359FB" w:rsidRDefault="00D359FB" w:rsidP="00D359FB">
      <w:pPr>
        <w:spacing w:after="240" w:line="240" w:lineRule="auto"/>
        <w:ind w:left="360" w:hanging="360"/>
        <w:rPr>
          <w:noProof/>
        </w:rPr>
      </w:pPr>
      <w:r w:rsidRPr="00D359FB">
        <w:rPr>
          <w:noProof/>
        </w:rPr>
        <w:t xml:space="preserve">Fox KR, Lytle DA. 1996. Milwaukee's </w:t>
      </w:r>
      <w:r w:rsidRPr="00D359FB">
        <w:rPr>
          <w:iCs/>
          <w:noProof/>
        </w:rPr>
        <w:t>Crypto</w:t>
      </w:r>
      <w:r w:rsidRPr="00D359FB">
        <w:rPr>
          <w:noProof/>
        </w:rPr>
        <w:t xml:space="preserve"> Outbreak: Investigation and Recommendations. Journal AWWA 88(September):87-94.</w:t>
      </w:r>
    </w:p>
    <w:p w14:paraId="6DC334DC" w14:textId="77777777" w:rsidR="00D359FB" w:rsidRPr="00D359FB" w:rsidRDefault="00D359FB" w:rsidP="00D359FB">
      <w:pPr>
        <w:spacing w:after="240" w:line="240" w:lineRule="auto"/>
        <w:ind w:left="360" w:hanging="360"/>
        <w:rPr>
          <w:noProof/>
        </w:rPr>
      </w:pPr>
      <w:r w:rsidRPr="00D359FB">
        <w:rPr>
          <w:noProof/>
        </w:rPr>
        <w:t>Frey MM, Owen DM, Chowdhury ZK, Raucher RS, Edwards MA. 1998. Cost to Utilities of a Lower MCL for Arsenic. Journal AWWA 90(March):89-102.</w:t>
      </w:r>
    </w:p>
    <w:p w14:paraId="74CFCA70" w14:textId="77777777" w:rsidR="00D359FB" w:rsidRPr="00D359FB" w:rsidRDefault="00D359FB" w:rsidP="00D359FB">
      <w:pPr>
        <w:spacing w:after="240" w:line="240" w:lineRule="auto"/>
        <w:ind w:left="360" w:hanging="360"/>
        <w:rPr>
          <w:noProof/>
        </w:rPr>
      </w:pPr>
      <w:r w:rsidRPr="00D359FB">
        <w:rPr>
          <w:noProof/>
        </w:rPr>
        <w:t>Frey MM, Chwirka J, Narasimhan R, Kommineni S, Chowdhury Z. 2000. Update: Cost Implications of a Lower Arsenic MCL. Denver CO: AWWA Research Foundation.</w:t>
      </w:r>
    </w:p>
    <w:p w14:paraId="629627E4" w14:textId="77777777" w:rsidR="00D359FB" w:rsidRPr="00D359FB" w:rsidRDefault="00D359FB" w:rsidP="00D359FB">
      <w:pPr>
        <w:spacing w:after="240" w:line="240" w:lineRule="auto"/>
        <w:ind w:left="360" w:hanging="360"/>
        <w:rPr>
          <w:noProof/>
        </w:rPr>
      </w:pPr>
      <w:r w:rsidRPr="00D359FB">
        <w:rPr>
          <w:noProof/>
        </w:rPr>
        <w:t>Frost FJ, Tollestrup K, Craun GF, Raucher R, Stomp J, Chwirka J. 2002. Evaluation of Costs and Benefits of a Lower Arsenic MCL. Journal AWWA 94(March):71-80.</w:t>
      </w:r>
    </w:p>
    <w:p w14:paraId="358543C0" w14:textId="77777777" w:rsidR="00D359FB" w:rsidRPr="00D359FB" w:rsidRDefault="00D359FB" w:rsidP="00D359FB">
      <w:pPr>
        <w:spacing w:after="240" w:line="240" w:lineRule="auto"/>
        <w:ind w:left="360" w:hanging="360"/>
        <w:rPr>
          <w:noProof/>
        </w:rPr>
      </w:pPr>
      <w:r w:rsidRPr="00D359FB">
        <w:rPr>
          <w:noProof/>
        </w:rPr>
        <w:t>Gilliss D, Cronquist AB, Cartter M, Tobin-D’Angelo M, Blythe D, Smith K, et al. 2013. Incidence and Trends of Infection with Pathogens Transmitted Commonly Through Food — Foodborne Diseases Active Surveillance Network, 10 U.S. Sites, 1996–2012. Morbidity and Mortality Weekly Report 62:283-287.</w:t>
      </w:r>
    </w:p>
    <w:p w14:paraId="5484E222" w14:textId="77777777" w:rsidR="00D359FB" w:rsidRPr="00D359FB" w:rsidRDefault="00D359FB" w:rsidP="00D359FB">
      <w:pPr>
        <w:spacing w:after="240" w:line="240" w:lineRule="auto"/>
        <w:ind w:left="360" w:hanging="360"/>
        <w:rPr>
          <w:noProof/>
        </w:rPr>
      </w:pPr>
      <w:r w:rsidRPr="00D359FB">
        <w:rPr>
          <w:noProof/>
        </w:rPr>
        <w:t>Gingerich DB, Sengupta A, Barnett MO. 2017. Is the Arsenic Rule Affordable? Journal AWWA 109(September):E381-E392.</w:t>
      </w:r>
    </w:p>
    <w:p w14:paraId="08E413D6" w14:textId="77777777" w:rsidR="00D359FB" w:rsidRPr="00D359FB" w:rsidRDefault="00D359FB" w:rsidP="00D359FB">
      <w:pPr>
        <w:spacing w:after="240" w:line="240" w:lineRule="auto"/>
        <w:ind w:left="360" w:hanging="360"/>
        <w:rPr>
          <w:noProof/>
        </w:rPr>
      </w:pPr>
      <w:r w:rsidRPr="00D359FB">
        <w:rPr>
          <w:noProof/>
        </w:rPr>
        <w:t>Harrington W, Krupnick AJ, Spofford W. 1985. The Benefits of Preventing an Outbreak of Giardiasis Due to Drinking Water Contamination. Washington DC: Resources for the Future.</w:t>
      </w:r>
    </w:p>
    <w:p w14:paraId="30D9B848" w14:textId="77777777" w:rsidR="00D359FB" w:rsidRPr="00D359FB" w:rsidRDefault="00D359FB" w:rsidP="00D359FB">
      <w:pPr>
        <w:spacing w:after="240" w:line="240" w:lineRule="auto"/>
        <w:ind w:left="360" w:hanging="360"/>
        <w:rPr>
          <w:noProof/>
        </w:rPr>
      </w:pPr>
      <w:r w:rsidRPr="00D359FB">
        <w:rPr>
          <w:noProof/>
        </w:rPr>
        <w:t>Hilkert Colby EJ, Young TM, Green PG, Darby JL. 2010. Costs of Arsenic Treatment for Potable Water in California and Comparison to US Environmental Protection Agency Affordability Metrics. Journal of the American Water Resources Association 46(December):1238-1254.</w:t>
      </w:r>
    </w:p>
    <w:p w14:paraId="2B7F7D32" w14:textId="77777777" w:rsidR="00D359FB" w:rsidRPr="00D359FB" w:rsidRDefault="00D359FB" w:rsidP="00D359FB">
      <w:pPr>
        <w:spacing w:after="240" w:line="240" w:lineRule="auto"/>
        <w:ind w:left="360" w:hanging="360"/>
        <w:rPr>
          <w:noProof/>
        </w:rPr>
      </w:pPr>
      <w:r w:rsidRPr="00D359FB">
        <w:rPr>
          <w:noProof/>
        </w:rPr>
        <w:t>Hlavsa MC, Watson JC, Beach MJ. 2005. Cryptosporidiosis Surveillance -- United States 1999--2002. MMWR Surveillance Summaries 54:1-8.</w:t>
      </w:r>
    </w:p>
    <w:p w14:paraId="54F2B53D" w14:textId="77777777" w:rsidR="00D359FB" w:rsidRPr="00D359FB" w:rsidRDefault="00D359FB" w:rsidP="00D359FB">
      <w:pPr>
        <w:spacing w:after="240" w:line="240" w:lineRule="auto"/>
        <w:ind w:left="360" w:hanging="360"/>
        <w:rPr>
          <w:noProof/>
        </w:rPr>
      </w:pPr>
      <w:r w:rsidRPr="00D359FB">
        <w:rPr>
          <w:noProof/>
        </w:rPr>
        <w:t>Hoxie NJ, Davis JP, Vergeront JM, Nashold RD, Blair KA. 1997. Cryptosporidiosis-associated mortality following a massive waterborne outbreak in Milwaukee, Wisconsin. American Journal of Public Health 87:2032-2035.</w:t>
      </w:r>
    </w:p>
    <w:p w14:paraId="7E1FC956" w14:textId="77777777" w:rsidR="00D359FB" w:rsidRPr="00D359FB" w:rsidRDefault="00D359FB" w:rsidP="00D359FB">
      <w:pPr>
        <w:spacing w:after="240" w:line="240" w:lineRule="auto"/>
        <w:ind w:left="360" w:hanging="360"/>
        <w:rPr>
          <w:noProof/>
        </w:rPr>
      </w:pPr>
      <w:r w:rsidRPr="00D359FB">
        <w:rPr>
          <w:noProof/>
        </w:rPr>
        <w:t xml:space="preserve">Khalil IA, Troeger C, Rao PC, Blacker BF, Brown A, Brewer TG, et al. 2018. Morbidity, Mortality, and Long-Term Consequences Associated with Diarrhoea from </w:t>
      </w:r>
      <w:r w:rsidRPr="00D359FB">
        <w:rPr>
          <w:iCs/>
          <w:noProof/>
        </w:rPr>
        <w:t>Cryptosporidium</w:t>
      </w:r>
      <w:r w:rsidRPr="00D359FB">
        <w:rPr>
          <w:noProof/>
        </w:rPr>
        <w:t xml:space="preserve"> Infection in Children Younger than 5 Years: A Meta-Analyses Study. The Lancet Global Health 6:e758-e768.</w:t>
      </w:r>
    </w:p>
    <w:p w14:paraId="247BE2D4" w14:textId="77777777" w:rsidR="00D359FB" w:rsidRPr="00D359FB" w:rsidRDefault="00D359FB" w:rsidP="00D359FB">
      <w:pPr>
        <w:spacing w:after="240" w:line="240" w:lineRule="auto"/>
        <w:ind w:left="360" w:hanging="360"/>
        <w:rPr>
          <w:noProof/>
        </w:rPr>
      </w:pPr>
      <w:r w:rsidRPr="00D359FB">
        <w:rPr>
          <w:noProof/>
        </w:rPr>
        <w:t>Mac Kenzie WR, Hoxie NJ, Proctor ME, Gradus MS, Blair KA, Peterson DE, et al. 1994. A Massive Outbreak in Milwaukee of Infection Transmitted through the Public Water Supply. New England Journal of Medicine 331:161-167.</w:t>
      </w:r>
    </w:p>
    <w:p w14:paraId="3FB998C9" w14:textId="77777777" w:rsidR="00D359FB" w:rsidRPr="00D359FB" w:rsidRDefault="00D359FB" w:rsidP="00D359FB">
      <w:pPr>
        <w:spacing w:after="240" w:line="240" w:lineRule="auto"/>
        <w:ind w:left="360" w:hanging="360"/>
        <w:rPr>
          <w:noProof/>
        </w:rPr>
      </w:pPr>
      <w:r w:rsidRPr="00D359FB">
        <w:rPr>
          <w:noProof/>
        </w:rPr>
        <w:lastRenderedPageBreak/>
        <w:t xml:space="preserve">National Cancer Institute. 2018a. SEER*Explorer. Available: </w:t>
      </w:r>
      <w:hyperlink r:id="rId19" w:history="1">
        <w:r w:rsidRPr="00D359FB">
          <w:rPr>
            <w:noProof/>
            <w:color w:val="0000FF" w:themeColor="hyperlink"/>
            <w:u w:val="single"/>
          </w:rPr>
          <w:t>https://seer.cancer.gov/explorer/application.php?site=1&amp;data_type=1&amp;graph_type=1&amp;compareBy=sex&amp;chk_sex_1=1&amp;chk_sex_3=3&amp;chk_sex_2=2&amp;chk_race_1=1&amp;chk_age_range_1=1&amp;chk_data_type_1=1&amp;chk_data_type_13=13&amp;advopt_precision=1&amp;advopt_display=1&amp;showDataFor=race_1_and_age_range_1_and_data_type_1</w:t>
        </w:r>
      </w:hyperlink>
      <w:r w:rsidRPr="00D359FB">
        <w:rPr>
          <w:noProof/>
        </w:rPr>
        <w:t xml:space="preserve"> [accessed November 6, 2018].</w:t>
      </w:r>
    </w:p>
    <w:p w14:paraId="4E273295" w14:textId="77777777" w:rsidR="00D359FB" w:rsidRPr="00D359FB" w:rsidRDefault="00D359FB" w:rsidP="00D359FB">
      <w:pPr>
        <w:spacing w:after="240" w:line="240" w:lineRule="auto"/>
        <w:ind w:left="360" w:hanging="360"/>
        <w:rPr>
          <w:noProof/>
        </w:rPr>
      </w:pPr>
      <w:r w:rsidRPr="00D359FB">
        <w:rPr>
          <w:noProof/>
        </w:rPr>
        <w:t xml:space="preserve">National Cancer Institute. 2018b. Bladder Cancer. Available: </w:t>
      </w:r>
      <w:hyperlink r:id="rId20" w:history="1">
        <w:r w:rsidRPr="00D359FB">
          <w:rPr>
            <w:noProof/>
            <w:color w:val="0000FF" w:themeColor="hyperlink"/>
            <w:u w:val="single"/>
          </w:rPr>
          <w:t>https://seer.cancer.gov/statfacts/html/urinb.html</w:t>
        </w:r>
      </w:hyperlink>
      <w:r w:rsidRPr="00D359FB">
        <w:rPr>
          <w:noProof/>
        </w:rPr>
        <w:t xml:space="preserve"> [accessed December 27, 2018].</w:t>
      </w:r>
    </w:p>
    <w:p w14:paraId="50CC569E" w14:textId="77777777" w:rsidR="00D359FB" w:rsidRPr="00D359FB" w:rsidRDefault="00D359FB" w:rsidP="00D359FB">
      <w:pPr>
        <w:spacing w:after="240" w:line="240" w:lineRule="auto"/>
        <w:ind w:left="360" w:hanging="360"/>
        <w:rPr>
          <w:noProof/>
        </w:rPr>
      </w:pPr>
      <w:r w:rsidRPr="00D359FB">
        <w:rPr>
          <w:noProof/>
        </w:rPr>
        <w:t xml:space="preserve">Office of Management and Budget. 2003. Circular A-4: Regulatory Analysis. Available: </w:t>
      </w:r>
      <w:hyperlink r:id="rId21" w:history="1">
        <w:r w:rsidRPr="00D359FB">
          <w:rPr>
            <w:noProof/>
            <w:color w:val="0000FF" w:themeColor="hyperlink"/>
            <w:u w:val="single"/>
          </w:rPr>
          <w:t>https://www.whitehouse.gov/sites/whitehouse.gov/files/omb/circulars/A4/a-4.pdf</w:t>
        </w:r>
      </w:hyperlink>
      <w:r w:rsidRPr="00D359FB">
        <w:rPr>
          <w:noProof/>
        </w:rPr>
        <w:t xml:space="preserve"> [accessed April 6, 2011].</w:t>
      </w:r>
    </w:p>
    <w:p w14:paraId="4A23D918" w14:textId="77777777" w:rsidR="00D359FB" w:rsidRPr="00D359FB" w:rsidRDefault="00D359FB" w:rsidP="00D359FB">
      <w:pPr>
        <w:spacing w:after="240" w:line="240" w:lineRule="auto"/>
        <w:ind w:left="360" w:hanging="360"/>
        <w:rPr>
          <w:noProof/>
        </w:rPr>
      </w:pPr>
      <w:r w:rsidRPr="00D359FB">
        <w:rPr>
          <w:noProof/>
        </w:rPr>
        <w:t>Painter JE, Gargano JW, Collier SA, Yoder JS. 2015a. Giardiasis Surveillance – United States, 2011–2012. MMWR Surveillance Summaries 64:15-28.</w:t>
      </w:r>
    </w:p>
    <w:p w14:paraId="5C4C448F" w14:textId="77777777" w:rsidR="00D359FB" w:rsidRPr="00D359FB" w:rsidRDefault="00D359FB" w:rsidP="00D359FB">
      <w:pPr>
        <w:spacing w:after="240" w:line="240" w:lineRule="auto"/>
        <w:ind w:left="360" w:hanging="360"/>
        <w:rPr>
          <w:noProof/>
        </w:rPr>
      </w:pPr>
      <w:r w:rsidRPr="00D359FB">
        <w:rPr>
          <w:noProof/>
        </w:rPr>
        <w:t>Painter JE, Hlavsa MC, Collier SA, Xiao L, Yoder JS. 2015b. Cryptosporidiosis Surveillance -- United States, 2011-2012. MMWR Surveillance Summaries 64:1-14.</w:t>
      </w:r>
    </w:p>
    <w:p w14:paraId="74EF0FCB" w14:textId="77777777" w:rsidR="00D359FB" w:rsidRPr="00D359FB" w:rsidRDefault="00D359FB" w:rsidP="00D359FB">
      <w:pPr>
        <w:spacing w:after="240" w:line="240" w:lineRule="auto"/>
        <w:ind w:left="360" w:hanging="360"/>
        <w:rPr>
          <w:noProof/>
        </w:rPr>
      </w:pPr>
      <w:r w:rsidRPr="00D359FB">
        <w:rPr>
          <w:noProof/>
        </w:rPr>
        <w:t xml:space="preserve">Peng MM, Xiao L, Freeman AR, Arrowood MJ, Escalante AA, Weltman AC, et al. 1997. Genetic Polymorphism Among </w:t>
      </w:r>
      <w:r w:rsidRPr="00D359FB">
        <w:rPr>
          <w:iCs/>
          <w:noProof/>
        </w:rPr>
        <w:t>Cryptosporidium</w:t>
      </w:r>
      <w:r w:rsidRPr="00D359FB">
        <w:rPr>
          <w:noProof/>
        </w:rPr>
        <w:t xml:space="preserve"> Parvum Isolates: Evidence of Two Distinct Human Transmission Cycles. Emerging Infectious Diseases 3:567.</w:t>
      </w:r>
    </w:p>
    <w:p w14:paraId="123DC387" w14:textId="77777777" w:rsidR="00D359FB" w:rsidRPr="00D359FB" w:rsidRDefault="00D359FB" w:rsidP="00D359FB">
      <w:pPr>
        <w:spacing w:after="240" w:line="240" w:lineRule="auto"/>
        <w:ind w:left="360" w:hanging="360"/>
        <w:rPr>
          <w:noProof/>
        </w:rPr>
      </w:pPr>
      <w:r w:rsidRPr="00D359FB">
        <w:rPr>
          <w:noProof/>
        </w:rPr>
        <w:t>Raucher RS, Cromwell J. 2004. Safe Drinking Water Act: Costs of Compliance. In: Working Paper 35. Arlington VA: GMU Mercatus Center.</w:t>
      </w:r>
    </w:p>
    <w:p w14:paraId="6682D15B" w14:textId="77777777" w:rsidR="00D359FB" w:rsidRPr="00D359FB" w:rsidRDefault="00D359FB" w:rsidP="00D359FB">
      <w:pPr>
        <w:spacing w:after="240" w:line="240" w:lineRule="auto"/>
        <w:ind w:left="360" w:hanging="360"/>
        <w:rPr>
          <w:noProof/>
        </w:rPr>
      </w:pPr>
      <w:r w:rsidRPr="00D359FB">
        <w:rPr>
          <w:noProof/>
        </w:rPr>
        <w:t>USEPA. 1998c. National Primary Drinking Water Regulations: Disinfectants and Disinfection Byproducts; Final Rule. Federal Register 63:69390-69476.</w:t>
      </w:r>
    </w:p>
    <w:p w14:paraId="43A67C8E" w14:textId="77777777" w:rsidR="00D359FB" w:rsidRPr="00D359FB" w:rsidRDefault="00D359FB" w:rsidP="00D359FB">
      <w:pPr>
        <w:spacing w:after="240" w:line="240" w:lineRule="auto"/>
        <w:ind w:left="360" w:hanging="360"/>
        <w:rPr>
          <w:noProof/>
        </w:rPr>
      </w:pPr>
      <w:r w:rsidRPr="00D359FB">
        <w:rPr>
          <w:noProof/>
        </w:rPr>
        <w:t>USEPA. 1998d. National Primary Drinking Water Regulations: Interim Enhanced Surface Water Treatment; Final Rule. Federal Register 63:69478-69521.</w:t>
      </w:r>
    </w:p>
    <w:p w14:paraId="65052E06" w14:textId="77777777" w:rsidR="00D359FB" w:rsidRPr="00D359FB" w:rsidRDefault="00D359FB" w:rsidP="00D359FB">
      <w:pPr>
        <w:spacing w:after="240" w:line="240" w:lineRule="auto"/>
        <w:ind w:left="360" w:hanging="360"/>
        <w:rPr>
          <w:noProof/>
        </w:rPr>
      </w:pPr>
      <w:r w:rsidRPr="00D359FB">
        <w:rPr>
          <w:noProof/>
        </w:rPr>
        <w:t>USEPA. 1998e. Regulatory Impact Analysis for the Interim Enhanced Surface Water Treatment Rule. EPA 815-B-98-003. Washington DC: USEPA/OGWDW.</w:t>
      </w:r>
    </w:p>
    <w:p w14:paraId="12C37F3D" w14:textId="77777777" w:rsidR="00D359FB" w:rsidRPr="00D359FB" w:rsidRDefault="00D359FB" w:rsidP="00D359FB">
      <w:pPr>
        <w:spacing w:after="240" w:line="240" w:lineRule="auto"/>
        <w:ind w:left="360" w:hanging="360"/>
        <w:rPr>
          <w:noProof/>
        </w:rPr>
      </w:pPr>
      <w:r w:rsidRPr="00D359FB">
        <w:rPr>
          <w:noProof/>
        </w:rPr>
        <w:t>USEPA. 1998f. Regulatory Impact Analysis for the Stage 1 Disinfectants/Disinfection Byproducts Rule. EPA 815-B-98-002. Washington DC: USEPA/OW.</w:t>
      </w:r>
    </w:p>
    <w:p w14:paraId="70F4FF94" w14:textId="77777777" w:rsidR="00D359FB" w:rsidRPr="00D359FB" w:rsidRDefault="00D359FB" w:rsidP="00D359FB">
      <w:pPr>
        <w:spacing w:after="240" w:line="240" w:lineRule="auto"/>
        <w:ind w:left="360" w:hanging="360"/>
        <w:rPr>
          <w:noProof/>
        </w:rPr>
      </w:pPr>
      <w:r w:rsidRPr="00C654BB">
        <w:rPr>
          <w:noProof/>
        </w:rPr>
        <w:t>USEPA. 2000a. Preliminary Health Risk Reduction and Cost Analysis Revised National Primary Drinking Water Standards for Radionuclides; Review Draft. EPA 815-R-00-008. Cambridge MA: Industrial Economics, Inc.</w:t>
      </w:r>
    </w:p>
    <w:p w14:paraId="01FDC85B" w14:textId="77777777" w:rsidR="00D359FB" w:rsidRPr="00D359FB" w:rsidRDefault="00D359FB" w:rsidP="00D359FB">
      <w:pPr>
        <w:spacing w:after="240" w:line="240" w:lineRule="auto"/>
        <w:ind w:left="360" w:hanging="360"/>
        <w:rPr>
          <w:noProof/>
        </w:rPr>
      </w:pPr>
      <w:r w:rsidRPr="00D359FB">
        <w:rPr>
          <w:noProof/>
        </w:rPr>
        <w:t>USEPA. 2000b. Economic Analysis for the Filter Backwash Recycling Rule. EPA 816-R-01-020. Washington DC: USEPA/OW.</w:t>
      </w:r>
    </w:p>
    <w:p w14:paraId="7FFBFAA2" w14:textId="77777777" w:rsidR="00D359FB" w:rsidRPr="00D359FB" w:rsidRDefault="00D359FB" w:rsidP="00D359FB">
      <w:pPr>
        <w:spacing w:before="120" w:after="120" w:line="240" w:lineRule="auto"/>
        <w:ind w:left="360" w:hanging="360"/>
        <w:rPr>
          <w:noProof/>
        </w:rPr>
      </w:pPr>
      <w:r w:rsidRPr="00D359FB">
        <w:rPr>
          <w:noProof/>
        </w:rPr>
        <w:t>USEPA. 2000c. National Primary Drinking Water Regulations for Lead and Copper; Final rule. Federal Register 65:1950-2015.</w:t>
      </w:r>
    </w:p>
    <w:p w14:paraId="00CB262C" w14:textId="77777777" w:rsidR="00D359FB" w:rsidRPr="00D359FB" w:rsidRDefault="00D359FB" w:rsidP="00D359FB">
      <w:pPr>
        <w:spacing w:after="240" w:line="240" w:lineRule="auto"/>
        <w:ind w:left="360" w:hanging="360"/>
        <w:rPr>
          <w:noProof/>
        </w:rPr>
      </w:pPr>
      <w:r w:rsidRPr="00D359FB">
        <w:rPr>
          <w:noProof/>
        </w:rPr>
        <w:lastRenderedPageBreak/>
        <w:t>USEPA. 2000d. National Primary Drinking Water Regulations; Radionuclides; Final Rule. Federal Register 65:76708-76753.</w:t>
      </w:r>
    </w:p>
    <w:p w14:paraId="0C842035" w14:textId="77777777" w:rsidR="00D359FB" w:rsidRPr="00D359FB" w:rsidRDefault="00D359FB" w:rsidP="00D359FB">
      <w:pPr>
        <w:spacing w:after="240" w:line="240" w:lineRule="auto"/>
        <w:ind w:left="360" w:hanging="360"/>
        <w:rPr>
          <w:noProof/>
        </w:rPr>
      </w:pPr>
      <w:r w:rsidRPr="00D359FB">
        <w:rPr>
          <w:noProof/>
        </w:rPr>
        <w:t>USEPA. 2000e. Arsenic in Drinking Water Rule Economic Analysis (EPA 815-R-00-026). Washington DC: USEPA.</w:t>
      </w:r>
    </w:p>
    <w:p w14:paraId="43D449E7" w14:textId="77777777" w:rsidR="00D359FB" w:rsidRPr="00D359FB" w:rsidRDefault="00D359FB" w:rsidP="00D359FB">
      <w:pPr>
        <w:spacing w:after="240" w:line="240" w:lineRule="auto"/>
        <w:ind w:left="360" w:hanging="360"/>
        <w:rPr>
          <w:noProof/>
        </w:rPr>
      </w:pPr>
      <w:r w:rsidRPr="00D359FB">
        <w:rPr>
          <w:noProof/>
        </w:rPr>
        <w:t>USEPA. 2000g. Regulatory Flexibility Screening Analysis for the Long Term 1 Enhanced Surface Water Treatment Rule. Washington DC: USEPA.</w:t>
      </w:r>
    </w:p>
    <w:p w14:paraId="4223EE2F" w14:textId="77777777" w:rsidR="00D359FB" w:rsidRPr="00D359FB" w:rsidRDefault="00D359FB" w:rsidP="00D359FB">
      <w:pPr>
        <w:spacing w:after="240" w:line="240" w:lineRule="auto"/>
        <w:ind w:left="360" w:hanging="360"/>
        <w:rPr>
          <w:noProof/>
        </w:rPr>
      </w:pPr>
      <w:r w:rsidRPr="00D359FB">
        <w:rPr>
          <w:noProof/>
        </w:rPr>
        <w:t>USEPA. 2000h. Economic Analysis of the Radionuclides National Primary Drinking Water Regulations.  Cambridge MA: Industrial Economics, Inc. for USEPA/OGWDW.</w:t>
      </w:r>
    </w:p>
    <w:p w14:paraId="77755956" w14:textId="77777777" w:rsidR="00D359FB" w:rsidRPr="00D359FB" w:rsidRDefault="00D359FB" w:rsidP="00D359FB">
      <w:pPr>
        <w:spacing w:after="240" w:line="240" w:lineRule="auto"/>
        <w:ind w:left="360" w:hanging="360"/>
        <w:rPr>
          <w:noProof/>
        </w:rPr>
      </w:pPr>
      <w:r w:rsidRPr="00D359FB">
        <w:rPr>
          <w:noProof/>
        </w:rPr>
        <w:t>USEPA. 2001a. Economic Analysis for the Long Term 1 Enhanced Surface Water Treatment Rule. EPA 815-R–00–021. Washington DC: USEPA/OW.</w:t>
      </w:r>
    </w:p>
    <w:p w14:paraId="6BF13765" w14:textId="77777777" w:rsidR="00D359FB" w:rsidRPr="00D359FB" w:rsidRDefault="00D359FB" w:rsidP="00D359FB">
      <w:pPr>
        <w:spacing w:after="240" w:line="240" w:lineRule="auto"/>
        <w:ind w:left="360" w:hanging="360"/>
        <w:rPr>
          <w:noProof/>
        </w:rPr>
      </w:pPr>
      <w:r w:rsidRPr="00D359FB">
        <w:rPr>
          <w:noProof/>
        </w:rPr>
        <w:t>USEPA. 2001b. National Primary Drinking Water Regulations; Arsenic and Clarifications to Compliance and New Source Contaminants Monitoring; Final Rule. Federal Register 66:6976-7066.</w:t>
      </w:r>
    </w:p>
    <w:p w14:paraId="1FE700F9" w14:textId="77777777" w:rsidR="00D359FB" w:rsidRPr="00D359FB" w:rsidRDefault="00D359FB" w:rsidP="00D359FB">
      <w:pPr>
        <w:spacing w:after="240" w:line="240" w:lineRule="auto"/>
        <w:ind w:left="360" w:hanging="360"/>
        <w:rPr>
          <w:noProof/>
        </w:rPr>
      </w:pPr>
      <w:r w:rsidRPr="00D359FB">
        <w:rPr>
          <w:noProof/>
        </w:rPr>
        <w:t>USEPA. 2001d. National Primary Drinking Water; Filter Backwash Recycling Rule; Final Rule. Federal Register 66:31085-31105.</w:t>
      </w:r>
    </w:p>
    <w:p w14:paraId="7C1D1DDB" w14:textId="77777777" w:rsidR="00D359FB" w:rsidRPr="00D359FB" w:rsidRDefault="00D359FB" w:rsidP="00D359FB">
      <w:pPr>
        <w:spacing w:after="240" w:line="240" w:lineRule="auto"/>
        <w:ind w:left="360" w:hanging="360"/>
        <w:rPr>
          <w:noProof/>
        </w:rPr>
      </w:pPr>
      <w:r w:rsidRPr="00D359FB">
        <w:rPr>
          <w:noProof/>
        </w:rPr>
        <w:t>USEPA. 2002b. National Primary Drinking Water Regulations: Long Term 1 Enhanced Surface Water Treatment Rule; Final Rule. Federal Register 67:1811-1844.</w:t>
      </w:r>
    </w:p>
    <w:p w14:paraId="040F4CC1" w14:textId="77777777" w:rsidR="00D359FB" w:rsidRPr="00D359FB" w:rsidRDefault="00D359FB" w:rsidP="00D359FB">
      <w:pPr>
        <w:spacing w:after="240" w:line="240" w:lineRule="auto"/>
        <w:ind w:left="360" w:hanging="360"/>
        <w:rPr>
          <w:noProof/>
        </w:rPr>
      </w:pPr>
      <w:r w:rsidRPr="00D359FB">
        <w:rPr>
          <w:noProof/>
        </w:rPr>
        <w:t>USEPA. 2005a. Economic Analysis for the Final Long Term 2 Enhanced Surface Water Treatment Rule. EPA 815-R-06-001. Washington DC: USEPA.</w:t>
      </w:r>
    </w:p>
    <w:p w14:paraId="5A0034B2" w14:textId="77777777" w:rsidR="00D359FB" w:rsidRPr="00D359FB" w:rsidRDefault="00D359FB" w:rsidP="00D359FB">
      <w:pPr>
        <w:spacing w:after="240" w:line="240" w:lineRule="auto"/>
        <w:ind w:left="360" w:hanging="360"/>
        <w:rPr>
          <w:noProof/>
        </w:rPr>
      </w:pPr>
      <w:r w:rsidRPr="00D359FB">
        <w:rPr>
          <w:noProof/>
        </w:rPr>
        <w:t>USEPA. 2005b. Economic Analysis for the Final Stage 2 Disinfectants and Disinfection Byproducts Rule. EPA 815-R-05-010. Washington DC: USEPA/OW.</w:t>
      </w:r>
    </w:p>
    <w:p w14:paraId="54F26D6D" w14:textId="77777777" w:rsidR="00D359FB" w:rsidRPr="00D359FB" w:rsidRDefault="00D359FB" w:rsidP="00D359FB">
      <w:pPr>
        <w:spacing w:after="240" w:line="240" w:lineRule="auto"/>
        <w:ind w:left="360" w:hanging="360"/>
        <w:rPr>
          <w:noProof/>
        </w:rPr>
      </w:pPr>
      <w:r w:rsidRPr="00D359FB">
        <w:rPr>
          <w:noProof/>
        </w:rPr>
        <w:t>USEPA. 2006a. National Primary Drinking Water Regulations: Stage 2 Disinfectants and Disinfection Byproducts Rule; Final Rule. Federal Register 71:388-493.</w:t>
      </w:r>
    </w:p>
    <w:p w14:paraId="735CC37D" w14:textId="77777777" w:rsidR="00D359FB" w:rsidRPr="00D359FB" w:rsidRDefault="00D359FB" w:rsidP="00D359FB">
      <w:pPr>
        <w:spacing w:before="120" w:after="120" w:line="240" w:lineRule="auto"/>
        <w:ind w:left="360" w:hanging="360"/>
        <w:rPr>
          <w:noProof/>
        </w:rPr>
      </w:pPr>
      <w:bookmarkStart w:id="67" w:name="_GoBack"/>
      <w:bookmarkEnd w:id="67"/>
      <w:r w:rsidRPr="00C654BB">
        <w:rPr>
          <w:noProof/>
        </w:rPr>
        <w:t>USEPA. 2000a. Economic Analysis of the Radionuclides National Primary Drinking Water Regulations.  Industrial Economics, Inc: Cambridge MA: USEPA/OGWDW.</w:t>
      </w:r>
    </w:p>
    <w:p w14:paraId="48C48AE5" w14:textId="77777777" w:rsidR="00D359FB" w:rsidRPr="00D359FB" w:rsidRDefault="00D359FB" w:rsidP="00D359FB">
      <w:pPr>
        <w:spacing w:after="240" w:line="240" w:lineRule="auto"/>
        <w:ind w:left="360" w:hanging="360"/>
        <w:rPr>
          <w:noProof/>
        </w:rPr>
      </w:pPr>
      <w:r w:rsidRPr="00D359FB">
        <w:rPr>
          <w:noProof/>
        </w:rPr>
        <w:t>USEPA. 2006b. National Primary Drinking Water Regulations: Long Term 2 Enhanced Surface Water Treatment Rule; Final Rule. Federal Register 71:653-786.</w:t>
      </w:r>
    </w:p>
    <w:p w14:paraId="37115007" w14:textId="77777777" w:rsidR="00D359FB" w:rsidRPr="00D359FB" w:rsidRDefault="00D359FB" w:rsidP="00D359FB">
      <w:pPr>
        <w:spacing w:after="240" w:line="240" w:lineRule="auto"/>
        <w:ind w:left="360" w:hanging="360"/>
        <w:rPr>
          <w:noProof/>
        </w:rPr>
      </w:pPr>
      <w:r w:rsidRPr="00D359FB">
        <w:rPr>
          <w:noProof/>
        </w:rPr>
        <w:t>USEPA. 2006d. Economic Analysis for the Final Ground Water Rule. EPA 815-R-06-014. Washington DC: USEPA/OW.</w:t>
      </w:r>
    </w:p>
    <w:p w14:paraId="2E37F868" w14:textId="77777777" w:rsidR="00D359FB" w:rsidRPr="00D359FB" w:rsidRDefault="00D359FB" w:rsidP="00D359FB">
      <w:pPr>
        <w:spacing w:after="240" w:line="240" w:lineRule="auto"/>
        <w:ind w:left="360" w:hanging="360"/>
        <w:rPr>
          <w:noProof/>
        </w:rPr>
      </w:pPr>
      <w:r w:rsidRPr="00D359FB">
        <w:rPr>
          <w:noProof/>
        </w:rPr>
        <w:t>USEPA. 2006f. National Primary Drinking Water Regulations: Ground Water Rule; Final Rule. Federal Register 71:65573-65660.</w:t>
      </w:r>
    </w:p>
    <w:p w14:paraId="34417BC8" w14:textId="77777777" w:rsidR="00D359FB" w:rsidRPr="00D359FB" w:rsidRDefault="00D359FB" w:rsidP="00D359FB">
      <w:pPr>
        <w:spacing w:after="240" w:line="240" w:lineRule="auto"/>
        <w:ind w:left="360" w:hanging="360"/>
        <w:rPr>
          <w:noProof/>
        </w:rPr>
      </w:pPr>
      <w:r w:rsidRPr="00D359FB">
        <w:rPr>
          <w:noProof/>
        </w:rPr>
        <w:t>USEPA. 2007a. Economic and Supporting Analyses: Short-Term Regulatory Changes to the Lead and Copper Rule. EPA-815-R0-7022. Washington DC: USEPA/OW.</w:t>
      </w:r>
    </w:p>
    <w:p w14:paraId="4F3684DE" w14:textId="77777777" w:rsidR="00D359FB" w:rsidRPr="00D359FB" w:rsidRDefault="00D359FB" w:rsidP="00D359FB">
      <w:pPr>
        <w:spacing w:after="240" w:line="240" w:lineRule="auto"/>
        <w:ind w:left="360" w:hanging="360"/>
        <w:rPr>
          <w:noProof/>
        </w:rPr>
      </w:pPr>
      <w:r w:rsidRPr="00D359FB">
        <w:rPr>
          <w:noProof/>
        </w:rPr>
        <w:lastRenderedPageBreak/>
        <w:t>USEPA. 2007b. National Primary Drinking Water Regulations for Lead and Copper: Short-Term Regulatory Revisions and Clarifications; Final Rule. Federal Register 72:57782-57820.</w:t>
      </w:r>
    </w:p>
    <w:p w14:paraId="799410FC" w14:textId="77777777" w:rsidR="00D359FB" w:rsidRPr="00D359FB" w:rsidRDefault="00D359FB" w:rsidP="00D359FB">
      <w:pPr>
        <w:spacing w:after="240" w:line="240" w:lineRule="auto"/>
        <w:ind w:left="360" w:hanging="360"/>
        <w:rPr>
          <w:noProof/>
        </w:rPr>
      </w:pPr>
      <w:r w:rsidRPr="00D359FB">
        <w:rPr>
          <w:noProof/>
        </w:rPr>
        <w:t>USEPA. 2009a. National Primary Drinking Water Regulations: Drinking Water Regulations for Aircraft Public Water Systems; Final Rule. Federal Register 74:53590-53625.</w:t>
      </w:r>
    </w:p>
    <w:p w14:paraId="405C99AB" w14:textId="77777777" w:rsidR="00D359FB" w:rsidRPr="00D359FB" w:rsidRDefault="00D359FB" w:rsidP="00D359FB">
      <w:pPr>
        <w:spacing w:after="240" w:line="240" w:lineRule="auto"/>
        <w:ind w:left="360" w:hanging="360"/>
        <w:rPr>
          <w:noProof/>
        </w:rPr>
      </w:pPr>
      <w:r w:rsidRPr="00D359FB">
        <w:rPr>
          <w:noProof/>
        </w:rPr>
        <w:t>USEPA. 2009b. Economic and Supporting Analyses for the Final Aircraft Drinking Water Rule. EPA 816-R-09-007. Washington DC: USEPA/OW.</w:t>
      </w:r>
    </w:p>
    <w:p w14:paraId="3B80145B" w14:textId="77777777" w:rsidR="00D359FB" w:rsidRPr="00D359FB" w:rsidRDefault="00D359FB" w:rsidP="00D359FB">
      <w:pPr>
        <w:spacing w:after="240" w:line="240" w:lineRule="auto"/>
        <w:ind w:left="360" w:hanging="360"/>
        <w:rPr>
          <w:noProof/>
        </w:rPr>
      </w:pPr>
      <w:r w:rsidRPr="00D359FB">
        <w:rPr>
          <w:noProof/>
        </w:rPr>
        <w:t xml:space="preserve">USEPA. 2009c. Microbial/Disinfection Byproducts Federal Advisory Committee Agreement in Principle. Available: </w:t>
      </w:r>
      <w:hyperlink r:id="rId22" w:history="1">
        <w:r w:rsidRPr="00D359FB">
          <w:rPr>
            <w:noProof/>
            <w:color w:val="0000FF" w:themeColor="hyperlink"/>
            <w:u w:val="single"/>
          </w:rPr>
          <w:t>https://archive.epa.gov/water/archive/web/html/mdbpagre.html</w:t>
        </w:r>
      </w:hyperlink>
      <w:r w:rsidRPr="00D359FB">
        <w:rPr>
          <w:noProof/>
        </w:rPr>
        <w:t xml:space="preserve">  [accessed November 13, 2018].</w:t>
      </w:r>
    </w:p>
    <w:p w14:paraId="3B99BBBA" w14:textId="77777777" w:rsidR="00D359FB" w:rsidRPr="00D359FB" w:rsidRDefault="00D359FB" w:rsidP="00D359FB">
      <w:pPr>
        <w:spacing w:after="240" w:line="240" w:lineRule="auto"/>
        <w:ind w:left="360" w:hanging="360"/>
        <w:rPr>
          <w:noProof/>
        </w:rPr>
      </w:pPr>
      <w:r w:rsidRPr="00D359FB">
        <w:rPr>
          <w:noProof/>
        </w:rPr>
        <w:t>USEPA. 2010. Guidelines for Preparing Economic Analyses. EPA 240-R-10-001. Washington DC: USEPA/National Center for Environmental Economics.</w:t>
      </w:r>
    </w:p>
    <w:p w14:paraId="13C3B227" w14:textId="77777777" w:rsidR="00D359FB" w:rsidRPr="00D359FB" w:rsidRDefault="00D359FB" w:rsidP="00D359FB">
      <w:pPr>
        <w:spacing w:after="240" w:line="240" w:lineRule="auto"/>
        <w:ind w:left="360" w:hanging="360"/>
        <w:rPr>
          <w:noProof/>
        </w:rPr>
      </w:pPr>
      <w:r w:rsidRPr="00D359FB">
        <w:rPr>
          <w:noProof/>
        </w:rPr>
        <w:t>USEPA. 2013. Revisions to the Total Coliform Rule; Final Rule. Federal Register 78:10270-10365.</w:t>
      </w:r>
    </w:p>
    <w:p w14:paraId="7BDD4802" w14:textId="77777777" w:rsidR="00D359FB" w:rsidRPr="00D359FB" w:rsidRDefault="00D359FB" w:rsidP="00D359FB">
      <w:pPr>
        <w:spacing w:after="240" w:line="240" w:lineRule="auto"/>
        <w:ind w:left="360" w:hanging="360"/>
        <w:rPr>
          <w:noProof/>
        </w:rPr>
      </w:pPr>
      <w:r w:rsidRPr="00D359FB">
        <w:rPr>
          <w:noProof/>
        </w:rPr>
        <w:t xml:space="preserve">USEPA. 2018c. SBAR Panel: National Primary Drinking Water Regulations: Ground Water Rule. Available: </w:t>
      </w:r>
      <w:hyperlink r:id="rId23" w:history="1">
        <w:r w:rsidRPr="00D359FB">
          <w:rPr>
            <w:noProof/>
            <w:color w:val="0000FF" w:themeColor="hyperlink"/>
            <w:u w:val="single"/>
          </w:rPr>
          <w:t>https://www.epa.gov/reg-flex/sbar-panel-national-primary-drinking-water-regulations-ground-water-rule</w:t>
        </w:r>
      </w:hyperlink>
      <w:r w:rsidRPr="00D359FB">
        <w:rPr>
          <w:noProof/>
        </w:rPr>
        <w:t xml:space="preserve"> [accessed November 7, 2018].</w:t>
      </w:r>
    </w:p>
    <w:p w14:paraId="73206963" w14:textId="77777777" w:rsidR="00D359FB" w:rsidRPr="00D359FB" w:rsidRDefault="00D359FB" w:rsidP="00D359FB">
      <w:pPr>
        <w:spacing w:after="240" w:line="240" w:lineRule="auto"/>
        <w:ind w:left="360" w:hanging="360"/>
        <w:rPr>
          <w:noProof/>
        </w:rPr>
      </w:pPr>
      <w:r w:rsidRPr="00D359FB">
        <w:rPr>
          <w:noProof/>
        </w:rPr>
        <w:t xml:space="preserve">USEPA. 2018d. SBAR Panel: National Primary Drinking Water Regulations: Long Term 2 Enhanced Surface Water Treatment Rule. Available: </w:t>
      </w:r>
      <w:hyperlink r:id="rId24" w:history="1">
        <w:r w:rsidRPr="00D359FB">
          <w:rPr>
            <w:noProof/>
            <w:color w:val="0000FF" w:themeColor="hyperlink"/>
            <w:u w:val="single"/>
          </w:rPr>
          <w:t>https://www.epa.gov/reg-flex/sbar-panel-national-primary-drinking-water-regulations-long-term-2-enhanced-surface-water</w:t>
        </w:r>
      </w:hyperlink>
      <w:r w:rsidRPr="00D359FB">
        <w:rPr>
          <w:noProof/>
        </w:rPr>
        <w:t xml:space="preserve"> [accessed November 7, 2018].</w:t>
      </w:r>
    </w:p>
    <w:p w14:paraId="3D77FFAA" w14:textId="77777777" w:rsidR="00D359FB" w:rsidRPr="00D359FB" w:rsidRDefault="00D359FB" w:rsidP="00D359FB">
      <w:pPr>
        <w:spacing w:after="240" w:line="240" w:lineRule="auto"/>
        <w:ind w:left="360" w:hanging="360"/>
        <w:rPr>
          <w:noProof/>
        </w:rPr>
      </w:pPr>
      <w:r w:rsidRPr="00D359FB">
        <w:rPr>
          <w:noProof/>
        </w:rPr>
        <w:t xml:space="preserve">USEPA. 2019. SBAR Panel: National Primary Drinking Water Regulations: Stage 2 Disinfectants/Disinfection Byproducts Rule. Available: </w:t>
      </w:r>
      <w:hyperlink r:id="rId25" w:history="1">
        <w:r w:rsidRPr="00D359FB">
          <w:rPr>
            <w:noProof/>
            <w:color w:val="0000FF" w:themeColor="hyperlink"/>
            <w:u w:val="single"/>
          </w:rPr>
          <w:t>https://www.epa.gov/reg-flex/sbar-panel-national-primary-drinking-water-regulations-stage-2-disinfectantsdisinfection</w:t>
        </w:r>
      </w:hyperlink>
      <w:r w:rsidRPr="00D359FB">
        <w:rPr>
          <w:noProof/>
        </w:rPr>
        <w:t xml:space="preserve"> [accessed November 7, 2018].</w:t>
      </w:r>
    </w:p>
    <w:p w14:paraId="29357426" w14:textId="77777777" w:rsidR="00D359FB" w:rsidRPr="00D359FB" w:rsidRDefault="00D359FB" w:rsidP="00D359FB">
      <w:pPr>
        <w:spacing w:after="240" w:line="240" w:lineRule="auto"/>
        <w:ind w:left="360" w:hanging="360"/>
        <w:rPr>
          <w:noProof/>
        </w:rPr>
      </w:pPr>
      <w:r w:rsidRPr="00D359FB">
        <w:rPr>
          <w:noProof/>
        </w:rPr>
        <w:t>USEPA Office of the Science Advisor. 2004. An Examination of EPA Risk Assessment Principles and Practices; Staff Paper. EPA/100/B-04/001. Washington DC: USEPA/Risk Assessment Task Force.</w:t>
      </w:r>
    </w:p>
    <w:p w14:paraId="02B59593" w14:textId="77777777" w:rsidR="00D359FB" w:rsidRPr="00D359FB" w:rsidRDefault="00D359FB" w:rsidP="00D359FB">
      <w:pPr>
        <w:spacing w:after="240" w:line="240" w:lineRule="auto"/>
        <w:ind w:left="360" w:hanging="360"/>
        <w:rPr>
          <w:noProof/>
        </w:rPr>
      </w:pPr>
      <w:r w:rsidRPr="00D359FB">
        <w:rPr>
          <w:noProof/>
        </w:rPr>
        <w:t>USEPA Science Advisory Board. 2002. Affordability Criteria for Small Drinking Water Systems: An EPA Science Advisory Board Report. EPA-SAB-EEAC-03-004. Washington DC: EPA SAB.</w:t>
      </w:r>
    </w:p>
    <w:p w14:paraId="79FDCCC5" w14:textId="77777777" w:rsidR="005553E8" w:rsidRDefault="00D359FB" w:rsidP="001D0A24">
      <w:pPr>
        <w:spacing w:after="240" w:line="240" w:lineRule="auto"/>
        <w:ind w:left="360" w:hanging="360"/>
        <w:rPr>
          <w:noProof/>
        </w:rPr>
      </w:pPr>
      <w:r w:rsidRPr="00D359FB">
        <w:rPr>
          <w:noProof/>
        </w:rPr>
        <w:t>Wagner WE. 2009. The CAIR RIA: Advocacy Dressed Up as Policy Analysis. In: Reforming Regulatory Impact Analysis,  (Harrington W, Heinzerling L, Morgenstern RD, eds). Washington DC: R</w:t>
      </w:r>
      <w:r w:rsidR="001D0A24">
        <w:rPr>
          <w:noProof/>
        </w:rPr>
        <w:t>esources for the Future, 56-81.</w:t>
      </w:r>
    </w:p>
    <w:sectPr w:rsidR="005553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F93B6" w14:textId="77777777" w:rsidR="004D0E95" w:rsidRDefault="004D0E95" w:rsidP="00101352">
      <w:pPr>
        <w:spacing w:line="240" w:lineRule="auto"/>
      </w:pPr>
      <w:r>
        <w:separator/>
      </w:r>
    </w:p>
  </w:endnote>
  <w:endnote w:type="continuationSeparator" w:id="0">
    <w:p w14:paraId="31FB654A" w14:textId="77777777" w:rsidR="004D0E95" w:rsidRDefault="004D0E95" w:rsidP="001013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B9FFF" w14:textId="77777777" w:rsidR="004D0E95" w:rsidRDefault="004D0E95" w:rsidP="00101352">
      <w:pPr>
        <w:spacing w:line="240" w:lineRule="auto"/>
      </w:pPr>
      <w:r>
        <w:separator/>
      </w:r>
    </w:p>
  </w:footnote>
  <w:footnote w:type="continuationSeparator" w:id="0">
    <w:p w14:paraId="0F64B88D" w14:textId="77777777" w:rsidR="004D0E95" w:rsidRDefault="004D0E95" w:rsidP="00101352">
      <w:pPr>
        <w:spacing w:line="240" w:lineRule="auto"/>
      </w:pPr>
      <w:r>
        <w:continuationSeparator/>
      </w:r>
    </w:p>
  </w:footnote>
  <w:footnote w:id="1">
    <w:p w14:paraId="1F11FF06" w14:textId="77777777" w:rsidR="004D0E95" w:rsidRDefault="004D0E95" w:rsidP="00101352">
      <w:pPr>
        <w:pStyle w:val="FootnoteText"/>
      </w:pPr>
      <w:r>
        <w:rPr>
          <w:rStyle w:val="FootnoteReference"/>
        </w:rPr>
        <w:footnoteRef/>
      </w:r>
      <w:r>
        <w:t xml:space="preserve"> The proposed online appendix is included here for readability.</w:t>
      </w:r>
    </w:p>
  </w:footnote>
  <w:footnote w:id="2">
    <w:p w14:paraId="10714965" w14:textId="77777777" w:rsidR="004D0E95" w:rsidRDefault="004D0E95" w:rsidP="00101352">
      <w:pPr>
        <w:pStyle w:val="FootnoteText"/>
      </w:pPr>
      <w:r>
        <w:rPr>
          <w:rStyle w:val="FootnoteReference"/>
        </w:rPr>
        <w:footnoteRef/>
      </w:r>
      <w:r>
        <w:t xml:space="preserve"> </w:t>
      </w:r>
    </w:p>
  </w:footnote>
  <w:footnote w:id="3">
    <w:p w14:paraId="651974B7" w14:textId="77777777" w:rsidR="004D0E95" w:rsidRDefault="004D0E95" w:rsidP="00101352">
      <w:pPr>
        <w:pStyle w:val="FootnoteText"/>
      </w:pPr>
      <w:r w:rsidRPr="00C654BB">
        <w:rPr>
          <w:rStyle w:val="FootnoteReference"/>
        </w:rPr>
        <w:footnoteRef/>
      </w:r>
      <w:r w:rsidRPr="00C654BB">
        <w:t xml:space="preserve"> </w:t>
      </w:r>
      <w:r w:rsidRPr="00C654BB">
        <w:rPr>
          <w:noProof/>
        </w:rPr>
        <w:t>USEPA (2000a)</w:t>
      </w:r>
      <w:r w:rsidRPr="00C654BB">
        <w:t xml:space="preserve"> and </w:t>
      </w:r>
      <w:r w:rsidRPr="00C654BB">
        <w:rPr>
          <w:noProof/>
        </w:rPr>
        <w:t>(USEPA 2000h)</w:t>
      </w:r>
      <w:r w:rsidRPr="00C654BB">
        <w:t xml:space="preserve"> have somewhat different estimates of the average cost per cancer case avoided. These differences are too small to affect the inferences drawn here, however. Estimates by system-size were not reported, but it is reasonable to infer that 30 </w:t>
      </w:r>
      <w:r w:rsidRPr="00C654BB">
        <w:sym w:font="Symbol" w:char="F06D"/>
      </w:r>
      <w:r w:rsidRPr="00C654BB">
        <w:t>g/L would have been economically feasible for very large water systems.</w:t>
      </w:r>
    </w:p>
  </w:footnote>
  <w:footnote w:id="4">
    <w:p w14:paraId="1C9F8632" w14:textId="77777777" w:rsidR="004D0E95" w:rsidRDefault="004D0E95" w:rsidP="00101352">
      <w:pPr>
        <w:pStyle w:val="FootnoteText"/>
      </w:pPr>
      <w:r>
        <w:rPr>
          <w:rStyle w:val="FootnoteReference"/>
        </w:rPr>
        <w:footnoteRef/>
      </w:r>
      <w:r>
        <w:t xml:space="preserve"> For household sizes smaller than 3, net benefits per household are negative for all system sizes and all four MCLs the Agency considered.</w:t>
      </w:r>
    </w:p>
  </w:footnote>
  <w:footnote w:id="5">
    <w:p w14:paraId="2EEBED5A" w14:textId="77777777" w:rsidR="004D0E95" w:rsidRPr="00AA223C" w:rsidRDefault="004D0E95" w:rsidP="00101352">
      <w:pPr>
        <w:pStyle w:val="FootnoteText"/>
      </w:pPr>
      <w:r>
        <w:rPr>
          <w:rStyle w:val="FootnoteReference"/>
        </w:rPr>
        <w:footnoteRef/>
      </w:r>
      <w:r>
        <w:t xml:space="preserve"> “[I]</w:t>
      </w:r>
      <w:r w:rsidRPr="00AA223C">
        <w:t>f an aircraft has a sink</w:t>
      </w:r>
      <w:r>
        <w:t xml:space="preserve"> </w:t>
      </w:r>
      <w:r w:rsidRPr="00AA223C">
        <w:t>in the lavatory, then the water provided</w:t>
      </w:r>
      <w:r>
        <w:t xml:space="preserve"> </w:t>
      </w:r>
      <w:r w:rsidRPr="00AA223C">
        <w:t>to that sink must be suitable for human</w:t>
      </w:r>
    </w:p>
    <w:p w14:paraId="2BFD7096" w14:textId="77777777" w:rsidR="004D0E95" w:rsidRDefault="004D0E95" w:rsidP="00101352">
      <w:pPr>
        <w:pStyle w:val="FootnoteText"/>
        <w:ind w:firstLine="0"/>
      </w:pPr>
      <w:r w:rsidRPr="00AA223C">
        <w:t>consumption</w:t>
      </w:r>
      <w:r>
        <w:t>” (p. 53591)</w:t>
      </w:r>
    </w:p>
  </w:footnote>
  <w:footnote w:id="6">
    <w:p w14:paraId="34D4EAA2" w14:textId="77777777" w:rsidR="004D0E95" w:rsidRDefault="004D0E95" w:rsidP="00101352">
      <w:pPr>
        <w:pStyle w:val="FootnoteText"/>
      </w:pPr>
      <w:r>
        <w:rPr>
          <w:rStyle w:val="FootnoteReference"/>
        </w:rPr>
        <w:footnoteRef/>
      </w:r>
      <w:r>
        <w:t xml:space="preserve"> </w:t>
      </w:r>
      <w:r>
        <w:rPr>
          <w:noProof/>
        </w:rPr>
        <w:t>USEPA (2013, p. 10309)</w:t>
      </w:r>
      <w:r>
        <w:t>: “</w:t>
      </w:r>
      <w:r w:rsidRPr="00F5625F">
        <w:t>More frequent monitoring has the</w:t>
      </w:r>
      <w:r>
        <w:t xml:space="preserve"> </w:t>
      </w:r>
      <w:r w:rsidRPr="00F5625F">
        <w:t>potential to decrease the risk of</w:t>
      </w:r>
      <w:r>
        <w:t xml:space="preserve"> </w:t>
      </w:r>
      <w:r w:rsidRPr="00F5625F">
        <w:t>contamination in PWSs based on an</w:t>
      </w:r>
      <w:r>
        <w:t xml:space="preserve"> </w:t>
      </w:r>
      <w:r w:rsidRPr="00F5625F">
        <w:t>enhanced ability to diagnose and</w:t>
      </w:r>
      <w:r>
        <w:t xml:space="preserve"> </w:t>
      </w:r>
      <w:r w:rsidRPr="00F5625F">
        <w:t>mitigate system issues in a more timely</w:t>
      </w:r>
      <w:r>
        <w:t xml:space="preserve"> </w:t>
      </w:r>
      <w:r w:rsidRPr="00F5625F">
        <w:t>fashion.</w:t>
      </w:r>
      <w:r>
        <w:t xml:space="preserve">" </w:t>
      </w:r>
      <w:r w:rsidRPr="00F5625F">
        <w:t>Conversely, less frequent</w:t>
      </w:r>
      <w:r>
        <w:t xml:space="preserve"> </w:t>
      </w:r>
      <w:r w:rsidRPr="00F5625F">
        <w:t>monitoring has the potential to increase</w:t>
      </w:r>
      <w:r>
        <w:t xml:space="preserve"> </w:t>
      </w:r>
      <w:r w:rsidRPr="00F5625F">
        <w:t>risk. Real-time continuous sampling</w:t>
      </w:r>
      <w:r>
        <w:t xml:space="preserve"> </w:t>
      </w:r>
      <w:r w:rsidRPr="00F5625F">
        <w:t>would mitigate the most risk possible</w:t>
      </w:r>
      <w:r>
        <w:t xml:space="preserve"> </w:t>
      </w:r>
      <w:r w:rsidRPr="00F5625F">
        <w:t>based on sampling schedule; however, it</w:t>
      </w:r>
      <w:r>
        <w:t xml:space="preserve"> </w:t>
      </w:r>
      <w:r w:rsidRPr="00F5625F">
        <w:t>would cost prohibitively more than the</w:t>
      </w:r>
      <w:r>
        <w:t xml:space="preserve"> </w:t>
      </w:r>
      <w:r w:rsidRPr="00F5625F">
        <w:t>periodic sampling practiced under the</w:t>
      </w:r>
      <w:r>
        <w:t xml:space="preserve"> </w:t>
      </w:r>
      <w:r w:rsidRPr="00F5625F">
        <w:t>1989 TCR and included in the RTCR</w:t>
      </w:r>
      <w:r>
        <w:t xml:space="preserve"> </w:t>
      </w:r>
      <w:r w:rsidRPr="00F5625F">
        <w:t>and the Alternative option</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32A6C"/>
    <w:multiLevelType w:val="multilevel"/>
    <w:tmpl w:val="A1244FAA"/>
    <w:lvl w:ilvl="0">
      <w:start w:val="1"/>
      <w:numFmt w:val="decimal"/>
      <w:lvlText w:val="%1."/>
      <w:lvlJc w:val="left"/>
      <w:pPr>
        <w:ind w:left="432" w:hanging="432"/>
      </w:pPr>
      <w:rPr>
        <w:rFonts w:hint="default"/>
      </w:rPr>
    </w:lvl>
    <w:lvl w:ilvl="1">
      <w:start w:val="2"/>
      <w:numFmt w:val="lowerLetter"/>
      <w:lvlText w:val="%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322210A0"/>
    <w:multiLevelType w:val="hybridMultilevel"/>
    <w:tmpl w:val="E834CFEA"/>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BD0B36"/>
    <w:multiLevelType w:val="hybridMultilevel"/>
    <w:tmpl w:val="00B6B91E"/>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DB37A7"/>
    <w:multiLevelType w:val="multilevel"/>
    <w:tmpl w:val="C27820F0"/>
    <w:lvl w:ilvl="0">
      <w:start w:val="1"/>
      <w:numFmt w:val="decimal"/>
      <w:pStyle w:val="Heading1"/>
      <w:lvlText w:val="%1."/>
      <w:lvlJc w:val="left"/>
      <w:pPr>
        <w:ind w:left="432" w:hanging="432"/>
      </w:pPr>
      <w:rPr>
        <w:rFonts w:hint="default"/>
      </w:rPr>
    </w:lvl>
    <w:lvl w:ilvl="1">
      <w:start w:val="1"/>
      <w:numFmt w:val="lowerLetter"/>
      <w:pStyle w:val="Heading2"/>
      <w:lvlText w:val="%2."/>
      <w:lvlJc w:val="left"/>
      <w:pPr>
        <w:ind w:left="360" w:hanging="360"/>
      </w:pPr>
      <w:rPr>
        <w:rFonts w:hint="default"/>
        <w:i w: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54FD3F07"/>
    <w:multiLevelType w:val="multilevel"/>
    <w:tmpl w:val="0CB61C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AF522C0"/>
    <w:multiLevelType w:val="hybridMultilevel"/>
    <w:tmpl w:val="DBDAEF12"/>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D06184"/>
    <w:multiLevelType w:val="multilevel"/>
    <w:tmpl w:val="719CC890"/>
    <w:lvl w:ilvl="0">
      <w:start w:val="1"/>
      <w:numFmt w:val="decimal"/>
      <w:lvlText w:val="%1."/>
      <w:lvlJc w:val="left"/>
      <w:pPr>
        <w:ind w:left="432" w:hanging="432"/>
      </w:pPr>
      <w:rPr>
        <w:rFonts w:hint="default"/>
      </w:rPr>
    </w:lvl>
    <w:lvl w:ilvl="1">
      <w:start w:val="1"/>
      <w:numFmt w:val="lowerLetter"/>
      <w:lvlText w:val="%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7CDA0AE6"/>
    <w:multiLevelType w:val="multilevel"/>
    <w:tmpl w:val="719CC890"/>
    <w:lvl w:ilvl="0">
      <w:start w:val="1"/>
      <w:numFmt w:val="decimal"/>
      <w:lvlText w:val="%1."/>
      <w:lvlJc w:val="left"/>
      <w:pPr>
        <w:ind w:left="432" w:hanging="432"/>
      </w:pPr>
      <w:rPr>
        <w:rFonts w:hint="default"/>
      </w:rPr>
    </w:lvl>
    <w:lvl w:ilvl="1">
      <w:start w:val="1"/>
      <w:numFmt w:val="lowerLetter"/>
      <w:lvlText w:val="%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
  </w:num>
  <w:num w:numId="2">
    <w:abstractNumId w:val="4"/>
  </w:num>
  <w:num w:numId="3">
    <w:abstractNumId w:val="1"/>
  </w:num>
  <w:num w:numId="4">
    <w:abstractNumId w:val="5"/>
  </w:num>
  <w:num w:numId="5">
    <w:abstractNumId w:val="2"/>
  </w:num>
  <w:num w:numId="6">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7"/>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352"/>
    <w:rsid w:val="00101352"/>
    <w:rsid w:val="0012013C"/>
    <w:rsid w:val="001D0A24"/>
    <w:rsid w:val="004D0E95"/>
    <w:rsid w:val="004E507D"/>
    <w:rsid w:val="00552560"/>
    <w:rsid w:val="005553E8"/>
    <w:rsid w:val="00795FA0"/>
    <w:rsid w:val="00BE1DB7"/>
    <w:rsid w:val="00C654BB"/>
    <w:rsid w:val="00D359FB"/>
    <w:rsid w:val="00E43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A8CF9"/>
  <w15:docId w15:val="{EAFC1691-5E77-4EF5-AB4B-4B1AA7EF6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352"/>
    <w:pPr>
      <w:spacing w:after="0" w:line="480" w:lineRule="auto"/>
      <w:ind w:firstLine="72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01352"/>
    <w:pPr>
      <w:keepNext/>
      <w:keepLines/>
      <w:numPr>
        <w:numId w:val="1"/>
      </w:numPr>
      <w:spacing w:before="240" w:after="240"/>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101352"/>
    <w:pPr>
      <w:keepNext/>
      <w:keepLines/>
      <w:numPr>
        <w:ilvl w:val="1"/>
        <w:numId w:val="1"/>
      </w:numPr>
      <w:spacing w:before="240" w:after="24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101352"/>
    <w:pPr>
      <w:keepNext/>
      <w:keepLines/>
      <w:numPr>
        <w:ilvl w:val="2"/>
        <w:numId w:val="1"/>
      </w:numPr>
      <w:spacing w:before="240" w:after="240"/>
      <w:outlineLvl w:val="2"/>
    </w:pPr>
    <w:rPr>
      <w:rFonts w:eastAsiaTheme="majorEastAsia" w:cstheme="majorBidi"/>
      <w:color w:val="000000" w:themeColor="text1"/>
      <w:u w:val="single"/>
    </w:rPr>
  </w:style>
  <w:style w:type="paragraph" w:styleId="Heading4">
    <w:name w:val="heading 4"/>
    <w:basedOn w:val="Normal"/>
    <w:next w:val="Normal"/>
    <w:link w:val="Heading4Char"/>
    <w:uiPriority w:val="9"/>
    <w:semiHidden/>
    <w:unhideWhenUsed/>
    <w:qFormat/>
    <w:rsid w:val="00101352"/>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01352"/>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01352"/>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01352"/>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01352"/>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01352"/>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1352"/>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9"/>
    <w:rsid w:val="00101352"/>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9"/>
    <w:rsid w:val="00101352"/>
    <w:rPr>
      <w:rFonts w:ascii="Times New Roman" w:eastAsiaTheme="majorEastAsia" w:hAnsi="Times New Roman" w:cstheme="majorBidi"/>
      <w:color w:val="000000" w:themeColor="text1"/>
      <w:sz w:val="24"/>
      <w:szCs w:val="24"/>
      <w:u w:val="single"/>
    </w:rPr>
  </w:style>
  <w:style w:type="character" w:customStyle="1" w:styleId="Heading4Char">
    <w:name w:val="Heading 4 Char"/>
    <w:basedOn w:val="DefaultParagraphFont"/>
    <w:link w:val="Heading4"/>
    <w:uiPriority w:val="9"/>
    <w:semiHidden/>
    <w:rsid w:val="00101352"/>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101352"/>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101352"/>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101352"/>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10135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01352"/>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101352"/>
    <w:pPr>
      <w:spacing w:line="240" w:lineRule="auto"/>
    </w:pPr>
    <w:rPr>
      <w:sz w:val="18"/>
      <w:szCs w:val="18"/>
    </w:rPr>
  </w:style>
  <w:style w:type="character" w:customStyle="1" w:styleId="BalloonTextChar">
    <w:name w:val="Balloon Text Char"/>
    <w:basedOn w:val="DefaultParagraphFont"/>
    <w:link w:val="BalloonText"/>
    <w:uiPriority w:val="99"/>
    <w:semiHidden/>
    <w:rsid w:val="00101352"/>
    <w:rPr>
      <w:rFonts w:ascii="Times New Roman" w:eastAsia="Times New Roman" w:hAnsi="Times New Roman" w:cs="Times New Roman"/>
      <w:sz w:val="18"/>
      <w:szCs w:val="18"/>
    </w:rPr>
  </w:style>
  <w:style w:type="character" w:styleId="Hyperlink">
    <w:name w:val="Hyperlink"/>
    <w:basedOn w:val="DefaultParagraphFont"/>
    <w:uiPriority w:val="99"/>
    <w:unhideWhenUsed/>
    <w:rsid w:val="00101352"/>
    <w:rPr>
      <w:color w:val="0000FF" w:themeColor="hyperlink"/>
      <w:u w:val="single"/>
    </w:rPr>
  </w:style>
  <w:style w:type="character" w:customStyle="1" w:styleId="UnresolvedMention">
    <w:name w:val="Unresolved Mention"/>
    <w:basedOn w:val="DefaultParagraphFont"/>
    <w:uiPriority w:val="99"/>
    <w:semiHidden/>
    <w:unhideWhenUsed/>
    <w:rsid w:val="00101352"/>
    <w:rPr>
      <w:color w:val="808080"/>
      <w:shd w:val="clear" w:color="auto" w:fill="E6E6E6"/>
    </w:rPr>
  </w:style>
  <w:style w:type="character" w:styleId="FollowedHyperlink">
    <w:name w:val="FollowedHyperlink"/>
    <w:basedOn w:val="DefaultParagraphFont"/>
    <w:uiPriority w:val="99"/>
    <w:semiHidden/>
    <w:unhideWhenUsed/>
    <w:rsid w:val="00101352"/>
    <w:rPr>
      <w:color w:val="800080" w:themeColor="followedHyperlink"/>
      <w:u w:val="single"/>
    </w:rPr>
  </w:style>
  <w:style w:type="paragraph" w:styleId="Header">
    <w:name w:val="header"/>
    <w:basedOn w:val="Normal"/>
    <w:link w:val="HeaderChar"/>
    <w:uiPriority w:val="99"/>
    <w:unhideWhenUsed/>
    <w:rsid w:val="00101352"/>
    <w:pPr>
      <w:tabs>
        <w:tab w:val="center" w:pos="4680"/>
        <w:tab w:val="right" w:pos="9360"/>
      </w:tabs>
      <w:spacing w:line="240" w:lineRule="auto"/>
    </w:pPr>
  </w:style>
  <w:style w:type="character" w:customStyle="1" w:styleId="HeaderChar">
    <w:name w:val="Header Char"/>
    <w:basedOn w:val="DefaultParagraphFont"/>
    <w:link w:val="Header"/>
    <w:uiPriority w:val="99"/>
    <w:rsid w:val="001013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01352"/>
    <w:pPr>
      <w:tabs>
        <w:tab w:val="center" w:pos="4680"/>
        <w:tab w:val="right" w:pos="9360"/>
      </w:tabs>
      <w:spacing w:line="240" w:lineRule="auto"/>
    </w:pPr>
  </w:style>
  <w:style w:type="character" w:customStyle="1" w:styleId="FooterChar">
    <w:name w:val="Footer Char"/>
    <w:basedOn w:val="DefaultParagraphFont"/>
    <w:link w:val="Footer"/>
    <w:uiPriority w:val="99"/>
    <w:rsid w:val="00101352"/>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101352"/>
    <w:pPr>
      <w:contextualSpacing/>
    </w:pPr>
    <w:rPr>
      <w:rFonts w:eastAsiaTheme="majorEastAsia" w:cstheme="majorBidi"/>
      <w:b/>
      <w:spacing w:val="-10"/>
      <w:kern w:val="28"/>
      <w:szCs w:val="56"/>
    </w:rPr>
  </w:style>
  <w:style w:type="character" w:customStyle="1" w:styleId="TitleChar">
    <w:name w:val="Title Char"/>
    <w:basedOn w:val="DefaultParagraphFont"/>
    <w:link w:val="Title"/>
    <w:uiPriority w:val="10"/>
    <w:rsid w:val="00101352"/>
    <w:rPr>
      <w:rFonts w:ascii="Times New Roman" w:eastAsiaTheme="majorEastAsia" w:hAnsi="Times New Roman" w:cstheme="majorBidi"/>
      <w:b/>
      <w:spacing w:val="-10"/>
      <w:kern w:val="28"/>
      <w:sz w:val="24"/>
      <w:szCs w:val="56"/>
    </w:rPr>
  </w:style>
  <w:style w:type="character" w:styleId="PageNumber">
    <w:name w:val="page number"/>
    <w:basedOn w:val="DefaultParagraphFont"/>
    <w:uiPriority w:val="99"/>
    <w:semiHidden/>
    <w:unhideWhenUsed/>
    <w:rsid w:val="00101352"/>
  </w:style>
  <w:style w:type="paragraph" w:styleId="FootnoteText">
    <w:name w:val="footnote text"/>
    <w:basedOn w:val="Normal"/>
    <w:link w:val="FootnoteTextChar"/>
    <w:uiPriority w:val="99"/>
    <w:unhideWhenUsed/>
    <w:qFormat/>
    <w:rsid w:val="00101352"/>
    <w:pPr>
      <w:spacing w:line="240" w:lineRule="auto"/>
    </w:pPr>
    <w:rPr>
      <w:sz w:val="20"/>
      <w:szCs w:val="20"/>
    </w:rPr>
  </w:style>
  <w:style w:type="character" w:customStyle="1" w:styleId="FootnoteTextChar">
    <w:name w:val="Footnote Text Char"/>
    <w:basedOn w:val="DefaultParagraphFont"/>
    <w:link w:val="FootnoteText"/>
    <w:uiPriority w:val="99"/>
    <w:rsid w:val="00101352"/>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101352"/>
    <w:rPr>
      <w:vertAlign w:val="superscript"/>
    </w:rPr>
  </w:style>
  <w:style w:type="paragraph" w:customStyle="1" w:styleId="EndNoteBibliographyTitle">
    <w:name w:val="EndNote Bibliography Title"/>
    <w:basedOn w:val="Normal"/>
    <w:link w:val="EndNoteBibliographyTitleChar"/>
    <w:rsid w:val="00101352"/>
    <w:pPr>
      <w:jc w:val="center"/>
    </w:pPr>
    <w:rPr>
      <w:sz w:val="20"/>
      <w:szCs w:val="20"/>
    </w:rPr>
  </w:style>
  <w:style w:type="character" w:customStyle="1" w:styleId="EndNoteBibliographyTitleChar">
    <w:name w:val="EndNote Bibliography Title Char"/>
    <w:basedOn w:val="FootnoteTextChar"/>
    <w:link w:val="EndNoteBibliographyTitle"/>
    <w:rsid w:val="00101352"/>
    <w:rPr>
      <w:rFonts w:ascii="Times New Roman" w:eastAsia="Times New Roman" w:hAnsi="Times New Roman" w:cs="Times New Roman"/>
      <w:sz w:val="20"/>
      <w:szCs w:val="20"/>
    </w:rPr>
  </w:style>
  <w:style w:type="paragraph" w:customStyle="1" w:styleId="EndNoteBibliography">
    <w:name w:val="EndNote Bibliography"/>
    <w:basedOn w:val="Normal"/>
    <w:link w:val="EndNoteBibliographyChar"/>
    <w:rsid w:val="00101352"/>
    <w:pPr>
      <w:spacing w:line="240" w:lineRule="auto"/>
    </w:pPr>
    <w:rPr>
      <w:sz w:val="20"/>
      <w:szCs w:val="20"/>
    </w:rPr>
  </w:style>
  <w:style w:type="character" w:customStyle="1" w:styleId="EndNoteBibliographyChar">
    <w:name w:val="EndNote Bibliography Char"/>
    <w:basedOn w:val="FootnoteTextChar"/>
    <w:link w:val="EndNoteBibliography"/>
    <w:rsid w:val="00101352"/>
    <w:rPr>
      <w:rFonts w:ascii="Times New Roman" w:eastAsia="Times New Roman" w:hAnsi="Times New Roman" w:cs="Times New Roman"/>
      <w:sz w:val="20"/>
      <w:szCs w:val="20"/>
    </w:rPr>
  </w:style>
  <w:style w:type="paragraph" w:styleId="Quote">
    <w:name w:val="Quote"/>
    <w:basedOn w:val="Normal"/>
    <w:next w:val="Normal"/>
    <w:link w:val="QuoteChar"/>
    <w:uiPriority w:val="29"/>
    <w:qFormat/>
    <w:rsid w:val="00101352"/>
    <w:pPr>
      <w:spacing w:before="200" w:after="160"/>
      <w:ind w:left="864" w:right="864"/>
    </w:pPr>
    <w:rPr>
      <w:iCs/>
      <w:color w:val="404040" w:themeColor="text1" w:themeTint="BF"/>
    </w:rPr>
  </w:style>
  <w:style w:type="character" w:customStyle="1" w:styleId="QuoteChar">
    <w:name w:val="Quote Char"/>
    <w:basedOn w:val="DefaultParagraphFont"/>
    <w:link w:val="Quote"/>
    <w:uiPriority w:val="29"/>
    <w:rsid w:val="00101352"/>
    <w:rPr>
      <w:rFonts w:ascii="Times New Roman" w:eastAsia="Times New Roman" w:hAnsi="Times New Roman" w:cs="Times New Roman"/>
      <w:iCs/>
      <w:color w:val="404040" w:themeColor="text1" w:themeTint="BF"/>
      <w:sz w:val="24"/>
      <w:szCs w:val="24"/>
    </w:rPr>
  </w:style>
  <w:style w:type="paragraph" w:styleId="Caption">
    <w:name w:val="caption"/>
    <w:basedOn w:val="Normal"/>
    <w:next w:val="Normal"/>
    <w:uiPriority w:val="35"/>
    <w:unhideWhenUsed/>
    <w:qFormat/>
    <w:rsid w:val="00101352"/>
    <w:pPr>
      <w:spacing w:after="200" w:line="240" w:lineRule="auto"/>
      <w:ind w:firstLine="0"/>
    </w:pPr>
    <w:rPr>
      <w:iCs/>
      <w:color w:val="000000" w:themeColor="text1"/>
      <w:szCs w:val="18"/>
    </w:rPr>
  </w:style>
  <w:style w:type="character" w:styleId="SubtleEmphasis">
    <w:name w:val="Subtle Emphasis"/>
    <w:basedOn w:val="DefaultParagraphFont"/>
    <w:uiPriority w:val="19"/>
    <w:qFormat/>
    <w:rsid w:val="00101352"/>
    <w:rPr>
      <w:i/>
      <w:iCs/>
      <w:color w:val="404040" w:themeColor="text1" w:themeTint="BF"/>
    </w:rPr>
  </w:style>
  <w:style w:type="character" w:styleId="PlaceholderText">
    <w:name w:val="Placeholder Text"/>
    <w:basedOn w:val="DefaultParagraphFont"/>
    <w:uiPriority w:val="99"/>
    <w:semiHidden/>
    <w:rsid w:val="00101352"/>
    <w:rPr>
      <w:color w:val="808080"/>
    </w:rPr>
  </w:style>
  <w:style w:type="paragraph" w:styleId="EndnoteText">
    <w:name w:val="endnote text"/>
    <w:basedOn w:val="Normal"/>
    <w:link w:val="EndnoteTextChar"/>
    <w:uiPriority w:val="99"/>
    <w:semiHidden/>
    <w:unhideWhenUsed/>
    <w:rsid w:val="00101352"/>
    <w:pPr>
      <w:spacing w:line="240" w:lineRule="auto"/>
    </w:pPr>
    <w:rPr>
      <w:sz w:val="20"/>
      <w:szCs w:val="20"/>
    </w:rPr>
  </w:style>
  <w:style w:type="character" w:customStyle="1" w:styleId="EndnoteTextChar">
    <w:name w:val="Endnote Text Char"/>
    <w:basedOn w:val="DefaultParagraphFont"/>
    <w:link w:val="EndnoteText"/>
    <w:uiPriority w:val="99"/>
    <w:semiHidden/>
    <w:rsid w:val="0010135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01352"/>
    <w:rPr>
      <w:vertAlign w:val="superscript"/>
    </w:rPr>
  </w:style>
  <w:style w:type="table" w:customStyle="1" w:styleId="GridTable1Light1">
    <w:name w:val="Grid Table 1 Light1"/>
    <w:basedOn w:val="TableNormal"/>
    <w:uiPriority w:val="46"/>
    <w:rsid w:val="00101352"/>
    <w:pPr>
      <w:spacing w:after="0" w:line="240" w:lineRule="auto"/>
    </w:pPr>
    <w:rPr>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10135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1352"/>
    <w:pPr>
      <w:ind w:left="720"/>
      <w:contextualSpacing/>
    </w:pPr>
  </w:style>
  <w:style w:type="character" w:styleId="CommentReference">
    <w:name w:val="annotation reference"/>
    <w:basedOn w:val="DefaultParagraphFont"/>
    <w:uiPriority w:val="99"/>
    <w:semiHidden/>
    <w:unhideWhenUsed/>
    <w:rsid w:val="00101352"/>
    <w:rPr>
      <w:sz w:val="16"/>
      <w:szCs w:val="16"/>
    </w:rPr>
  </w:style>
  <w:style w:type="paragraph" w:styleId="CommentText">
    <w:name w:val="annotation text"/>
    <w:basedOn w:val="Normal"/>
    <w:link w:val="CommentTextChar"/>
    <w:uiPriority w:val="99"/>
    <w:semiHidden/>
    <w:unhideWhenUsed/>
    <w:rsid w:val="00101352"/>
    <w:pPr>
      <w:spacing w:line="240" w:lineRule="auto"/>
    </w:pPr>
    <w:rPr>
      <w:sz w:val="20"/>
      <w:szCs w:val="20"/>
    </w:rPr>
  </w:style>
  <w:style w:type="character" w:customStyle="1" w:styleId="CommentTextChar">
    <w:name w:val="Comment Text Char"/>
    <w:basedOn w:val="DefaultParagraphFont"/>
    <w:link w:val="CommentText"/>
    <w:uiPriority w:val="99"/>
    <w:semiHidden/>
    <w:rsid w:val="001013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01352"/>
    <w:rPr>
      <w:b/>
      <w:bCs/>
    </w:rPr>
  </w:style>
  <w:style w:type="character" w:customStyle="1" w:styleId="CommentSubjectChar">
    <w:name w:val="Comment Subject Char"/>
    <w:basedOn w:val="CommentTextChar"/>
    <w:link w:val="CommentSubject"/>
    <w:uiPriority w:val="99"/>
    <w:semiHidden/>
    <w:rsid w:val="00101352"/>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101352"/>
    <w:pPr>
      <w:spacing w:before="100" w:beforeAutospacing="1" w:after="100" w:afterAutospacing="1" w:line="240" w:lineRule="auto"/>
      <w:ind w:firstLine="0"/>
    </w:pPr>
  </w:style>
  <w:style w:type="paragraph" w:styleId="Revision">
    <w:name w:val="Revision"/>
    <w:hidden/>
    <w:uiPriority w:val="99"/>
    <w:semiHidden/>
    <w:rsid w:val="00101352"/>
    <w:pPr>
      <w:spacing w:after="0" w:line="240" w:lineRule="auto"/>
    </w:pPr>
    <w:rPr>
      <w:rFonts w:ascii="Times New Roman" w:eastAsia="Times New Roman" w:hAnsi="Times New Roman" w:cs="Times New Roman"/>
      <w:sz w:val="24"/>
      <w:szCs w:val="24"/>
    </w:rPr>
  </w:style>
  <w:style w:type="character" w:styleId="IntenseEmphasis">
    <w:name w:val="Intense Emphasis"/>
    <w:basedOn w:val="DefaultParagraphFont"/>
    <w:uiPriority w:val="21"/>
    <w:qFormat/>
    <w:rsid w:val="00101352"/>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hyperlink" Target="https://wonder.cdc.go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whitehouse.gov/sites/whitehouse.gov/files/omb/circulars/A4/a-4.pdf" TargetMode="Externa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hyperlink" Target="https://wonder.cdc.gov/nndss/nndss_weekly_tables_menu.asp" TargetMode="External"/><Relationship Id="rId25" Type="http://schemas.openxmlformats.org/officeDocument/2006/relationships/hyperlink" Target="https://www.epa.gov/reg-flex/sbar-panel-national-primary-drinking-water-regulations-stage-2-disinfectantsdisinfection" TargetMode="External"/><Relationship Id="rId2" Type="http://schemas.openxmlformats.org/officeDocument/2006/relationships/styles" Target="styles.xml"/><Relationship Id="rId16" Type="http://schemas.openxmlformats.org/officeDocument/2006/relationships/hyperlink" Target="https://wonder.cdc.gov/wonder/help/ucd.html" TargetMode="External"/><Relationship Id="rId20" Type="http://schemas.openxmlformats.org/officeDocument/2006/relationships/hyperlink" Target="https://seer.cancer.gov/statfacts/html/urinb.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hyperlink" Target="https://www.epa.gov/reg-flex/sbar-panel-national-primary-drinking-water-regulations-long-term-2-enhanced-surface-water" TargetMode="External"/><Relationship Id="rId5" Type="http://schemas.openxmlformats.org/officeDocument/2006/relationships/footnotes" Target="footnotes.xml"/><Relationship Id="rId15" Type="http://schemas.openxmlformats.org/officeDocument/2006/relationships/hyperlink" Target="https://www.cdc.gov/parasites/crypto/publications.html" TargetMode="External"/><Relationship Id="rId23" Type="http://schemas.openxmlformats.org/officeDocument/2006/relationships/hyperlink" Target="https://www.epa.gov/reg-flex/sbar-panel-national-primary-drinking-water-regulations-ground-water-rule" TargetMode="External"/><Relationship Id="rId10" Type="http://schemas.openxmlformats.org/officeDocument/2006/relationships/chart" Target="charts/chart4.xml"/><Relationship Id="rId19" Type="http://schemas.openxmlformats.org/officeDocument/2006/relationships/hyperlink" Target="https://seer.cancer.gov/explorer/application.php?site=1&amp;data_type=1&amp;graph_type=1&amp;compareBy=sex&amp;chk_sex_1=1&amp;chk_sex_3=3&amp;chk_sex_2=2&amp;chk_race_1=1&amp;chk_age_range_1=1&amp;chk_data_type_1=1&amp;chk_data_type_13=13&amp;advopt_precision=1&amp;advopt_display=1&amp;showDataFor=race_1_and_age_range_1_and_data_type_1" TargetMode="Externa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hyperlink" Target="https://archive.epa.gov/water/archive/web/html/mdbpagre.html"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Volumes\Samsung%20860%204TB%20Main\Documents\Projects\SDWA\JBCA%20PAPER\Revision%20and%20response%20to%20reviewers\180824%20Arsenic%20&amp;%20Radionuclid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Volumes\Samsung%20860%204TB%20Main\Documents\Projects\SDWA\JBCA%20PAPER\Revision%20and%20response%20to%20reviewers\180824%20Arsenic%20&amp;%20Radionuclid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Volumes\Samsung%20860%204TB%20Main\Documents\Projects\SDWA\JBCA%20PAPER\Revision%20and%20response%20to%20reviewers\180824%20Arsenic%20&amp;%20Radionuclide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Volumes\Samsung%20860%204TB%20Main\Documents\Projects\SDWA\JBCA%20PAPER\Revision%20and%20response%20to%20reviewers\180824%20Arsenic%20&amp;%20Radionuclide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Volumes\Samsung%20860%204TB%20Main\Documents\Projects\SDWA\JBCA%20PAPER\Revision%20and%20response%20to%20reviewers\180824%20Arsenic%20&amp;%20Radionuclide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Volumes\Samsung%20860%204TB%20Main\Documents\Projects\SDWA\JBCA%20PAPER\Revision%20and%20response%20to%20reviewers\180824%20Arsenic%20&amp;%20Radionuclide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Volumes\Samsung%20860%204TB%20Main\Documents\Projects\SDWA\JBCA%20PAPER\Revision%20and%20response%20to%20reviewers\180824%20Arsenic%20&amp;%20Radionuclide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Volumes\Samsung%20860%204TB%20Main\Documents\Projects\SDWA\JBCA%20PAPER\Revision%20and%20response%20to%20reviewers\180824%20Arsenic%20&amp;%20Radionuclid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"Enhanced" COI, 3%</a:t>
            </a:r>
          </a:p>
        </c:rich>
      </c:tx>
      <c:layout/>
      <c:overlay val="0"/>
      <c:spPr>
        <a:noFill/>
        <a:ln>
          <a:noFill/>
        </a:ln>
        <a:effectLst/>
      </c:spPr>
    </c:title>
    <c:autoTitleDeleted val="0"/>
    <c:plotArea>
      <c:layout/>
      <c:scatterChart>
        <c:scatterStyle val="lineMarker"/>
        <c:varyColors val="0"/>
        <c:ser>
          <c:idx val="0"/>
          <c:order val="0"/>
          <c:tx>
            <c:v>95th percentile</c:v>
          </c:tx>
          <c:spPr>
            <a:ln w="25400" cap="rnd">
              <a:noFill/>
              <a:round/>
            </a:ln>
            <a:effectLst/>
          </c:spPr>
          <c:marker>
            <c:symbol val="dash"/>
            <c:size val="10"/>
            <c:spPr>
              <a:solidFill>
                <a:schemeClr val="accent1"/>
              </a:solidFill>
              <a:ln w="9525">
                <a:solidFill>
                  <a:schemeClr val="accent1"/>
                </a:solidFill>
              </a:ln>
              <a:effectLst/>
            </c:spPr>
          </c:marker>
          <c:xVal>
            <c:strRef>
              <c:f>GWR!$C$7:$C$8</c:f>
              <c:strCache>
                <c:ptCount val="2"/>
                <c:pt idx="0">
                  <c:v>Benefits</c:v>
                </c:pt>
                <c:pt idx="1">
                  <c:v>Costs</c:v>
                </c:pt>
              </c:strCache>
            </c:strRef>
          </c:xVal>
          <c:yVal>
            <c:numRef>
              <c:f>GWR!$D$7:$D$8</c:f>
              <c:numCache>
                <c:formatCode>General</c:formatCode>
                <c:ptCount val="2"/>
                <c:pt idx="0">
                  <c:v>45.4</c:v>
                </c:pt>
                <c:pt idx="1">
                  <c:v>81.400000000000006</c:v>
                </c:pt>
              </c:numCache>
            </c:numRef>
          </c:yVal>
          <c:smooth val="0"/>
          <c:extLst>
            <c:ext xmlns:c16="http://schemas.microsoft.com/office/drawing/2014/chart" uri="{C3380CC4-5D6E-409C-BE32-E72D297353CC}">
              <c16:uniqueId val="{00000000-5194-AD43-A244-1E46878981DB}"/>
            </c:ext>
          </c:extLst>
        </c:ser>
        <c:ser>
          <c:idx val="1"/>
          <c:order val="1"/>
          <c:tx>
            <c:v>5th percentile</c:v>
          </c:tx>
          <c:spPr>
            <a:ln w="25400" cap="rnd">
              <a:noFill/>
              <a:round/>
            </a:ln>
            <a:effectLst/>
          </c:spPr>
          <c:marker>
            <c:symbol val="dash"/>
            <c:size val="11"/>
            <c:spPr>
              <a:solidFill>
                <a:schemeClr val="accent2"/>
              </a:solidFill>
              <a:ln w="9525">
                <a:solidFill>
                  <a:schemeClr val="accent2"/>
                </a:solidFill>
              </a:ln>
              <a:effectLst/>
            </c:spPr>
          </c:marker>
          <c:xVal>
            <c:strRef>
              <c:f>GWR!$C$7:$C$8</c:f>
              <c:strCache>
                <c:ptCount val="2"/>
                <c:pt idx="0">
                  <c:v>Benefits</c:v>
                </c:pt>
                <c:pt idx="1">
                  <c:v>Costs</c:v>
                </c:pt>
              </c:strCache>
            </c:strRef>
          </c:xVal>
          <c:yVal>
            <c:numRef>
              <c:f>GWR!$F$7:$F$8</c:f>
              <c:numCache>
                <c:formatCode>General</c:formatCode>
                <c:ptCount val="2"/>
                <c:pt idx="0">
                  <c:v>6.5</c:v>
                </c:pt>
                <c:pt idx="1">
                  <c:v>34.200000000000003</c:v>
                </c:pt>
              </c:numCache>
            </c:numRef>
          </c:yVal>
          <c:smooth val="0"/>
          <c:extLst>
            <c:ext xmlns:c16="http://schemas.microsoft.com/office/drawing/2014/chart" uri="{C3380CC4-5D6E-409C-BE32-E72D297353CC}">
              <c16:uniqueId val="{00000001-5194-AD43-A244-1E46878981DB}"/>
            </c:ext>
          </c:extLst>
        </c:ser>
        <c:ser>
          <c:idx val="2"/>
          <c:order val="2"/>
          <c:tx>
            <c:v>Mean</c:v>
          </c:tx>
          <c:spPr>
            <a:ln w="25400" cap="rnd">
              <a:noFill/>
              <a:round/>
            </a:ln>
            <a:effectLst/>
          </c:spPr>
          <c:marker>
            <c:symbol val="x"/>
            <c:size val="5"/>
            <c:spPr>
              <a:noFill/>
              <a:ln w="9525">
                <a:solidFill>
                  <a:schemeClr val="tx1"/>
                </a:solidFill>
              </a:ln>
              <a:effectLst/>
            </c:spPr>
          </c:marker>
          <c:xVal>
            <c:strRef>
              <c:f>GWR!$C$7:$C$8</c:f>
              <c:strCache>
                <c:ptCount val="2"/>
                <c:pt idx="0">
                  <c:v>Benefits</c:v>
                </c:pt>
                <c:pt idx="1">
                  <c:v>Costs</c:v>
                </c:pt>
              </c:strCache>
            </c:strRef>
          </c:xVal>
          <c:yVal>
            <c:numRef>
              <c:f>GWR!$E$7:$E$8</c:f>
              <c:numCache>
                <c:formatCode>General</c:formatCode>
                <c:ptCount val="2"/>
                <c:pt idx="0">
                  <c:v>19.7</c:v>
                </c:pt>
                <c:pt idx="1">
                  <c:v>61.8</c:v>
                </c:pt>
              </c:numCache>
            </c:numRef>
          </c:yVal>
          <c:smooth val="0"/>
          <c:extLst>
            <c:ext xmlns:c16="http://schemas.microsoft.com/office/drawing/2014/chart" uri="{C3380CC4-5D6E-409C-BE32-E72D297353CC}">
              <c16:uniqueId val="{00000002-5194-AD43-A244-1E46878981DB}"/>
            </c:ext>
          </c:extLst>
        </c:ser>
        <c:dLbls>
          <c:showLegendKey val="0"/>
          <c:showVal val="0"/>
          <c:showCatName val="0"/>
          <c:showSerName val="0"/>
          <c:showPercent val="0"/>
          <c:showBubbleSize val="0"/>
        </c:dLbls>
        <c:axId val="252378496"/>
        <c:axId val="253233024"/>
      </c:scatterChart>
      <c:valAx>
        <c:axId val="252378496"/>
        <c:scaling>
          <c:orientation val="minMax"/>
          <c:max val="2.5"/>
          <c:min val="0.5"/>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Benefits                         Costs</a:t>
                </a:r>
              </a:p>
            </c:rich>
          </c:tx>
          <c:layout>
            <c:manualLayout>
              <c:xMode val="edge"/>
              <c:yMode val="edge"/>
              <c:x val="0.25176955563347642"/>
              <c:y val="0.88793963254593178"/>
            </c:manualLayout>
          </c:layout>
          <c:overlay val="0"/>
          <c:spPr>
            <a:noFill/>
            <a:ln>
              <a:noFill/>
            </a:ln>
            <a:effectLst/>
          </c:spPr>
        </c:title>
        <c:numFmt formatCode="General" sourceLinked="1"/>
        <c:majorTickMark val="none"/>
        <c:minorTickMark val="none"/>
        <c:tickLblPos val="none"/>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3233024"/>
        <c:crosses val="autoZero"/>
        <c:crossBetween val="midCat"/>
        <c:majorUnit val="1"/>
      </c:valAx>
      <c:valAx>
        <c:axId val="253233024"/>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Millions/Yr ($2003)</a:t>
                </a:r>
              </a:p>
            </c:rich>
          </c:tx>
          <c:layout/>
          <c:overlay val="0"/>
          <c:spPr>
            <a:noFill/>
            <a:ln>
              <a:noFill/>
            </a:ln>
            <a:effectLst/>
          </c:spPr>
        </c:title>
        <c:numFmt formatCode="&quot;$&quot;#,##0" sourceLinked="0"/>
        <c:majorTickMark val="out"/>
        <c:minorTickMark val="in"/>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2378496"/>
        <c:crosses val="autoZero"/>
        <c:crossBetween val="midCat"/>
        <c:majorUnit val="20"/>
      </c:valAx>
      <c:spPr>
        <a:noFill/>
        <a:ln w="12700">
          <a:solidFill>
            <a:schemeClr val="tx1"/>
          </a:solid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span"/>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"Enhanced" COI, 7%</a:t>
            </a:r>
          </a:p>
        </c:rich>
      </c:tx>
      <c:layout/>
      <c:overlay val="0"/>
      <c:spPr>
        <a:noFill/>
        <a:ln>
          <a:noFill/>
        </a:ln>
        <a:effectLst/>
      </c:spPr>
    </c:title>
    <c:autoTitleDeleted val="0"/>
    <c:plotArea>
      <c:layout/>
      <c:scatterChart>
        <c:scatterStyle val="lineMarker"/>
        <c:varyColors val="0"/>
        <c:ser>
          <c:idx val="0"/>
          <c:order val="0"/>
          <c:tx>
            <c:v>95th percentile</c:v>
          </c:tx>
          <c:spPr>
            <a:ln w="25400" cap="rnd">
              <a:noFill/>
              <a:round/>
            </a:ln>
            <a:effectLst/>
          </c:spPr>
          <c:marker>
            <c:symbol val="dash"/>
            <c:size val="10"/>
            <c:spPr>
              <a:solidFill>
                <a:schemeClr val="accent1"/>
              </a:solidFill>
              <a:ln w="9525">
                <a:solidFill>
                  <a:schemeClr val="accent1"/>
                </a:solidFill>
              </a:ln>
              <a:effectLst/>
            </c:spPr>
          </c:marker>
          <c:xVal>
            <c:strRef>
              <c:f>GWR!$C$9:$C$10</c:f>
              <c:strCache>
                <c:ptCount val="2"/>
                <c:pt idx="0">
                  <c:v>Benefits</c:v>
                </c:pt>
                <c:pt idx="1">
                  <c:v>Costs</c:v>
                </c:pt>
              </c:strCache>
            </c:strRef>
          </c:xVal>
          <c:yVal>
            <c:numRef>
              <c:f>GWR!$D$9:$D$195</c:f>
              <c:numCache>
                <c:formatCode>General</c:formatCode>
                <c:ptCount val="187"/>
                <c:pt idx="0">
                  <c:v>38.6</c:v>
                </c:pt>
                <c:pt idx="1">
                  <c:v>81.599999999999994</c:v>
                </c:pt>
                <c:pt idx="8">
                  <c:v>0</c:v>
                </c:pt>
                <c:pt idx="9" formatCode="0.0">
                  <c:v>27</c:v>
                </c:pt>
                <c:pt idx="10" formatCode="0.0">
                  <c:v>81.400000000000006</c:v>
                </c:pt>
                <c:pt idx="11" formatCode="0.0">
                  <c:v>22.9</c:v>
                </c:pt>
                <c:pt idx="12" formatCode="0.0">
                  <c:v>81.599999999999994</c:v>
                </c:pt>
                <c:pt idx="22">
                  <c:v>0</c:v>
                </c:pt>
                <c:pt idx="25">
                  <c:v>0</c:v>
                </c:pt>
                <c:pt idx="26">
                  <c:v>9.3000000000000007</c:v>
                </c:pt>
                <c:pt idx="27">
                  <c:v>19.2</c:v>
                </c:pt>
                <c:pt idx="28">
                  <c:v>7.5</c:v>
                </c:pt>
                <c:pt idx="29">
                  <c:v>19.2</c:v>
                </c:pt>
                <c:pt idx="36">
                  <c:v>0</c:v>
                </c:pt>
                <c:pt idx="37" formatCode="0.0">
                  <c:v>5.5</c:v>
                </c:pt>
                <c:pt idx="38">
                  <c:v>19.2</c:v>
                </c:pt>
                <c:pt idx="39" formatCode="0.0">
                  <c:v>4.5</c:v>
                </c:pt>
                <c:pt idx="40" formatCode="0.0">
                  <c:v>19</c:v>
                </c:pt>
                <c:pt idx="52">
                  <c:v>0</c:v>
                </c:pt>
                <c:pt idx="55">
                  <c:v>0</c:v>
                </c:pt>
                <c:pt idx="56" formatCode="0.0">
                  <c:v>48.7</c:v>
                </c:pt>
                <c:pt idx="57" formatCode="0.0">
                  <c:v>89.5</c:v>
                </c:pt>
                <c:pt idx="58" formatCode="0.0">
                  <c:v>41.6</c:v>
                </c:pt>
                <c:pt idx="59" formatCode="0.0">
                  <c:v>90.6</c:v>
                </c:pt>
                <c:pt idx="66">
                  <c:v>0</c:v>
                </c:pt>
                <c:pt idx="67" formatCode="0.0">
                  <c:v>28.9</c:v>
                </c:pt>
                <c:pt idx="68" formatCode="0.0">
                  <c:v>90.6</c:v>
                </c:pt>
                <c:pt idx="69" formatCode="0.0">
                  <c:v>24.8</c:v>
                </c:pt>
                <c:pt idx="70" formatCode="0.0">
                  <c:v>90.6</c:v>
                </c:pt>
                <c:pt idx="83">
                  <c:v>0</c:v>
                </c:pt>
                <c:pt idx="86">
                  <c:v>0</c:v>
                </c:pt>
                <c:pt idx="87" formatCode="0.0">
                  <c:v>102.4</c:v>
                </c:pt>
                <c:pt idx="88" formatCode="0.0">
                  <c:v>735.4</c:v>
                </c:pt>
                <c:pt idx="89" formatCode="0.0">
                  <c:v>90.8</c:v>
                </c:pt>
                <c:pt idx="90" formatCode="0.0">
                  <c:v>735.4</c:v>
                </c:pt>
                <c:pt idx="97">
                  <c:v>0</c:v>
                </c:pt>
                <c:pt idx="98" formatCode="0.0">
                  <c:v>18.3</c:v>
                </c:pt>
                <c:pt idx="99" formatCode="0.0">
                  <c:v>735.4</c:v>
                </c:pt>
                <c:pt idx="100" formatCode="0.0">
                  <c:v>16.100000000000001</c:v>
                </c:pt>
                <c:pt idx="101" formatCode="0.0">
                  <c:v>735.4</c:v>
                </c:pt>
              </c:numCache>
            </c:numRef>
          </c:yVal>
          <c:smooth val="0"/>
          <c:extLst>
            <c:ext xmlns:c16="http://schemas.microsoft.com/office/drawing/2014/chart" uri="{C3380CC4-5D6E-409C-BE32-E72D297353CC}">
              <c16:uniqueId val="{00000000-826A-4340-82F2-9FDC10E2F511}"/>
            </c:ext>
          </c:extLst>
        </c:ser>
        <c:ser>
          <c:idx val="1"/>
          <c:order val="1"/>
          <c:tx>
            <c:v>5th percentile</c:v>
          </c:tx>
          <c:spPr>
            <a:ln w="25400" cap="rnd">
              <a:noFill/>
              <a:round/>
            </a:ln>
            <a:effectLst/>
          </c:spPr>
          <c:marker>
            <c:symbol val="dash"/>
            <c:size val="11"/>
            <c:spPr>
              <a:solidFill>
                <a:schemeClr val="accent2"/>
              </a:solidFill>
              <a:ln w="9525">
                <a:solidFill>
                  <a:schemeClr val="accent2"/>
                </a:solidFill>
              </a:ln>
              <a:effectLst/>
            </c:spPr>
          </c:marker>
          <c:xVal>
            <c:strRef>
              <c:f>GWR!$C$9:$C$10</c:f>
              <c:strCache>
                <c:ptCount val="2"/>
                <c:pt idx="0">
                  <c:v>Benefits</c:v>
                </c:pt>
                <c:pt idx="1">
                  <c:v>Costs</c:v>
                </c:pt>
              </c:strCache>
            </c:strRef>
          </c:xVal>
          <c:yVal>
            <c:numRef>
              <c:f>GWR!$F$9:$F$10</c:f>
              <c:numCache>
                <c:formatCode>General</c:formatCode>
                <c:ptCount val="2"/>
                <c:pt idx="0">
                  <c:v>5.5</c:v>
                </c:pt>
                <c:pt idx="1">
                  <c:v>46.1</c:v>
                </c:pt>
              </c:numCache>
            </c:numRef>
          </c:yVal>
          <c:smooth val="0"/>
          <c:extLst>
            <c:ext xmlns:c16="http://schemas.microsoft.com/office/drawing/2014/chart" uri="{C3380CC4-5D6E-409C-BE32-E72D297353CC}">
              <c16:uniqueId val="{00000001-826A-4340-82F2-9FDC10E2F511}"/>
            </c:ext>
          </c:extLst>
        </c:ser>
        <c:ser>
          <c:idx val="2"/>
          <c:order val="2"/>
          <c:tx>
            <c:v>Mean</c:v>
          </c:tx>
          <c:spPr>
            <a:ln w="25400" cap="rnd">
              <a:noFill/>
              <a:round/>
            </a:ln>
            <a:effectLst/>
          </c:spPr>
          <c:marker>
            <c:symbol val="x"/>
            <c:size val="5"/>
            <c:spPr>
              <a:noFill/>
              <a:ln w="9525">
                <a:solidFill>
                  <a:schemeClr val="tx1"/>
                </a:solidFill>
              </a:ln>
              <a:effectLst/>
            </c:spPr>
          </c:marker>
          <c:xVal>
            <c:strRef>
              <c:f>GWR!$C$9:$C$10</c:f>
              <c:strCache>
                <c:ptCount val="2"/>
                <c:pt idx="0">
                  <c:v>Benefits</c:v>
                </c:pt>
                <c:pt idx="1">
                  <c:v>Costs</c:v>
                </c:pt>
              </c:strCache>
            </c:strRef>
          </c:xVal>
          <c:yVal>
            <c:numRef>
              <c:f>GWR!$E$9:$E$10</c:f>
              <c:numCache>
                <c:formatCode>General</c:formatCode>
                <c:ptCount val="2"/>
                <c:pt idx="0">
                  <c:v>16.8</c:v>
                </c:pt>
                <c:pt idx="1">
                  <c:v>62.3</c:v>
                </c:pt>
              </c:numCache>
            </c:numRef>
          </c:yVal>
          <c:smooth val="0"/>
          <c:extLst>
            <c:ext xmlns:c16="http://schemas.microsoft.com/office/drawing/2014/chart" uri="{C3380CC4-5D6E-409C-BE32-E72D297353CC}">
              <c16:uniqueId val="{00000002-826A-4340-82F2-9FDC10E2F511}"/>
            </c:ext>
          </c:extLst>
        </c:ser>
        <c:dLbls>
          <c:showLegendKey val="0"/>
          <c:showVal val="0"/>
          <c:showCatName val="0"/>
          <c:showSerName val="0"/>
          <c:showPercent val="0"/>
          <c:showBubbleSize val="0"/>
        </c:dLbls>
        <c:axId val="253285120"/>
        <c:axId val="253287424"/>
      </c:scatterChart>
      <c:valAx>
        <c:axId val="253285120"/>
        <c:scaling>
          <c:orientation val="minMax"/>
          <c:max val="2.5"/>
          <c:min val="0.5"/>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Benefits                         Costs</a:t>
                </a:r>
              </a:p>
            </c:rich>
          </c:tx>
          <c:layout>
            <c:manualLayout>
              <c:xMode val="edge"/>
              <c:yMode val="edge"/>
              <c:x val="0.25176955563347642"/>
              <c:y val="0.88793963254593178"/>
            </c:manualLayout>
          </c:layout>
          <c:overlay val="0"/>
          <c:spPr>
            <a:noFill/>
            <a:ln>
              <a:noFill/>
            </a:ln>
            <a:effectLst/>
          </c:spPr>
        </c:title>
        <c:numFmt formatCode="General" sourceLinked="1"/>
        <c:majorTickMark val="none"/>
        <c:minorTickMark val="none"/>
        <c:tickLblPos val="none"/>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3287424"/>
        <c:crosses val="autoZero"/>
        <c:crossBetween val="midCat"/>
        <c:majorUnit val="1"/>
      </c:valAx>
      <c:valAx>
        <c:axId val="253287424"/>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Millions/Yr $2003)</a:t>
                </a:r>
              </a:p>
            </c:rich>
          </c:tx>
          <c:layout/>
          <c:overlay val="0"/>
          <c:spPr>
            <a:noFill/>
            <a:ln>
              <a:noFill/>
            </a:ln>
            <a:effectLst/>
          </c:spPr>
        </c:title>
        <c:numFmt formatCode="&quot;$&quot;#,##0" sourceLinked="0"/>
        <c:majorTickMark val="out"/>
        <c:minorTickMark val="in"/>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3285120"/>
        <c:crosses val="autoZero"/>
        <c:crossBetween val="midCat"/>
        <c:majorUnit val="20"/>
      </c:valAx>
      <c:spPr>
        <a:noFill/>
        <a:ln w="12700">
          <a:solidFill>
            <a:schemeClr val="tx1"/>
          </a:solid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span"/>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"Traditional"</a:t>
            </a:r>
            <a:r>
              <a:rPr lang="en-US" baseline="0"/>
              <a:t> COI, </a:t>
            </a:r>
            <a:r>
              <a:rPr lang="en-US"/>
              <a:t>3%</a:t>
            </a:r>
          </a:p>
        </c:rich>
      </c:tx>
      <c:layout/>
      <c:overlay val="0"/>
      <c:spPr>
        <a:noFill/>
        <a:ln>
          <a:noFill/>
        </a:ln>
        <a:effectLst/>
      </c:spPr>
    </c:title>
    <c:autoTitleDeleted val="0"/>
    <c:plotArea>
      <c:layout/>
      <c:scatterChart>
        <c:scatterStyle val="lineMarker"/>
        <c:varyColors val="0"/>
        <c:ser>
          <c:idx val="0"/>
          <c:order val="0"/>
          <c:tx>
            <c:v>95th percentile</c:v>
          </c:tx>
          <c:spPr>
            <a:ln w="25400" cap="rnd">
              <a:noFill/>
              <a:round/>
            </a:ln>
            <a:effectLst/>
          </c:spPr>
          <c:marker>
            <c:symbol val="dash"/>
            <c:size val="10"/>
            <c:spPr>
              <a:solidFill>
                <a:schemeClr val="accent1"/>
              </a:solidFill>
              <a:ln w="9525">
                <a:solidFill>
                  <a:schemeClr val="accent1"/>
                </a:solidFill>
              </a:ln>
              <a:effectLst/>
            </c:spPr>
          </c:marker>
          <c:xVal>
            <c:strRef>
              <c:f>GWR!$C$18:$C$19</c:f>
              <c:strCache>
                <c:ptCount val="2"/>
                <c:pt idx="0">
                  <c:v>Benefits</c:v>
                </c:pt>
                <c:pt idx="1">
                  <c:v>Costs</c:v>
                </c:pt>
              </c:strCache>
            </c:strRef>
          </c:xVal>
          <c:yVal>
            <c:numRef>
              <c:f>GWR!$D$18:$D$19</c:f>
              <c:numCache>
                <c:formatCode>0.0</c:formatCode>
                <c:ptCount val="2"/>
                <c:pt idx="0">
                  <c:v>27</c:v>
                </c:pt>
                <c:pt idx="1">
                  <c:v>81.400000000000006</c:v>
                </c:pt>
              </c:numCache>
            </c:numRef>
          </c:yVal>
          <c:smooth val="0"/>
          <c:extLst>
            <c:ext xmlns:c16="http://schemas.microsoft.com/office/drawing/2014/chart" uri="{C3380CC4-5D6E-409C-BE32-E72D297353CC}">
              <c16:uniqueId val="{00000000-71D8-264A-913A-41D4A9DEF5B9}"/>
            </c:ext>
          </c:extLst>
        </c:ser>
        <c:ser>
          <c:idx val="1"/>
          <c:order val="1"/>
          <c:tx>
            <c:v>5th percentile</c:v>
          </c:tx>
          <c:spPr>
            <a:ln w="25400" cap="rnd">
              <a:noFill/>
              <a:round/>
            </a:ln>
            <a:effectLst/>
          </c:spPr>
          <c:marker>
            <c:symbol val="dash"/>
            <c:size val="11"/>
            <c:spPr>
              <a:solidFill>
                <a:schemeClr val="accent2"/>
              </a:solidFill>
              <a:ln w="9525">
                <a:solidFill>
                  <a:schemeClr val="accent2"/>
                </a:solidFill>
              </a:ln>
              <a:effectLst/>
            </c:spPr>
          </c:marker>
          <c:xVal>
            <c:strRef>
              <c:f>GWR!$C$18:$C$19</c:f>
              <c:strCache>
                <c:ptCount val="2"/>
                <c:pt idx="0">
                  <c:v>Benefits</c:v>
                </c:pt>
                <c:pt idx="1">
                  <c:v>Costs</c:v>
                </c:pt>
              </c:strCache>
            </c:strRef>
          </c:xVal>
          <c:yVal>
            <c:numRef>
              <c:f>GWR!$F$18:$F$19</c:f>
              <c:numCache>
                <c:formatCode>0.0</c:formatCode>
                <c:ptCount val="2"/>
                <c:pt idx="0">
                  <c:v>2.2000000000000002</c:v>
                </c:pt>
                <c:pt idx="1">
                  <c:v>34.200000000000003</c:v>
                </c:pt>
              </c:numCache>
            </c:numRef>
          </c:yVal>
          <c:smooth val="0"/>
          <c:extLst>
            <c:ext xmlns:c16="http://schemas.microsoft.com/office/drawing/2014/chart" uri="{C3380CC4-5D6E-409C-BE32-E72D297353CC}">
              <c16:uniqueId val="{00000001-71D8-264A-913A-41D4A9DEF5B9}"/>
            </c:ext>
          </c:extLst>
        </c:ser>
        <c:ser>
          <c:idx val="2"/>
          <c:order val="2"/>
          <c:tx>
            <c:v>Mean</c:v>
          </c:tx>
          <c:spPr>
            <a:ln w="25400" cap="rnd">
              <a:noFill/>
              <a:round/>
            </a:ln>
            <a:effectLst/>
          </c:spPr>
          <c:marker>
            <c:symbol val="x"/>
            <c:size val="5"/>
            <c:spPr>
              <a:noFill/>
              <a:ln w="9525">
                <a:solidFill>
                  <a:schemeClr val="tx1"/>
                </a:solidFill>
              </a:ln>
              <a:effectLst/>
            </c:spPr>
          </c:marker>
          <c:xVal>
            <c:strRef>
              <c:f>GWR!$C$18:$C$19</c:f>
              <c:strCache>
                <c:ptCount val="2"/>
                <c:pt idx="0">
                  <c:v>Benefits</c:v>
                </c:pt>
                <c:pt idx="1">
                  <c:v>Costs</c:v>
                </c:pt>
              </c:strCache>
            </c:strRef>
          </c:xVal>
          <c:yVal>
            <c:numRef>
              <c:f>GWR!$E$18:$E$19</c:f>
              <c:numCache>
                <c:formatCode>0.0</c:formatCode>
                <c:ptCount val="2"/>
                <c:pt idx="0">
                  <c:v>10</c:v>
                </c:pt>
                <c:pt idx="1">
                  <c:v>61.8</c:v>
                </c:pt>
              </c:numCache>
            </c:numRef>
          </c:yVal>
          <c:smooth val="0"/>
          <c:extLst>
            <c:ext xmlns:c16="http://schemas.microsoft.com/office/drawing/2014/chart" uri="{C3380CC4-5D6E-409C-BE32-E72D297353CC}">
              <c16:uniqueId val="{00000002-71D8-264A-913A-41D4A9DEF5B9}"/>
            </c:ext>
          </c:extLst>
        </c:ser>
        <c:dLbls>
          <c:showLegendKey val="0"/>
          <c:showVal val="0"/>
          <c:showCatName val="0"/>
          <c:showSerName val="0"/>
          <c:showPercent val="0"/>
          <c:showBubbleSize val="0"/>
        </c:dLbls>
        <c:axId val="253306752"/>
        <c:axId val="253317504"/>
      </c:scatterChart>
      <c:valAx>
        <c:axId val="253306752"/>
        <c:scaling>
          <c:orientation val="minMax"/>
          <c:max val="2.5"/>
          <c:min val="0.5"/>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Benefits                         Costs</a:t>
                </a:r>
              </a:p>
            </c:rich>
          </c:tx>
          <c:layout>
            <c:manualLayout>
              <c:xMode val="edge"/>
              <c:yMode val="edge"/>
              <c:x val="0.25176955563347642"/>
              <c:y val="0.88793963254593178"/>
            </c:manualLayout>
          </c:layout>
          <c:overlay val="0"/>
          <c:spPr>
            <a:noFill/>
            <a:ln>
              <a:noFill/>
            </a:ln>
            <a:effectLst/>
          </c:spPr>
        </c:title>
        <c:numFmt formatCode="General" sourceLinked="1"/>
        <c:majorTickMark val="none"/>
        <c:minorTickMark val="none"/>
        <c:tickLblPos val="none"/>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3317504"/>
        <c:crosses val="autoZero"/>
        <c:crossBetween val="midCat"/>
        <c:majorUnit val="1"/>
      </c:valAx>
      <c:valAx>
        <c:axId val="253317504"/>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Millions/Yr ($2003)</a:t>
                </a:r>
              </a:p>
            </c:rich>
          </c:tx>
          <c:layout/>
          <c:overlay val="0"/>
          <c:spPr>
            <a:noFill/>
            <a:ln>
              <a:noFill/>
            </a:ln>
            <a:effectLst/>
          </c:spPr>
        </c:title>
        <c:numFmt formatCode="&quot;$&quot;#,##0" sourceLinked="0"/>
        <c:majorTickMark val="out"/>
        <c:minorTickMark val="in"/>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3306752"/>
        <c:crosses val="autoZero"/>
        <c:crossBetween val="midCat"/>
        <c:majorUnit val="20"/>
      </c:valAx>
      <c:spPr>
        <a:noFill/>
        <a:ln w="12700">
          <a:solidFill>
            <a:schemeClr val="tx1"/>
          </a:solid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span"/>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"Traditional" COI, 7%</a:t>
            </a:r>
          </a:p>
        </c:rich>
      </c:tx>
      <c:layout/>
      <c:overlay val="0"/>
      <c:spPr>
        <a:noFill/>
        <a:ln>
          <a:noFill/>
        </a:ln>
        <a:effectLst/>
      </c:spPr>
    </c:title>
    <c:autoTitleDeleted val="0"/>
    <c:plotArea>
      <c:layout/>
      <c:scatterChart>
        <c:scatterStyle val="lineMarker"/>
        <c:varyColors val="0"/>
        <c:ser>
          <c:idx val="0"/>
          <c:order val="0"/>
          <c:tx>
            <c:v>95th percentile</c:v>
          </c:tx>
          <c:spPr>
            <a:ln w="25400" cap="rnd">
              <a:noFill/>
              <a:round/>
            </a:ln>
            <a:effectLst/>
          </c:spPr>
          <c:marker>
            <c:symbol val="dash"/>
            <c:size val="10"/>
            <c:spPr>
              <a:solidFill>
                <a:schemeClr val="accent1"/>
              </a:solidFill>
              <a:ln w="9525">
                <a:solidFill>
                  <a:schemeClr val="accent1"/>
                </a:solidFill>
              </a:ln>
              <a:effectLst/>
            </c:spPr>
          </c:marker>
          <c:xVal>
            <c:strRef>
              <c:f>GWR!$C$20:$C$21</c:f>
              <c:strCache>
                <c:ptCount val="2"/>
                <c:pt idx="0">
                  <c:v>Benefits</c:v>
                </c:pt>
                <c:pt idx="1">
                  <c:v>Costs</c:v>
                </c:pt>
              </c:strCache>
            </c:strRef>
          </c:xVal>
          <c:yVal>
            <c:numRef>
              <c:f>GWR!$D$20:$D$21</c:f>
              <c:numCache>
                <c:formatCode>0.0</c:formatCode>
                <c:ptCount val="2"/>
                <c:pt idx="0">
                  <c:v>22.9</c:v>
                </c:pt>
                <c:pt idx="1">
                  <c:v>81.599999999999994</c:v>
                </c:pt>
              </c:numCache>
            </c:numRef>
          </c:yVal>
          <c:smooth val="0"/>
          <c:extLst>
            <c:ext xmlns:c16="http://schemas.microsoft.com/office/drawing/2014/chart" uri="{C3380CC4-5D6E-409C-BE32-E72D297353CC}">
              <c16:uniqueId val="{00000000-D2B4-1949-8322-E71FC9CA56FF}"/>
            </c:ext>
          </c:extLst>
        </c:ser>
        <c:ser>
          <c:idx val="1"/>
          <c:order val="1"/>
          <c:tx>
            <c:v>5th percentile</c:v>
          </c:tx>
          <c:spPr>
            <a:ln w="25400" cap="rnd">
              <a:noFill/>
              <a:round/>
            </a:ln>
            <a:effectLst/>
          </c:spPr>
          <c:marker>
            <c:symbol val="dash"/>
            <c:size val="11"/>
            <c:spPr>
              <a:solidFill>
                <a:schemeClr val="accent2"/>
              </a:solidFill>
              <a:ln w="9525">
                <a:solidFill>
                  <a:schemeClr val="accent2"/>
                </a:solidFill>
              </a:ln>
              <a:effectLst/>
            </c:spPr>
          </c:marker>
          <c:xVal>
            <c:strRef>
              <c:f>GWR!$C$20:$C$21</c:f>
              <c:strCache>
                <c:ptCount val="2"/>
                <c:pt idx="0">
                  <c:v>Benefits</c:v>
                </c:pt>
                <c:pt idx="1">
                  <c:v>Costs</c:v>
                </c:pt>
              </c:strCache>
            </c:strRef>
          </c:xVal>
          <c:yVal>
            <c:numRef>
              <c:f>GWR!$F$20:$F$21</c:f>
              <c:numCache>
                <c:formatCode>0.0</c:formatCode>
                <c:ptCount val="2"/>
                <c:pt idx="0">
                  <c:v>1.9</c:v>
                </c:pt>
                <c:pt idx="1">
                  <c:v>46.1</c:v>
                </c:pt>
              </c:numCache>
            </c:numRef>
          </c:yVal>
          <c:smooth val="0"/>
          <c:extLst>
            <c:ext xmlns:c16="http://schemas.microsoft.com/office/drawing/2014/chart" uri="{C3380CC4-5D6E-409C-BE32-E72D297353CC}">
              <c16:uniqueId val="{00000001-D2B4-1949-8322-E71FC9CA56FF}"/>
            </c:ext>
          </c:extLst>
        </c:ser>
        <c:ser>
          <c:idx val="2"/>
          <c:order val="2"/>
          <c:tx>
            <c:v>Mean</c:v>
          </c:tx>
          <c:spPr>
            <a:ln w="25400" cap="rnd">
              <a:noFill/>
              <a:round/>
            </a:ln>
            <a:effectLst/>
          </c:spPr>
          <c:marker>
            <c:symbol val="x"/>
            <c:size val="5"/>
            <c:spPr>
              <a:noFill/>
              <a:ln w="9525">
                <a:solidFill>
                  <a:schemeClr val="tx1"/>
                </a:solidFill>
              </a:ln>
              <a:effectLst/>
            </c:spPr>
          </c:marker>
          <c:xVal>
            <c:strRef>
              <c:f>GWR!$C$20:$C$21</c:f>
              <c:strCache>
                <c:ptCount val="2"/>
                <c:pt idx="0">
                  <c:v>Benefits</c:v>
                </c:pt>
                <c:pt idx="1">
                  <c:v>Costs</c:v>
                </c:pt>
              </c:strCache>
            </c:strRef>
          </c:xVal>
          <c:yVal>
            <c:numRef>
              <c:f>GWR!$E$20:$E$21</c:f>
              <c:numCache>
                <c:formatCode>0.0</c:formatCode>
                <c:ptCount val="2"/>
                <c:pt idx="0">
                  <c:v>8.6</c:v>
                </c:pt>
                <c:pt idx="1">
                  <c:v>62.3</c:v>
                </c:pt>
              </c:numCache>
            </c:numRef>
          </c:yVal>
          <c:smooth val="0"/>
          <c:extLst>
            <c:ext xmlns:c16="http://schemas.microsoft.com/office/drawing/2014/chart" uri="{C3380CC4-5D6E-409C-BE32-E72D297353CC}">
              <c16:uniqueId val="{00000002-D2B4-1949-8322-E71FC9CA56FF}"/>
            </c:ext>
          </c:extLst>
        </c:ser>
        <c:dLbls>
          <c:showLegendKey val="0"/>
          <c:showVal val="0"/>
          <c:showCatName val="0"/>
          <c:showSerName val="0"/>
          <c:showPercent val="0"/>
          <c:showBubbleSize val="0"/>
        </c:dLbls>
        <c:axId val="255147008"/>
        <c:axId val="255153664"/>
      </c:scatterChart>
      <c:valAx>
        <c:axId val="255147008"/>
        <c:scaling>
          <c:orientation val="minMax"/>
          <c:max val="2.5"/>
          <c:min val="0.5"/>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Benefits                         Costs</a:t>
                </a:r>
              </a:p>
            </c:rich>
          </c:tx>
          <c:layout>
            <c:manualLayout>
              <c:xMode val="edge"/>
              <c:yMode val="edge"/>
              <c:x val="0.25176955563347642"/>
              <c:y val="0.88793963254593178"/>
            </c:manualLayout>
          </c:layout>
          <c:overlay val="0"/>
          <c:spPr>
            <a:noFill/>
            <a:ln>
              <a:noFill/>
            </a:ln>
            <a:effectLst/>
          </c:spPr>
        </c:title>
        <c:numFmt formatCode="General" sourceLinked="1"/>
        <c:majorTickMark val="none"/>
        <c:minorTickMark val="none"/>
        <c:tickLblPos val="none"/>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5153664"/>
        <c:crosses val="autoZero"/>
        <c:crossBetween val="midCat"/>
        <c:majorUnit val="1"/>
      </c:valAx>
      <c:valAx>
        <c:axId val="255153664"/>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Millions/Yr ($2003)</a:t>
                </a:r>
              </a:p>
            </c:rich>
          </c:tx>
          <c:layout/>
          <c:overlay val="0"/>
          <c:spPr>
            <a:noFill/>
            <a:ln>
              <a:noFill/>
            </a:ln>
            <a:effectLst/>
          </c:spPr>
        </c:title>
        <c:numFmt formatCode="&quot;$&quot;#,##0" sourceLinked="0"/>
        <c:majorTickMark val="out"/>
        <c:minorTickMark val="in"/>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5147008"/>
        <c:crosses val="autoZero"/>
        <c:crossBetween val="midCat"/>
        <c:majorUnit val="20"/>
      </c:valAx>
      <c:spPr>
        <a:noFill/>
        <a:ln w="12700">
          <a:solidFill>
            <a:schemeClr val="tx1"/>
          </a:solid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span"/>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Cases</c:v>
          </c:tx>
          <c:spPr>
            <a:ln w="28575" cap="rnd">
              <a:solidFill>
                <a:schemeClr val="accent1"/>
              </a:solidFill>
              <a:round/>
            </a:ln>
            <a:effectLst/>
          </c:spPr>
          <c:marker>
            <c:symbol val="none"/>
          </c:marker>
          <c:cat>
            <c:numRef>
              <c:f>'1999-2017 Crypto'!$B$4:$B$25</c:f>
              <c:numCache>
                <c:formatCode>General</c:formatCode>
                <c:ptCount val="22"/>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numCache>
            </c:numRef>
          </c:cat>
          <c:val>
            <c:numRef>
              <c:f>'1999-2017 Crypto'!$G$4:$G$25</c:f>
              <c:numCache>
                <c:formatCode>_(* #,##0_);_(* \(#,##0\);_(* "-"??_);_(@_)</c:formatCode>
                <c:ptCount val="22"/>
                <c:pt idx="1">
                  <c:v>1963</c:v>
                </c:pt>
                <c:pt idx="2">
                  <c:v>3111</c:v>
                </c:pt>
                <c:pt idx="3">
                  <c:v>2379</c:v>
                </c:pt>
                <c:pt idx="4">
                  <c:v>3128</c:v>
                </c:pt>
                <c:pt idx="5">
                  <c:v>3496</c:v>
                </c:pt>
                <c:pt idx="6">
                  <c:v>2759</c:v>
                </c:pt>
                <c:pt idx="7">
                  <c:v>3406</c:v>
                </c:pt>
                <c:pt idx="8">
                  <c:v>3372</c:v>
                </c:pt>
                <c:pt idx="9">
                  <c:v>5140</c:v>
                </c:pt>
                <c:pt idx="10">
                  <c:v>8271</c:v>
                </c:pt>
                <c:pt idx="11">
                  <c:v>11170</c:v>
                </c:pt>
                <c:pt idx="12">
                  <c:v>7659</c:v>
                </c:pt>
                <c:pt idx="13">
                  <c:v>7393</c:v>
                </c:pt>
                <c:pt idx="14">
                  <c:v>7476</c:v>
                </c:pt>
                <c:pt idx="15">
                  <c:v>9250</c:v>
                </c:pt>
                <c:pt idx="16">
                  <c:v>7034</c:v>
                </c:pt>
                <c:pt idx="17">
                  <c:v>9056</c:v>
                </c:pt>
                <c:pt idx="18">
                  <c:v>7717</c:v>
                </c:pt>
                <c:pt idx="19">
                  <c:v>9735</c:v>
                </c:pt>
                <c:pt idx="20">
                  <c:v>13453</c:v>
                </c:pt>
                <c:pt idx="21">
                  <c:v>11414</c:v>
                </c:pt>
              </c:numCache>
            </c:numRef>
          </c:val>
          <c:smooth val="0"/>
          <c:extLst>
            <c:ext xmlns:c16="http://schemas.microsoft.com/office/drawing/2014/chart" uri="{C3380CC4-5D6E-409C-BE32-E72D297353CC}">
              <c16:uniqueId val="{00000000-C1BC-D048-8204-8D03677D3C08}"/>
            </c:ext>
          </c:extLst>
        </c:ser>
        <c:dLbls>
          <c:showLegendKey val="0"/>
          <c:showVal val="0"/>
          <c:showCatName val="0"/>
          <c:showSerName val="0"/>
          <c:showPercent val="0"/>
          <c:showBubbleSize val="0"/>
        </c:dLbls>
        <c:marker val="1"/>
        <c:smooth val="0"/>
        <c:axId val="255183104"/>
        <c:axId val="255189760"/>
      </c:lineChart>
      <c:lineChart>
        <c:grouping val="standard"/>
        <c:varyColors val="0"/>
        <c:ser>
          <c:idx val="1"/>
          <c:order val="1"/>
          <c:tx>
            <c:v>Deaths</c:v>
          </c:tx>
          <c:spPr>
            <a:ln w="25400" cap="rnd">
              <a:noFill/>
              <a:round/>
            </a:ln>
            <a:effectLst/>
          </c:spPr>
          <c:marker>
            <c:symbol val="circle"/>
            <c:size val="5"/>
            <c:spPr>
              <a:solidFill>
                <a:srgbClr val="FF0000"/>
              </a:solidFill>
              <a:ln w="9525">
                <a:solidFill>
                  <a:srgbClr val="FF0000"/>
                </a:solidFill>
              </a:ln>
              <a:effectLst/>
            </c:spPr>
          </c:marker>
          <c:cat>
            <c:numRef>
              <c:f>'1999-2017 Crypto'!$B$4:$B$25</c:f>
              <c:numCache>
                <c:formatCode>General</c:formatCode>
                <c:ptCount val="22"/>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numCache>
            </c:numRef>
          </c:cat>
          <c:val>
            <c:numRef>
              <c:f>'1999-2017 Crypto'!$D$4:$D$25</c:f>
              <c:numCache>
                <c:formatCode>General</c:formatCode>
                <c:ptCount val="22"/>
                <c:pt idx="3">
                  <c:v>0</c:v>
                </c:pt>
                <c:pt idx="4">
                  <c:v>1</c:v>
                </c:pt>
                <c:pt idx="5">
                  <c:v>0</c:v>
                </c:pt>
                <c:pt idx="6">
                  <c:v>1</c:v>
                </c:pt>
                <c:pt idx="7">
                  <c:v>0</c:v>
                </c:pt>
                <c:pt idx="8">
                  <c:v>1</c:v>
                </c:pt>
                <c:pt idx="9">
                  <c:v>2</c:v>
                </c:pt>
                <c:pt idx="10">
                  <c:v>2</c:v>
                </c:pt>
                <c:pt idx="11">
                  <c:v>2</c:v>
                </c:pt>
                <c:pt idx="12">
                  <c:v>3</c:v>
                </c:pt>
                <c:pt idx="13">
                  <c:v>2</c:v>
                </c:pt>
                <c:pt idx="14">
                  <c:v>4</c:v>
                </c:pt>
                <c:pt idx="15">
                  <c:v>4</c:v>
                </c:pt>
                <c:pt idx="16">
                  <c:v>2</c:v>
                </c:pt>
                <c:pt idx="17">
                  <c:v>0</c:v>
                </c:pt>
                <c:pt idx="18">
                  <c:v>1</c:v>
                </c:pt>
                <c:pt idx="19">
                  <c:v>1</c:v>
                </c:pt>
                <c:pt idx="20">
                  <c:v>2</c:v>
                </c:pt>
                <c:pt idx="21">
                  <c:v>5</c:v>
                </c:pt>
              </c:numCache>
            </c:numRef>
          </c:val>
          <c:smooth val="0"/>
          <c:extLst>
            <c:ext xmlns:c16="http://schemas.microsoft.com/office/drawing/2014/chart" uri="{C3380CC4-5D6E-409C-BE32-E72D297353CC}">
              <c16:uniqueId val="{00000001-C1BC-D048-8204-8D03677D3C08}"/>
            </c:ext>
          </c:extLst>
        </c:ser>
        <c:dLbls>
          <c:showLegendKey val="0"/>
          <c:showVal val="0"/>
          <c:showCatName val="0"/>
          <c:showSerName val="0"/>
          <c:showPercent val="0"/>
          <c:showBubbleSize val="0"/>
        </c:dLbls>
        <c:marker val="1"/>
        <c:smooth val="0"/>
        <c:axId val="255193856"/>
        <c:axId val="255191680"/>
      </c:lineChart>
      <c:catAx>
        <c:axId val="25518310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layout/>
          <c:overlay val="0"/>
          <c:spPr>
            <a:noFill/>
            <a:ln>
              <a:noFill/>
            </a:ln>
            <a:effectLst/>
          </c:spPr>
        </c:title>
        <c:numFmt formatCode="General" sourceLinked="1"/>
        <c:majorTickMark val="out"/>
        <c:minorTickMark val="in"/>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5189760"/>
        <c:crosses val="autoZero"/>
        <c:auto val="1"/>
        <c:lblAlgn val="ctr"/>
        <c:lblOffset val="100"/>
        <c:tickLblSkip val="4"/>
        <c:tickMarkSkip val="4"/>
        <c:noMultiLvlLbl val="0"/>
      </c:catAx>
      <c:valAx>
        <c:axId val="255189760"/>
        <c:scaling>
          <c:orientation val="minMax"/>
        </c:scaling>
        <c:delete val="0"/>
        <c:axPos val="l"/>
        <c:majorGridlines>
          <c:spPr>
            <a:ln w="9525" cap="flat" cmpd="sng" algn="ctr">
              <a:solidFill>
                <a:schemeClr val="bg2">
                  <a:lumMod val="90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Cases</a:t>
                </a:r>
              </a:p>
            </c:rich>
          </c:tx>
          <c:layout/>
          <c:overlay val="0"/>
          <c:spPr>
            <a:noFill/>
            <a:ln>
              <a:noFill/>
            </a:ln>
            <a:effectLst/>
          </c:spPr>
        </c:title>
        <c:numFmt formatCode="#,##0" sourceLinked="0"/>
        <c:majorTickMark val="out"/>
        <c:minorTickMark val="in"/>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5183104"/>
        <c:crosses val="autoZero"/>
        <c:crossBetween val="midCat"/>
        <c:majorUnit val="4000"/>
        <c:minorUnit val="1000"/>
      </c:valAx>
      <c:valAx>
        <c:axId val="255191680"/>
        <c:scaling>
          <c:orientation val="minMax"/>
          <c:max val="16"/>
          <c:min val="0"/>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Deaths</a:t>
                </a:r>
              </a:p>
            </c:rich>
          </c:tx>
          <c:layout/>
          <c:overlay val="0"/>
          <c:spPr>
            <a:noFill/>
            <a:ln>
              <a:noFill/>
            </a:ln>
            <a:effectLst/>
          </c:spPr>
        </c:title>
        <c:numFmt formatCode="General" sourceLinked="1"/>
        <c:majorTickMark val="out"/>
        <c:minorTickMark val="in"/>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5193856"/>
        <c:crosses val="max"/>
        <c:crossBetween val="between"/>
        <c:majorUnit val="4"/>
        <c:minorUnit val="1"/>
      </c:valAx>
      <c:catAx>
        <c:axId val="255193856"/>
        <c:scaling>
          <c:orientation val="minMax"/>
        </c:scaling>
        <c:delete val="1"/>
        <c:axPos val="b"/>
        <c:numFmt formatCode="General" sourceLinked="1"/>
        <c:majorTickMark val="out"/>
        <c:minorTickMark val="none"/>
        <c:tickLblPos val="nextTo"/>
        <c:crossAx val="255191680"/>
        <c:crosses val="autoZero"/>
        <c:auto val="1"/>
        <c:lblAlgn val="ctr"/>
        <c:lblOffset val="100"/>
        <c:noMultiLvlLbl val="0"/>
      </c:catAx>
      <c:spPr>
        <a:noFill/>
        <a:ln>
          <a:solidFill>
            <a:schemeClr val="tx1"/>
          </a:solid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Case Rate/100k Population</c:v>
          </c:tx>
          <c:spPr>
            <a:ln w="28575" cap="rnd">
              <a:solidFill>
                <a:schemeClr val="accent1"/>
              </a:solidFill>
              <a:round/>
            </a:ln>
            <a:effectLst/>
          </c:spPr>
          <c:marker>
            <c:symbol val="none"/>
          </c:marker>
          <c:cat>
            <c:numRef>
              <c:f>'1999-2017 Crypto'!$B$4:$B$25</c:f>
              <c:numCache>
                <c:formatCode>General</c:formatCode>
                <c:ptCount val="22"/>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numCache>
            </c:numRef>
          </c:cat>
          <c:val>
            <c:numRef>
              <c:f>'1999-2017 Crypto'!$I$4:$I$25</c:f>
              <c:numCache>
                <c:formatCode>General</c:formatCode>
                <c:ptCount val="22"/>
                <c:pt idx="4" formatCode="_(* #,##0.00_);_(* \(#,##0.00\);_(* &quot;-&quot;??_);_(@_)">
                  <c:v>1.111498406239918</c:v>
                </c:pt>
                <c:pt idx="5" formatCode="_(* #,##0.00_);_(* \(#,##0.00\);_(* &quot;-&quot;??_);_(@_)">
                  <c:v>1.2268003018083145</c:v>
                </c:pt>
                <c:pt idx="6" formatCode="_(* #,##0.00_);_(* \(#,##0.00\);_(* &quot;-&quot;??_);_(@_)">
                  <c:v>0.95923447150889873</c:v>
                </c:pt>
                <c:pt idx="7" formatCode="_(* #,##0.00_);_(* \(#,##0.00\);_(* &quot;-&quot;??_);_(@_)">
                  <c:v>1.1740457990164648</c:v>
                </c:pt>
                <c:pt idx="8" formatCode="_(* #,##0.00_);_(* \(#,##0.00\);_(* &quot;-&quot;??_);_(@_)">
                  <c:v>1.1516185065749733</c:v>
                </c:pt>
                <c:pt idx="9" formatCode="_(* #,##0.00_);_(* \(#,##0.00\);_(* &quot;-&quot;??_);_(@_)">
                  <c:v>1.7393270013912145</c:v>
                </c:pt>
                <c:pt idx="10" formatCode="_(* #,##0.00_);_(* \(#,##0.00\);_(* &quot;-&quot;??_);_(@_)">
                  <c:v>2.7719694481309451</c:v>
                </c:pt>
                <c:pt idx="11" formatCode="_(* #,##0.00_);_(* \(#,##0.00\);_(* &quot;-&quot;??_);_(@_)">
                  <c:v>3.708115142266784</c:v>
                </c:pt>
                <c:pt idx="12" formatCode="_(* #,##0.00_);_(* \(#,##0.00\);_(* &quot;-&quot;??_);_(@_)">
                  <c:v>2.51862938970647</c:v>
                </c:pt>
                <c:pt idx="13" formatCode="_(* #,##0.00_);_(* \(#,##0.00\);_(* &quot;-&quot;??_);_(@_)">
                  <c:v>2.4099368100095102</c:v>
                </c:pt>
                <c:pt idx="14" formatCode="_(* #,##0.00_);_(* \(#,##0.00\);_(* &quot;-&quot;??_);_(@_)">
                  <c:v>2.421411512026451</c:v>
                </c:pt>
                <c:pt idx="15" formatCode="_(* #,##0.00_);_(* \(#,##0.00\);_(* &quot;-&quot;??_);_(@_)">
                  <c:v>2.9686264294205036</c:v>
                </c:pt>
                <c:pt idx="16" formatCode="_(* #,##0.00_);_(* \(#,##0.00\);_(* &quot;-&quot;??_);_(@_)">
                  <c:v>2.2407408091718355</c:v>
                </c:pt>
                <c:pt idx="17" formatCode="_(* #,##0.00_);_(* \(#,##0.00\);_(* &quot;-&quot;??_);_(@_)">
                  <c:v>2.8646548124639777</c:v>
                </c:pt>
                <c:pt idx="18" formatCode="_(* #,##0.00_);_(* \(#,##0.00\);_(* &quot;-&quot;??_);_(@_)">
                  <c:v>2.4202067524577533</c:v>
                </c:pt>
                <c:pt idx="19" formatCode="_(* #,##0.00_);_(* \(#,##0.00\);_(* &quot;-&quot;??_);_(@_)">
                  <c:v>3.028758552470574</c:v>
                </c:pt>
                <c:pt idx="20" formatCode="_(* #,##0.00_);_(* \(#,##0.00\);_(* &quot;-&quot;??_);_(@_)">
                  <c:v>4.163371876043251</c:v>
                </c:pt>
                <c:pt idx="21" formatCode="_(* #,##0.00_);_(* \(#,##0.00\);_(* &quot;-&quot;??_);_(@_)">
                  <c:v>3.5042456112301745</c:v>
                </c:pt>
              </c:numCache>
            </c:numRef>
          </c:val>
          <c:smooth val="0"/>
          <c:extLst>
            <c:ext xmlns:c16="http://schemas.microsoft.com/office/drawing/2014/chart" uri="{C3380CC4-5D6E-409C-BE32-E72D297353CC}">
              <c16:uniqueId val="{00000000-7CF2-8347-B6C8-BC9C87510EDC}"/>
            </c:ext>
          </c:extLst>
        </c:ser>
        <c:dLbls>
          <c:showLegendKey val="0"/>
          <c:showVal val="0"/>
          <c:showCatName val="0"/>
          <c:showSerName val="0"/>
          <c:showPercent val="0"/>
          <c:showBubbleSize val="0"/>
        </c:dLbls>
        <c:marker val="1"/>
        <c:smooth val="0"/>
        <c:axId val="240189440"/>
        <c:axId val="240191360"/>
      </c:lineChart>
      <c:lineChart>
        <c:grouping val="standard"/>
        <c:varyColors val="0"/>
        <c:ser>
          <c:idx val="1"/>
          <c:order val="1"/>
          <c:tx>
            <c:v>Death Rate/Case</c:v>
          </c:tx>
          <c:spPr>
            <a:ln w="25400" cap="rnd">
              <a:noFill/>
              <a:round/>
            </a:ln>
            <a:effectLst/>
          </c:spPr>
          <c:marker>
            <c:symbol val="circle"/>
            <c:size val="5"/>
            <c:spPr>
              <a:solidFill>
                <a:srgbClr val="FF0000"/>
              </a:solidFill>
              <a:ln w="9525">
                <a:solidFill>
                  <a:srgbClr val="FF0000"/>
                </a:solidFill>
              </a:ln>
              <a:effectLst/>
            </c:spPr>
          </c:marker>
          <c:cat>
            <c:numRef>
              <c:f>'1999-2017 Crypto'!$B$4:$B$25</c:f>
              <c:numCache>
                <c:formatCode>General</c:formatCode>
                <c:ptCount val="22"/>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numCache>
            </c:numRef>
          </c:cat>
          <c:val>
            <c:numRef>
              <c:f>'1999-2017 Crypto'!$H$4:$H$25</c:f>
              <c:numCache>
                <c:formatCode>General</c:formatCode>
                <c:ptCount val="22"/>
                <c:pt idx="3" formatCode="_(* #,##0_);_(* \(#,##0\);_(* &quot;-&quot;??_);_(@_)">
                  <c:v>0</c:v>
                </c:pt>
                <c:pt idx="4" formatCode="_(* #,##0.00000_);_(* \(#,##0.00000\);_(* &quot;-&quot;??_);_(@_)">
                  <c:v>3.1969309462915604E-4</c:v>
                </c:pt>
                <c:pt idx="5" formatCode="_(* #,##0.00000_);_(* \(#,##0.00000\);_(* &quot;-&quot;??_);_(@_)">
                  <c:v>0</c:v>
                </c:pt>
                <c:pt idx="6" formatCode="_(* #,##0.00000_);_(* \(#,##0.00000\);_(* &quot;-&quot;??_);_(@_)">
                  <c:v>3.6245016310257339E-4</c:v>
                </c:pt>
                <c:pt idx="7" formatCode="_(* #,##0.00000_);_(* \(#,##0.00000\);_(* &quot;-&quot;??_);_(@_)">
                  <c:v>0</c:v>
                </c:pt>
                <c:pt idx="8" formatCode="_(* #,##0.00000_);_(* \(#,##0.00000\);_(* &quot;-&quot;??_);_(@_)">
                  <c:v>2.9655990510083039E-4</c:v>
                </c:pt>
                <c:pt idx="9" formatCode="_(* #,##0.00000_);_(* \(#,##0.00000\);_(* &quot;-&quot;??_);_(@_)">
                  <c:v>3.8910505836575878E-4</c:v>
                </c:pt>
                <c:pt idx="10" formatCode="_(* #,##0.00000_);_(* \(#,##0.00000\);_(* &quot;-&quot;??_);_(@_)">
                  <c:v>2.4180872929512756E-4</c:v>
                </c:pt>
                <c:pt idx="11" formatCode="_(* #,##0.00000_);_(* \(#,##0.00000\);_(* &quot;-&quot;??_);_(@_)">
                  <c:v>1.7905102954341988E-4</c:v>
                </c:pt>
                <c:pt idx="12" formatCode="_(* #,##0.00000_);_(* \(#,##0.00000\);_(* &quot;-&quot;??_);_(@_)">
                  <c:v>3.916960438699569E-4</c:v>
                </c:pt>
                <c:pt idx="13" formatCode="_(* #,##0.00000_);_(* \(#,##0.00000\);_(* &quot;-&quot;??_);_(@_)">
                  <c:v>2.7052617340727714E-4</c:v>
                </c:pt>
                <c:pt idx="14" formatCode="_(* #,##0.00000_);_(* \(#,##0.00000\);_(* &quot;-&quot;??_);_(@_)">
                  <c:v>5.3504547886570354E-4</c:v>
                </c:pt>
                <c:pt idx="15" formatCode="_(* #,##0.00000_);_(* \(#,##0.00000\);_(* &quot;-&quot;??_);_(@_)">
                  <c:v>4.3243243243243243E-4</c:v>
                </c:pt>
                <c:pt idx="16" formatCode="_(* #,##0.00000_);_(* \(#,##0.00000\);_(* &quot;-&quot;??_);_(@_)">
                  <c:v>2.8433323855558713E-4</c:v>
                </c:pt>
                <c:pt idx="17" formatCode="_(* #,##0.00000_);_(* \(#,##0.00000\);_(* &quot;-&quot;??_);_(@_)">
                  <c:v>0</c:v>
                </c:pt>
                <c:pt idx="18" formatCode="_(* #,##0.00000_);_(* \(#,##0.00000\);_(* &quot;-&quot;??_);_(@_)">
                  <c:v>1.295840352468576E-4</c:v>
                </c:pt>
                <c:pt idx="19" formatCode="_(* #,##0.00000_);_(* \(#,##0.00000\);_(* &quot;-&quot;??_);_(@_)">
                  <c:v>1.0272213662044171E-4</c:v>
                </c:pt>
                <c:pt idx="20" formatCode="_(* #,##0.00000_);_(* \(#,##0.00000\);_(* &quot;-&quot;??_);_(@_)">
                  <c:v>1.4866572511707427E-4</c:v>
                </c:pt>
                <c:pt idx="21" formatCode="_(* #,##0.00000_);_(* \(#,##0.00000\);_(* &quot;-&quot;??_);_(@_)">
                  <c:v>4.3805852461888909E-4</c:v>
                </c:pt>
              </c:numCache>
            </c:numRef>
          </c:val>
          <c:smooth val="0"/>
          <c:extLst>
            <c:ext xmlns:c16="http://schemas.microsoft.com/office/drawing/2014/chart" uri="{C3380CC4-5D6E-409C-BE32-E72D297353CC}">
              <c16:uniqueId val="{00000001-7CF2-8347-B6C8-BC9C87510EDC}"/>
            </c:ext>
          </c:extLst>
        </c:ser>
        <c:dLbls>
          <c:showLegendKey val="0"/>
          <c:showVal val="0"/>
          <c:showCatName val="0"/>
          <c:showSerName val="0"/>
          <c:showPercent val="0"/>
          <c:showBubbleSize val="0"/>
        </c:dLbls>
        <c:marker val="1"/>
        <c:smooth val="0"/>
        <c:axId val="240199168"/>
        <c:axId val="240192896"/>
      </c:lineChart>
      <c:catAx>
        <c:axId val="24018944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layout/>
          <c:overlay val="0"/>
          <c:spPr>
            <a:noFill/>
            <a:ln>
              <a:noFill/>
            </a:ln>
            <a:effectLst/>
          </c:spPr>
        </c:title>
        <c:numFmt formatCode="General" sourceLinked="1"/>
        <c:majorTickMark val="out"/>
        <c:minorTickMark val="in"/>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0191360"/>
        <c:crosses val="autoZero"/>
        <c:auto val="1"/>
        <c:lblAlgn val="ctr"/>
        <c:lblOffset val="100"/>
        <c:tickLblSkip val="4"/>
        <c:tickMarkSkip val="4"/>
        <c:noMultiLvlLbl val="0"/>
      </c:catAx>
      <c:valAx>
        <c:axId val="240191360"/>
        <c:scaling>
          <c:orientation val="minMax"/>
        </c:scaling>
        <c:delete val="0"/>
        <c:axPos val="l"/>
        <c:majorGridlines>
          <c:spPr>
            <a:ln w="9525" cap="flat" cmpd="sng" algn="ctr">
              <a:solidFill>
                <a:schemeClr val="bg2">
                  <a:lumMod val="90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Case Rate/100k Population</a:t>
                </a:r>
              </a:p>
            </c:rich>
          </c:tx>
          <c:layout/>
          <c:overlay val="0"/>
          <c:spPr>
            <a:noFill/>
            <a:ln>
              <a:noFill/>
            </a:ln>
            <a:effectLst/>
          </c:spPr>
        </c:title>
        <c:numFmt formatCode="#,##0" sourceLinked="0"/>
        <c:majorTickMark val="out"/>
        <c:minorTickMark val="in"/>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0189440"/>
        <c:crosses val="autoZero"/>
        <c:crossBetween val="midCat"/>
        <c:majorUnit val="1"/>
        <c:minorUnit val="0.25"/>
      </c:valAx>
      <c:valAx>
        <c:axId val="240192896"/>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Death</a:t>
                </a:r>
                <a:r>
                  <a:rPr lang="en-US" baseline="0"/>
                  <a:t> Rate/Case</a:t>
                </a:r>
                <a:endParaRPr lang="en-US"/>
              </a:p>
            </c:rich>
          </c:tx>
          <c:layout/>
          <c:overlay val="0"/>
          <c:spPr>
            <a:noFill/>
            <a:ln>
              <a:noFill/>
            </a:ln>
            <a:effectLst/>
          </c:spPr>
        </c:title>
        <c:numFmt formatCode="0.00%" sourceLinked="0"/>
        <c:majorTickMark val="out"/>
        <c:minorTickMark val="in"/>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0199168"/>
        <c:crosses val="max"/>
        <c:crossBetween val="between"/>
        <c:majorUnit val="4.0000000000000013E-4"/>
      </c:valAx>
      <c:catAx>
        <c:axId val="240199168"/>
        <c:scaling>
          <c:orientation val="minMax"/>
        </c:scaling>
        <c:delete val="1"/>
        <c:axPos val="b"/>
        <c:numFmt formatCode="General" sourceLinked="1"/>
        <c:majorTickMark val="out"/>
        <c:minorTickMark val="none"/>
        <c:tickLblPos val="nextTo"/>
        <c:crossAx val="240192896"/>
        <c:crosses val="autoZero"/>
        <c:auto val="1"/>
        <c:lblAlgn val="ctr"/>
        <c:lblOffset val="100"/>
        <c:noMultiLvlLbl val="0"/>
      </c:catAx>
      <c:spPr>
        <a:noFill/>
        <a:ln>
          <a:solidFill>
            <a:schemeClr val="tx1"/>
          </a:solid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Cases</c:v>
          </c:tx>
          <c:spPr>
            <a:ln w="28575" cap="rnd">
              <a:solidFill>
                <a:schemeClr val="accent1"/>
              </a:solidFill>
              <a:round/>
            </a:ln>
            <a:effectLst/>
          </c:spPr>
          <c:marker>
            <c:symbol val="none"/>
          </c:marker>
          <c:cat>
            <c:numRef>
              <c:f>'1996-2017 Giardiasis'!$B$4:$B$25</c:f>
              <c:numCache>
                <c:formatCode>General</c:formatCode>
                <c:ptCount val="22"/>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numCache>
            </c:numRef>
          </c:cat>
          <c:val>
            <c:numRef>
              <c:f>'1996-2017 Giardiasis'!$G$4:$G$25</c:f>
              <c:numCache>
                <c:formatCode>General</c:formatCode>
                <c:ptCount val="22"/>
                <c:pt idx="6" formatCode="_(* #,##0_);_(* \(#,##0\);_(* &quot;-&quot;??_);_(@_)">
                  <c:v>16986</c:v>
                </c:pt>
                <c:pt idx="7" formatCode="_(* #,##0_);_(* \(#,##0\);_(* &quot;-&quot;??_);_(@_)">
                  <c:v>19195</c:v>
                </c:pt>
                <c:pt idx="8" formatCode="_(* #,##0_);_(* \(#,##0\);_(* &quot;-&quot;??_);_(@_)">
                  <c:v>18498</c:v>
                </c:pt>
                <c:pt idx="9" formatCode="_(* #,##0_);_(* \(#,##0\);_(* &quot;-&quot;??_);_(@_)">
                  <c:v>19789</c:v>
                </c:pt>
                <c:pt idx="10" formatCode="_(* #,##0_);_(* \(#,##0\);_(* &quot;-&quot;??_);_(@_)">
                  <c:v>16919</c:v>
                </c:pt>
                <c:pt idx="11" formatCode="_(* #,##0_);_(* \(#,##0\);_(* &quot;-&quot;??_);_(@_)">
                  <c:v>19417</c:v>
                </c:pt>
                <c:pt idx="12" formatCode="_(* #,##0_);_(* \(#,##0\);_(* &quot;-&quot;??_);_(@_)">
                  <c:v>16843</c:v>
                </c:pt>
                <c:pt idx="13" formatCode="_(* #,##0_);_(* \(#,##0\);_(* &quot;-&quot;??_);_(@_)">
                  <c:v>19399</c:v>
                </c:pt>
                <c:pt idx="14" formatCode="_(* #,##0_);_(* \(#,##0\);_(* &quot;-&quot;??_);_(@_)">
                  <c:v>17561</c:v>
                </c:pt>
                <c:pt idx="15" formatCode="_(* #,##0_);_(* \(#,##0\);_(* &quot;-&quot;??_);_(@_)">
                  <c:v>16747</c:v>
                </c:pt>
                <c:pt idx="16" formatCode="_(* #,##0_);_(* \(#,##0\);_(* &quot;-&quot;??_);_(@_)">
                  <c:v>13145</c:v>
                </c:pt>
                <c:pt idx="17" formatCode="_(* #,##0_);_(* \(#,##0\);_(* &quot;-&quot;??_);_(@_)">
                  <c:v>15106</c:v>
                </c:pt>
                <c:pt idx="18" formatCode="_(* #,##0_);_(* \(#,##0\);_(* &quot;-&quot;??_);_(@_)">
                  <c:v>12361</c:v>
                </c:pt>
                <c:pt idx="19" formatCode="_(* #,##0_);_(* \(#,##0\);_(* &quot;-&quot;??_);_(@_)">
                  <c:v>14485</c:v>
                </c:pt>
                <c:pt idx="20" formatCode="_(* #,##0_);_(* \(#,##0\);_(* &quot;-&quot;??_);_(@_)">
                  <c:v>16310</c:v>
                </c:pt>
                <c:pt idx="21" formatCode="_(* #,##0_);_(* \(#,##0\);_(* &quot;-&quot;??_);_(@_)">
                  <c:v>15193</c:v>
                </c:pt>
              </c:numCache>
            </c:numRef>
          </c:val>
          <c:smooth val="0"/>
          <c:extLst>
            <c:ext xmlns:c16="http://schemas.microsoft.com/office/drawing/2014/chart" uri="{C3380CC4-5D6E-409C-BE32-E72D297353CC}">
              <c16:uniqueId val="{00000000-103B-804A-9C9E-44A600B35DEC}"/>
            </c:ext>
          </c:extLst>
        </c:ser>
        <c:dLbls>
          <c:showLegendKey val="0"/>
          <c:showVal val="0"/>
          <c:showCatName val="0"/>
          <c:showSerName val="0"/>
          <c:showPercent val="0"/>
          <c:showBubbleSize val="0"/>
        </c:dLbls>
        <c:marker val="1"/>
        <c:smooth val="0"/>
        <c:axId val="240226304"/>
        <c:axId val="240228608"/>
      </c:lineChart>
      <c:lineChart>
        <c:grouping val="standard"/>
        <c:varyColors val="0"/>
        <c:ser>
          <c:idx val="1"/>
          <c:order val="1"/>
          <c:tx>
            <c:v>Deaths</c:v>
          </c:tx>
          <c:spPr>
            <a:ln w="25400" cap="rnd">
              <a:noFill/>
              <a:round/>
            </a:ln>
            <a:effectLst/>
          </c:spPr>
          <c:marker>
            <c:symbol val="circle"/>
            <c:size val="5"/>
            <c:spPr>
              <a:solidFill>
                <a:srgbClr val="FF0000"/>
              </a:solidFill>
              <a:ln w="9525">
                <a:solidFill>
                  <a:srgbClr val="FF0000"/>
                </a:solidFill>
              </a:ln>
              <a:effectLst/>
            </c:spPr>
          </c:marker>
          <c:cat>
            <c:numRef>
              <c:f>'1996-2017 Giardiasis'!$B$4:$B$25</c:f>
              <c:numCache>
                <c:formatCode>General</c:formatCode>
                <c:ptCount val="22"/>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numCache>
            </c:numRef>
          </c:cat>
          <c:val>
            <c:numRef>
              <c:f>'1996-2017 Giardiasis'!$D$4:$D$25</c:f>
              <c:numCache>
                <c:formatCode>General</c:formatCode>
                <c:ptCount val="22"/>
                <c:pt idx="3" formatCode="#,##0">
                  <c:v>0</c:v>
                </c:pt>
                <c:pt idx="4" formatCode="#,##0">
                  <c:v>0</c:v>
                </c:pt>
                <c:pt idx="5" formatCode="#,##0">
                  <c:v>0</c:v>
                </c:pt>
                <c:pt idx="6" formatCode="#,##0">
                  <c:v>1</c:v>
                </c:pt>
                <c:pt idx="7" formatCode="#,##0">
                  <c:v>0</c:v>
                </c:pt>
                <c:pt idx="8" formatCode="#,##0">
                  <c:v>1</c:v>
                </c:pt>
                <c:pt idx="9" formatCode="#,##0">
                  <c:v>0</c:v>
                </c:pt>
                <c:pt idx="10" formatCode="#,##0">
                  <c:v>1</c:v>
                </c:pt>
                <c:pt idx="11" formatCode="#,##0">
                  <c:v>0</c:v>
                </c:pt>
                <c:pt idx="12" formatCode="#,##0">
                  <c:v>1</c:v>
                </c:pt>
                <c:pt idx="13" formatCode="#,##0">
                  <c:v>0</c:v>
                </c:pt>
                <c:pt idx="14" formatCode="#,##0">
                  <c:v>1</c:v>
                </c:pt>
                <c:pt idx="15" formatCode="#,##0">
                  <c:v>1</c:v>
                </c:pt>
                <c:pt idx="16" formatCode="#,##0">
                  <c:v>0</c:v>
                </c:pt>
                <c:pt idx="17" formatCode="#,##0">
                  <c:v>0</c:v>
                </c:pt>
                <c:pt idx="18" formatCode="#,##0">
                  <c:v>1</c:v>
                </c:pt>
                <c:pt idx="19" formatCode="#,##0">
                  <c:v>0</c:v>
                </c:pt>
                <c:pt idx="20" formatCode="#,##0">
                  <c:v>0</c:v>
                </c:pt>
                <c:pt idx="21" formatCode="#,##0">
                  <c:v>1</c:v>
                </c:pt>
              </c:numCache>
            </c:numRef>
          </c:val>
          <c:smooth val="0"/>
          <c:extLst>
            <c:ext xmlns:c16="http://schemas.microsoft.com/office/drawing/2014/chart" uri="{C3380CC4-5D6E-409C-BE32-E72D297353CC}">
              <c16:uniqueId val="{00000001-103B-804A-9C9E-44A600B35DEC}"/>
            </c:ext>
          </c:extLst>
        </c:ser>
        <c:dLbls>
          <c:showLegendKey val="0"/>
          <c:showVal val="0"/>
          <c:showCatName val="0"/>
          <c:showSerName val="0"/>
          <c:showPercent val="0"/>
          <c:showBubbleSize val="0"/>
        </c:dLbls>
        <c:marker val="1"/>
        <c:smooth val="0"/>
        <c:axId val="240232704"/>
        <c:axId val="240230784"/>
      </c:lineChart>
      <c:catAx>
        <c:axId val="24022630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layout/>
          <c:overlay val="0"/>
          <c:spPr>
            <a:noFill/>
            <a:ln>
              <a:noFill/>
            </a:ln>
            <a:effectLst/>
          </c:spPr>
        </c:title>
        <c:numFmt formatCode="General" sourceLinked="1"/>
        <c:majorTickMark val="out"/>
        <c:minorTickMark val="in"/>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0228608"/>
        <c:crosses val="autoZero"/>
        <c:auto val="1"/>
        <c:lblAlgn val="ctr"/>
        <c:lblOffset val="100"/>
        <c:tickLblSkip val="4"/>
        <c:tickMarkSkip val="4"/>
        <c:noMultiLvlLbl val="0"/>
      </c:catAx>
      <c:valAx>
        <c:axId val="240228608"/>
        <c:scaling>
          <c:orientation val="minMax"/>
        </c:scaling>
        <c:delete val="0"/>
        <c:axPos val="l"/>
        <c:majorGridlines>
          <c:spPr>
            <a:ln w="9525" cap="flat" cmpd="sng" algn="ctr">
              <a:solidFill>
                <a:schemeClr val="bg2">
                  <a:lumMod val="90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Cases</a:t>
                </a:r>
              </a:p>
            </c:rich>
          </c:tx>
          <c:layout/>
          <c:overlay val="0"/>
          <c:spPr>
            <a:noFill/>
            <a:ln>
              <a:noFill/>
            </a:ln>
            <a:effectLst/>
          </c:spPr>
        </c:title>
        <c:numFmt formatCode="#,##0" sourceLinked="0"/>
        <c:majorTickMark val="out"/>
        <c:minorTickMark val="in"/>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0226304"/>
        <c:crosses val="autoZero"/>
        <c:crossBetween val="midCat"/>
        <c:majorUnit val="4000"/>
        <c:minorUnit val="1000"/>
      </c:valAx>
      <c:valAx>
        <c:axId val="240230784"/>
        <c:scaling>
          <c:orientation val="minMax"/>
          <c:max val="2"/>
          <c:min val="0"/>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Deaths</a:t>
                </a:r>
              </a:p>
            </c:rich>
          </c:tx>
          <c:layout/>
          <c:overlay val="0"/>
          <c:spPr>
            <a:noFill/>
            <a:ln>
              <a:noFill/>
            </a:ln>
            <a:effectLst/>
          </c:spPr>
        </c:title>
        <c:numFmt formatCode="#,##0.0" sourceLinked="0"/>
        <c:majorTickMark val="out"/>
        <c:minorTickMark val="in"/>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0232704"/>
        <c:crosses val="max"/>
        <c:crossBetween val="between"/>
      </c:valAx>
      <c:catAx>
        <c:axId val="240232704"/>
        <c:scaling>
          <c:orientation val="minMax"/>
        </c:scaling>
        <c:delete val="1"/>
        <c:axPos val="b"/>
        <c:numFmt formatCode="General" sourceLinked="1"/>
        <c:majorTickMark val="out"/>
        <c:minorTickMark val="none"/>
        <c:tickLblPos val="nextTo"/>
        <c:crossAx val="240230784"/>
        <c:crosses val="autoZero"/>
        <c:auto val="1"/>
        <c:lblAlgn val="ctr"/>
        <c:lblOffset val="100"/>
        <c:noMultiLvlLbl val="0"/>
      </c:catAx>
      <c:spPr>
        <a:noFill/>
        <a:ln>
          <a:solidFill>
            <a:schemeClr val="tx1"/>
          </a:solid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Cases</c:v>
          </c:tx>
          <c:spPr>
            <a:ln w="28575" cap="rnd">
              <a:solidFill>
                <a:schemeClr val="accent1"/>
              </a:solidFill>
              <a:round/>
            </a:ln>
            <a:effectLst/>
          </c:spPr>
          <c:marker>
            <c:symbol val="none"/>
          </c:marker>
          <c:cat>
            <c:numRef>
              <c:f>'1996-2017 Giardiasis'!$B$4:$B$25</c:f>
              <c:numCache>
                <c:formatCode>General</c:formatCode>
                <c:ptCount val="22"/>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numCache>
            </c:numRef>
          </c:cat>
          <c:val>
            <c:numRef>
              <c:f>'1996-2017 Giardiasis'!$H$4:$H$25</c:f>
              <c:numCache>
                <c:formatCode>General</c:formatCode>
                <c:ptCount val="22"/>
                <c:pt idx="6" formatCode="_(* #,##0.00_);_(* \(#,##0.00\);_(* &quot;-&quot;??_);_(@_)">
                  <c:v>5.9056022954150613</c:v>
                </c:pt>
                <c:pt idx="7" formatCode="_(* #,##0.00_);_(* \(#,##0.00\);_(* &quot;-&quot;??_);_(@_)">
                  <c:v>6.6165029689139869</c:v>
                </c:pt>
                <c:pt idx="8" formatCode="_(* #,##0.00_);_(* \(#,##0.00\);_(* &quot;-&quot;??_);_(@_)">
                  <c:v>6.3175086401612859</c:v>
                </c:pt>
                <c:pt idx="9" formatCode="_(* #,##0.00_);_(* \(#,##0.00\);_(* &quot;-&quot;??_);_(@_)">
                  <c:v>6.6964089553561763</c:v>
                </c:pt>
                <c:pt idx="10" formatCode="_(* #,##0.00_);_(* \(#,##0.00\);_(* &quot;-&quot;??_);_(@_)">
                  <c:v>5.6702878845275615</c:v>
                </c:pt>
                <c:pt idx="11" formatCode="_(* #,##0.00_);_(* \(#,##0.00\);_(* &quot;-&quot;??_);_(@_)">
                  <c:v>6.4458792943056524</c:v>
                </c:pt>
                <c:pt idx="12" formatCode="_(* #,##0.00_);_(* \(#,##0.00\);_(* &quot;-&quot;??_);_(@_)">
                  <c:v>5.5387485064402755</c:v>
                </c:pt>
                <c:pt idx="13" formatCode="_(* #,##0.00_);_(* \(#,##0.00\);_(* &quot;-&quot;??_);_(@_)">
                  <c:v>6.3235985631508846</c:v>
                </c:pt>
                <c:pt idx="14" formatCode="_(* #,##0.00_);_(* \(#,##0.00\);_(* &quot;-&quot;??_);_(@_)">
                  <c:v>5.6878554792263918</c:v>
                </c:pt>
                <c:pt idx="15" formatCode="_(* #,##0.00_);_(* \(#,##0.00\);_(* &quot;-&quot;??_);_(@_)">
                  <c:v>5.3746580338924517</c:v>
                </c:pt>
                <c:pt idx="16" formatCode="_(* #,##0.00_);_(* \(#,##0.00\);_(* &quot;-&quot;??_);_(@_)">
                  <c:v>4.1874520808307905</c:v>
                </c:pt>
                <c:pt idx="17" formatCode="_(* #,##0.00_);_(* \(#,##0.00\);_(* &quot;-&quot;??_);_(@_)">
                  <c:v>4.7784314926105171</c:v>
                </c:pt>
                <c:pt idx="18" formatCode="_(* #,##0.00_);_(* \(#,##0.00\);_(* &quot;-&quot;??_);_(@_)">
                  <c:v>3.8766587621005946</c:v>
                </c:pt>
                <c:pt idx="19" formatCode="_(* #,##0.00_);_(* \(#,##0.00\);_(* &quot;-&quot;??_);_(@_)">
                  <c:v>4.5065811641023386</c:v>
                </c:pt>
                <c:pt idx="20" formatCode="_(* #,##0.00_);_(* \(#,##0.00\);_(* &quot;-&quot;??_);_(@_)">
                  <c:v>5.04754294939905</c:v>
                </c:pt>
                <c:pt idx="21" formatCode="_(* #,##0.00_);_(* \(#,##0.00\);_(* &quot;-&quot;??_);_(@_)">
                  <c:v>4.6644474830401297</c:v>
                </c:pt>
              </c:numCache>
            </c:numRef>
          </c:val>
          <c:smooth val="0"/>
          <c:extLst>
            <c:ext xmlns:c16="http://schemas.microsoft.com/office/drawing/2014/chart" uri="{C3380CC4-5D6E-409C-BE32-E72D297353CC}">
              <c16:uniqueId val="{00000000-9951-134F-83FF-8B4FB3961E1F}"/>
            </c:ext>
          </c:extLst>
        </c:ser>
        <c:dLbls>
          <c:showLegendKey val="0"/>
          <c:showVal val="0"/>
          <c:showCatName val="0"/>
          <c:showSerName val="0"/>
          <c:showPercent val="0"/>
          <c:showBubbleSize val="0"/>
        </c:dLbls>
        <c:marker val="1"/>
        <c:smooth val="0"/>
        <c:axId val="240849664"/>
        <c:axId val="240851968"/>
      </c:lineChart>
      <c:lineChart>
        <c:grouping val="standard"/>
        <c:varyColors val="0"/>
        <c:ser>
          <c:idx val="1"/>
          <c:order val="1"/>
          <c:tx>
            <c:v>Deaths</c:v>
          </c:tx>
          <c:spPr>
            <a:ln w="25400" cap="rnd">
              <a:noFill/>
              <a:round/>
            </a:ln>
            <a:effectLst/>
          </c:spPr>
          <c:marker>
            <c:symbol val="circle"/>
            <c:size val="5"/>
            <c:spPr>
              <a:solidFill>
                <a:srgbClr val="FF0000"/>
              </a:solidFill>
              <a:ln w="9525">
                <a:solidFill>
                  <a:srgbClr val="FF0000"/>
                </a:solidFill>
              </a:ln>
              <a:effectLst/>
            </c:spPr>
          </c:marker>
          <c:cat>
            <c:numRef>
              <c:f>'1996-2017 Giardiasis'!$B$4:$B$25</c:f>
              <c:numCache>
                <c:formatCode>General</c:formatCode>
                <c:ptCount val="22"/>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numCache>
            </c:numRef>
          </c:cat>
          <c:val>
            <c:numRef>
              <c:f>'1996-2017 Giardiasis'!$I$4:$I$25</c:f>
              <c:numCache>
                <c:formatCode>General</c:formatCode>
                <c:ptCount val="22"/>
                <c:pt idx="6" formatCode="0.0E+00">
                  <c:v>5.8872012245378548E-5</c:v>
                </c:pt>
                <c:pt idx="7" formatCode="0.0E+00">
                  <c:v>0</c:v>
                </c:pt>
                <c:pt idx="8" formatCode="0.0E+00">
                  <c:v>5.4059898367391069E-5</c:v>
                </c:pt>
                <c:pt idx="9" formatCode="0.0E+00">
                  <c:v>0</c:v>
                </c:pt>
                <c:pt idx="10" formatCode="0.0E+00">
                  <c:v>5.9105148058395883E-5</c:v>
                </c:pt>
                <c:pt idx="11" formatCode="0.0E+00">
                  <c:v>0</c:v>
                </c:pt>
                <c:pt idx="12" formatCode="0.0E+00">
                  <c:v>5.937184587068812E-5</c:v>
                </c:pt>
                <c:pt idx="13" formatCode="0.0E+00">
                  <c:v>0</c:v>
                </c:pt>
                <c:pt idx="14" formatCode="0.0E+00">
                  <c:v>5.6944365355048118E-5</c:v>
                </c:pt>
                <c:pt idx="15" formatCode="0.0E+00">
                  <c:v>5.971218725741924E-5</c:v>
                </c:pt>
                <c:pt idx="16" formatCode="0.0E+00">
                  <c:v>0</c:v>
                </c:pt>
                <c:pt idx="17" formatCode="0.0E+00">
                  <c:v>0</c:v>
                </c:pt>
                <c:pt idx="18" formatCode="0.0E+00">
                  <c:v>8.0899603591942404E-5</c:v>
                </c:pt>
                <c:pt idx="19" formatCode="0.0E+00">
                  <c:v>0</c:v>
                </c:pt>
                <c:pt idx="20" formatCode="0.0E+00">
                  <c:v>0</c:v>
                </c:pt>
                <c:pt idx="21" formatCode="0.0E+00">
                  <c:v>6.5819785427499502E-5</c:v>
                </c:pt>
              </c:numCache>
            </c:numRef>
          </c:val>
          <c:smooth val="0"/>
          <c:extLst>
            <c:ext xmlns:c16="http://schemas.microsoft.com/office/drawing/2014/chart" uri="{C3380CC4-5D6E-409C-BE32-E72D297353CC}">
              <c16:uniqueId val="{00000001-9951-134F-83FF-8B4FB3961E1F}"/>
            </c:ext>
          </c:extLst>
        </c:ser>
        <c:dLbls>
          <c:showLegendKey val="0"/>
          <c:showVal val="0"/>
          <c:showCatName val="0"/>
          <c:showSerName val="0"/>
          <c:showPercent val="0"/>
          <c:showBubbleSize val="0"/>
        </c:dLbls>
        <c:marker val="1"/>
        <c:smooth val="0"/>
        <c:axId val="240856064"/>
        <c:axId val="240854144"/>
      </c:lineChart>
      <c:catAx>
        <c:axId val="24084966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layout/>
          <c:overlay val="0"/>
          <c:spPr>
            <a:noFill/>
            <a:ln>
              <a:noFill/>
            </a:ln>
            <a:effectLst/>
          </c:spPr>
        </c:title>
        <c:numFmt formatCode="General" sourceLinked="1"/>
        <c:majorTickMark val="out"/>
        <c:minorTickMark val="in"/>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0851968"/>
        <c:crosses val="autoZero"/>
        <c:auto val="1"/>
        <c:lblAlgn val="ctr"/>
        <c:lblOffset val="100"/>
        <c:tickLblSkip val="4"/>
        <c:tickMarkSkip val="4"/>
        <c:noMultiLvlLbl val="0"/>
      </c:catAx>
      <c:valAx>
        <c:axId val="240851968"/>
        <c:scaling>
          <c:orientation val="minMax"/>
        </c:scaling>
        <c:delete val="0"/>
        <c:axPos val="l"/>
        <c:majorGridlines>
          <c:spPr>
            <a:ln w="9525" cap="flat" cmpd="sng" algn="ctr">
              <a:solidFill>
                <a:schemeClr val="bg2">
                  <a:lumMod val="90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Cases/100k Population</a:t>
                </a:r>
              </a:p>
            </c:rich>
          </c:tx>
          <c:layout/>
          <c:overlay val="0"/>
          <c:spPr>
            <a:noFill/>
            <a:ln>
              <a:noFill/>
            </a:ln>
            <a:effectLst/>
          </c:spPr>
        </c:title>
        <c:numFmt formatCode="#,##0" sourceLinked="0"/>
        <c:majorTickMark val="out"/>
        <c:minorTickMark val="in"/>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0849664"/>
        <c:crosses val="autoZero"/>
        <c:crossBetween val="midCat"/>
        <c:majorUnit val="2"/>
        <c:minorUnit val="0.5"/>
      </c:valAx>
      <c:valAx>
        <c:axId val="240854144"/>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Deaths/Case</a:t>
                </a:r>
              </a:p>
            </c:rich>
          </c:tx>
          <c:layout/>
          <c:overlay val="0"/>
          <c:spPr>
            <a:noFill/>
            <a:ln>
              <a:noFill/>
            </a:ln>
            <a:effectLst/>
          </c:spPr>
        </c:title>
        <c:numFmt formatCode="0.000%" sourceLinked="0"/>
        <c:majorTickMark val="out"/>
        <c:minorTickMark val="in"/>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0856064"/>
        <c:crosses val="max"/>
        <c:crossBetween val="between"/>
        <c:majorUnit val="2.0000000000000008E-5"/>
        <c:minorUnit val="5.0000000000000021E-6"/>
      </c:valAx>
      <c:catAx>
        <c:axId val="240856064"/>
        <c:scaling>
          <c:orientation val="minMax"/>
        </c:scaling>
        <c:delete val="1"/>
        <c:axPos val="b"/>
        <c:numFmt formatCode="General" sourceLinked="1"/>
        <c:majorTickMark val="out"/>
        <c:minorTickMark val="none"/>
        <c:tickLblPos val="nextTo"/>
        <c:crossAx val="240854144"/>
        <c:crosses val="autoZero"/>
        <c:auto val="1"/>
        <c:lblAlgn val="ctr"/>
        <c:lblOffset val="100"/>
        <c:noMultiLvlLbl val="0"/>
      </c:catAx>
      <c:spPr>
        <a:noFill/>
        <a:ln>
          <a:solidFill>
            <a:schemeClr val="tx1"/>
          </a:solid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10942</Words>
  <Characters>62373</Characters>
  <Application>Microsoft Office Word</Application>
  <DocSecurity>4</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Peretz</dc:creator>
  <cp:lastModifiedBy>Aleeya Rahman</cp:lastModifiedBy>
  <cp:revision>2</cp:revision>
  <dcterms:created xsi:type="dcterms:W3CDTF">2020-05-06T20:01:00Z</dcterms:created>
  <dcterms:modified xsi:type="dcterms:W3CDTF">2020-05-06T20:01:00Z</dcterms:modified>
</cp:coreProperties>
</file>