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4AEE7" w14:textId="263507D0" w:rsidR="00D840D5" w:rsidRDefault="00877799" w:rsidP="00A84948">
      <w:pPr>
        <w:spacing w:line="480" w:lineRule="auto"/>
        <w:jc w:val="center"/>
        <w:rPr>
          <w:rFonts w:cstheme="minorHAnsi"/>
          <w:sz w:val="32"/>
          <w:szCs w:val="32"/>
        </w:rPr>
      </w:pPr>
      <w:bookmarkStart w:id="0" w:name="_GoBack"/>
      <w:bookmarkEnd w:id="0"/>
      <w:r w:rsidRPr="00F11146">
        <w:rPr>
          <w:rFonts w:cstheme="minorHAnsi"/>
          <w:sz w:val="32"/>
          <w:szCs w:val="32"/>
        </w:rPr>
        <w:t>Phase separation and transformation</w:t>
      </w:r>
      <w:r w:rsidR="00F07084" w:rsidRPr="00F11146">
        <w:rPr>
          <w:rFonts w:cstheme="minorHAnsi"/>
          <w:sz w:val="32"/>
          <w:szCs w:val="32"/>
        </w:rPr>
        <w:t xml:space="preserve"> of binary immiscible systems</w:t>
      </w:r>
      <w:r w:rsidRPr="00F11146">
        <w:rPr>
          <w:rFonts w:cstheme="minorHAnsi"/>
          <w:sz w:val="32"/>
          <w:szCs w:val="32"/>
        </w:rPr>
        <w:t xml:space="preserve"> in molten core derived optical fibers</w:t>
      </w:r>
    </w:p>
    <w:p w14:paraId="5B7986A9" w14:textId="166DDC98" w:rsidR="004C78D8" w:rsidRPr="00A84948" w:rsidRDefault="004C78D8" w:rsidP="00A84948">
      <w:pPr>
        <w:spacing w:line="480" w:lineRule="auto"/>
        <w:jc w:val="center"/>
        <w:rPr>
          <w:rFonts w:cstheme="minorHAnsi"/>
          <w:sz w:val="32"/>
          <w:szCs w:val="32"/>
        </w:rPr>
      </w:pPr>
      <w:r>
        <w:rPr>
          <w:rFonts w:cstheme="minorHAnsi"/>
          <w:sz w:val="32"/>
          <w:szCs w:val="32"/>
        </w:rPr>
        <w:t>Supplementa</w:t>
      </w:r>
      <w:r w:rsidR="00332D7F">
        <w:rPr>
          <w:rFonts w:cstheme="minorHAnsi"/>
          <w:sz w:val="32"/>
          <w:szCs w:val="32"/>
        </w:rPr>
        <w:t>ry</w:t>
      </w:r>
      <w:r>
        <w:rPr>
          <w:rFonts w:cstheme="minorHAnsi"/>
          <w:sz w:val="32"/>
          <w:szCs w:val="32"/>
        </w:rPr>
        <w:t xml:space="preserve"> Material</w:t>
      </w:r>
    </w:p>
    <w:p w14:paraId="0548E64D" w14:textId="02A2B917" w:rsidR="00877799" w:rsidRDefault="00877799" w:rsidP="00726F82">
      <w:pPr>
        <w:spacing w:line="480" w:lineRule="auto"/>
        <w:jc w:val="center"/>
        <w:rPr>
          <w:rFonts w:cstheme="minorHAnsi"/>
        </w:rPr>
      </w:pPr>
      <w:r w:rsidRPr="00931139">
        <w:rPr>
          <w:rFonts w:cstheme="minorHAnsi"/>
        </w:rPr>
        <w:t>Matthew Tuggle,</w:t>
      </w:r>
      <w:r w:rsidR="00626E9B">
        <w:rPr>
          <w:rFonts w:cstheme="minorHAnsi"/>
          <w:vertAlign w:val="superscript"/>
        </w:rPr>
        <w:t>1,2</w:t>
      </w:r>
      <w:r w:rsidRPr="00931139">
        <w:rPr>
          <w:rFonts w:cstheme="minorHAnsi"/>
        </w:rPr>
        <w:t xml:space="preserve"> Thomas W. Hawkins,</w:t>
      </w:r>
      <w:r w:rsidR="00626E9B">
        <w:rPr>
          <w:rFonts w:cstheme="minorHAnsi"/>
          <w:vertAlign w:val="superscript"/>
        </w:rPr>
        <w:t>1,2</w:t>
      </w:r>
      <w:r w:rsidR="00561071" w:rsidRPr="00931139">
        <w:rPr>
          <w:rFonts w:cstheme="minorHAnsi"/>
        </w:rPr>
        <w:t xml:space="preserve"> Courtney Kucera,</w:t>
      </w:r>
      <w:r w:rsidR="00626E9B">
        <w:rPr>
          <w:rFonts w:cstheme="minorHAnsi"/>
          <w:vertAlign w:val="superscript"/>
        </w:rPr>
        <w:t>1,2</w:t>
      </w:r>
      <w:r w:rsidR="00284136" w:rsidRPr="00931139">
        <w:rPr>
          <w:rFonts w:cstheme="minorHAnsi"/>
        </w:rPr>
        <w:t xml:space="preserve"> Nathaniel H</w:t>
      </w:r>
      <w:r w:rsidR="00B344B4">
        <w:rPr>
          <w:rFonts w:cstheme="minorHAnsi"/>
        </w:rPr>
        <w:t>uy</w:t>
      </w:r>
      <w:r w:rsidR="00284136" w:rsidRPr="00931139">
        <w:rPr>
          <w:rFonts w:cstheme="minorHAnsi"/>
        </w:rPr>
        <w:t>gen</w:t>
      </w:r>
      <w:r w:rsidR="00580D99" w:rsidRPr="00931139">
        <w:rPr>
          <w:rFonts w:cstheme="minorHAnsi"/>
        </w:rPr>
        <w:t>,</w:t>
      </w:r>
      <w:r w:rsidR="00626E9B">
        <w:rPr>
          <w:rFonts w:cstheme="minorHAnsi"/>
          <w:vertAlign w:val="superscript"/>
        </w:rPr>
        <w:t>2,3</w:t>
      </w:r>
      <w:r w:rsidR="00580D99" w:rsidRPr="00931139">
        <w:rPr>
          <w:rFonts w:cstheme="minorHAnsi"/>
        </w:rPr>
        <w:t xml:space="preserve"> </w:t>
      </w:r>
      <w:r w:rsidR="007D4A92">
        <w:rPr>
          <w:rFonts w:cstheme="minorHAnsi"/>
        </w:rPr>
        <w:t>Artis Brasovs,</w:t>
      </w:r>
      <w:r w:rsidR="007D4A92">
        <w:rPr>
          <w:rFonts w:cstheme="minorHAnsi"/>
          <w:vertAlign w:val="superscript"/>
        </w:rPr>
        <w:t>2</w:t>
      </w:r>
      <w:r w:rsidR="007D4A92">
        <w:rPr>
          <w:rFonts w:cstheme="minorHAnsi"/>
        </w:rPr>
        <w:t xml:space="preserve"> </w:t>
      </w:r>
      <w:r w:rsidRPr="00931139">
        <w:rPr>
          <w:rFonts w:cstheme="minorHAnsi"/>
        </w:rPr>
        <w:t>Konstantin Kornev,</w:t>
      </w:r>
      <w:r w:rsidR="00626E9B">
        <w:rPr>
          <w:rFonts w:cstheme="minorHAnsi"/>
          <w:vertAlign w:val="superscript"/>
        </w:rPr>
        <w:t>2</w:t>
      </w:r>
      <w:r w:rsidRPr="00931139">
        <w:rPr>
          <w:rFonts w:cstheme="minorHAnsi"/>
        </w:rPr>
        <w:t xml:space="preserve"> and John Ballato</w:t>
      </w:r>
      <w:r w:rsidR="00626E9B">
        <w:rPr>
          <w:rFonts w:cstheme="minorHAnsi"/>
          <w:vertAlign w:val="superscript"/>
        </w:rPr>
        <w:t>1,2,*</w:t>
      </w:r>
    </w:p>
    <w:p w14:paraId="25F7B096" w14:textId="77777777" w:rsidR="00E13422" w:rsidRPr="00626E9B" w:rsidRDefault="00E13422" w:rsidP="00726F82">
      <w:pPr>
        <w:spacing w:line="480" w:lineRule="auto"/>
        <w:jc w:val="both"/>
        <w:rPr>
          <w:rFonts w:cstheme="minorHAnsi"/>
          <w:i/>
          <w:iCs/>
        </w:rPr>
      </w:pPr>
      <w:r w:rsidRPr="00626E9B">
        <w:rPr>
          <w:rFonts w:cstheme="minorHAnsi"/>
          <w:i/>
          <w:iCs/>
          <w:vertAlign w:val="superscript"/>
        </w:rPr>
        <w:t>1</w:t>
      </w:r>
      <w:r>
        <w:rPr>
          <w:rFonts w:cstheme="minorHAnsi"/>
          <w:i/>
          <w:iCs/>
        </w:rPr>
        <w:t>Center for Optical Materials Science and Engineering Technologies (COMSET), 91 Technology Drive, Clemson University, Clemson, SC 29625, USA</w:t>
      </w:r>
    </w:p>
    <w:p w14:paraId="2A3E424F" w14:textId="77777777" w:rsidR="00E13422" w:rsidRPr="00626E9B" w:rsidRDefault="00E13422" w:rsidP="00726F82">
      <w:pPr>
        <w:spacing w:line="480" w:lineRule="auto"/>
        <w:jc w:val="both"/>
        <w:rPr>
          <w:rFonts w:cstheme="minorHAnsi"/>
          <w:i/>
          <w:iCs/>
        </w:rPr>
      </w:pPr>
      <w:r w:rsidRPr="00626E9B">
        <w:rPr>
          <w:rFonts w:cstheme="minorHAnsi"/>
          <w:i/>
          <w:iCs/>
          <w:vertAlign w:val="superscript"/>
        </w:rPr>
        <w:t>2</w:t>
      </w:r>
      <w:r>
        <w:rPr>
          <w:rFonts w:cstheme="minorHAnsi"/>
          <w:i/>
          <w:iCs/>
        </w:rPr>
        <w:t>T</w:t>
      </w:r>
      <w:r w:rsidRPr="00626E9B">
        <w:rPr>
          <w:rFonts w:cstheme="minorHAnsi"/>
          <w:i/>
          <w:iCs/>
        </w:rPr>
        <w:t>he</w:t>
      </w:r>
      <w:r>
        <w:rPr>
          <w:rFonts w:cstheme="minorHAnsi"/>
          <w:i/>
          <w:iCs/>
        </w:rPr>
        <w:t xml:space="preserve"> Department of Materials Science and Engineering, 295 Sirrine Hall, Clemson University, Clemson, SC 29634, USA</w:t>
      </w:r>
    </w:p>
    <w:p w14:paraId="3182A60B" w14:textId="77777777" w:rsidR="00E13422" w:rsidRPr="00626E9B" w:rsidRDefault="00E13422" w:rsidP="00726F82">
      <w:pPr>
        <w:spacing w:line="480" w:lineRule="auto"/>
        <w:jc w:val="both"/>
        <w:rPr>
          <w:rFonts w:cstheme="minorHAnsi"/>
          <w:i/>
          <w:iCs/>
        </w:rPr>
      </w:pPr>
      <w:r w:rsidRPr="00626E9B">
        <w:rPr>
          <w:rFonts w:cstheme="minorHAnsi"/>
          <w:i/>
          <w:iCs/>
          <w:vertAlign w:val="superscript"/>
        </w:rPr>
        <w:t>3</w:t>
      </w:r>
      <w:r>
        <w:rPr>
          <w:rFonts w:cstheme="minorHAnsi"/>
          <w:i/>
          <w:iCs/>
        </w:rPr>
        <w:t>National Brick Research Center, 100 Clemson Research Boulevard, Clemson University, Clemson, SC 29625, USA</w:t>
      </w:r>
    </w:p>
    <w:p w14:paraId="7C28C990" w14:textId="77777777" w:rsidR="00E13422" w:rsidRDefault="00E13422" w:rsidP="00726F82">
      <w:pPr>
        <w:spacing w:line="480" w:lineRule="auto"/>
        <w:rPr>
          <w:rFonts w:cstheme="minorHAnsi"/>
          <w:i/>
          <w:iCs/>
        </w:rPr>
      </w:pPr>
      <w:r w:rsidRPr="00626E9B">
        <w:rPr>
          <w:rFonts w:cstheme="minorHAnsi"/>
          <w:i/>
          <w:iCs/>
          <w:vertAlign w:val="superscript"/>
        </w:rPr>
        <w:t>*</w:t>
      </w:r>
      <w:r>
        <w:rPr>
          <w:rFonts w:cstheme="minorHAnsi"/>
          <w:i/>
          <w:iCs/>
        </w:rPr>
        <w:t xml:space="preserve">Corresponding author: John Ballato; </w:t>
      </w:r>
      <w:hyperlink r:id="rId4" w:history="1">
        <w:r w:rsidRPr="00451F66">
          <w:rPr>
            <w:rStyle w:val="Hyperlink"/>
            <w:rFonts w:cstheme="minorHAnsi"/>
            <w:i/>
            <w:iCs/>
          </w:rPr>
          <w:t>jballat@clemson.edu</w:t>
        </w:r>
      </w:hyperlink>
    </w:p>
    <w:p w14:paraId="18752540" w14:textId="77777777" w:rsidR="00284136" w:rsidRPr="00931139" w:rsidRDefault="00284136" w:rsidP="00726F82">
      <w:pPr>
        <w:spacing w:line="480" w:lineRule="auto"/>
        <w:rPr>
          <w:rFonts w:cstheme="minorHAnsi"/>
        </w:rPr>
      </w:pPr>
    </w:p>
    <w:p w14:paraId="0917EF7A" w14:textId="6826B0C0" w:rsidR="002577A2" w:rsidRPr="0098248F" w:rsidRDefault="002577A2" w:rsidP="00726F82">
      <w:pPr>
        <w:spacing w:line="480" w:lineRule="auto"/>
        <w:jc w:val="both"/>
        <w:rPr>
          <w:rFonts w:cstheme="minorHAnsi"/>
        </w:rPr>
      </w:pPr>
    </w:p>
    <w:p w14:paraId="30CF240E" w14:textId="21C728BB" w:rsidR="002577A2" w:rsidRDefault="002577A2" w:rsidP="00726F82">
      <w:pPr>
        <w:spacing w:line="480" w:lineRule="auto"/>
        <w:jc w:val="both"/>
        <w:rPr>
          <w:rFonts w:cstheme="minorHAnsi"/>
          <w:b/>
          <w:bCs/>
        </w:rPr>
      </w:pPr>
    </w:p>
    <w:p w14:paraId="707258C9" w14:textId="6DC50277" w:rsidR="00120B8A" w:rsidRDefault="00120B8A" w:rsidP="00726F82">
      <w:pPr>
        <w:spacing w:line="480" w:lineRule="auto"/>
        <w:jc w:val="both"/>
        <w:rPr>
          <w:rFonts w:cstheme="minorHAnsi"/>
          <w:b/>
          <w:bCs/>
        </w:rPr>
      </w:pPr>
    </w:p>
    <w:p w14:paraId="39FC7B5A" w14:textId="261509BB" w:rsidR="00120B8A" w:rsidRDefault="00120B8A" w:rsidP="00726F82">
      <w:pPr>
        <w:spacing w:line="480" w:lineRule="auto"/>
        <w:jc w:val="both"/>
        <w:rPr>
          <w:rFonts w:cstheme="minorHAnsi"/>
          <w:b/>
          <w:bCs/>
        </w:rPr>
      </w:pPr>
    </w:p>
    <w:p w14:paraId="10232334" w14:textId="4D3E21EB" w:rsidR="00120B8A" w:rsidRDefault="00120B8A" w:rsidP="00726F82">
      <w:pPr>
        <w:spacing w:line="480" w:lineRule="auto"/>
        <w:jc w:val="both"/>
        <w:rPr>
          <w:rFonts w:cstheme="minorHAnsi"/>
          <w:b/>
          <w:bCs/>
        </w:rPr>
      </w:pPr>
    </w:p>
    <w:p w14:paraId="685A9E8C" w14:textId="77777777" w:rsidR="00F0720F" w:rsidRDefault="00F0720F" w:rsidP="00726F82">
      <w:pPr>
        <w:spacing w:line="480" w:lineRule="auto"/>
        <w:jc w:val="both"/>
        <w:rPr>
          <w:rFonts w:cstheme="minorHAnsi"/>
          <w:b/>
          <w:bCs/>
        </w:rPr>
      </w:pPr>
    </w:p>
    <w:p w14:paraId="2FCDB948" w14:textId="2B375C74" w:rsidR="000109F5" w:rsidRDefault="006F67C6" w:rsidP="00726F82">
      <w:pPr>
        <w:spacing w:line="480" w:lineRule="auto"/>
        <w:jc w:val="both"/>
        <w:rPr>
          <w:rFonts w:cstheme="minorHAnsi"/>
        </w:rPr>
      </w:pPr>
      <w:r w:rsidRPr="000C3131">
        <w:rPr>
          <w:rFonts w:cstheme="minorHAnsi"/>
          <w:b/>
          <w:bCs/>
        </w:rPr>
        <w:lastRenderedPageBreak/>
        <w:t xml:space="preserve">Figure </w:t>
      </w:r>
      <w:r w:rsidR="00B52F94" w:rsidRPr="000C3131">
        <w:rPr>
          <w:rFonts w:cstheme="minorHAnsi"/>
          <w:b/>
          <w:bCs/>
        </w:rPr>
        <w:t>S1</w:t>
      </w:r>
      <w:r w:rsidR="00C4367D">
        <w:rPr>
          <w:rFonts w:cstheme="minorHAnsi"/>
        </w:rPr>
        <w:t>:</w:t>
      </w:r>
      <w:r w:rsidR="00B52F94" w:rsidRPr="00931139">
        <w:rPr>
          <w:rFonts w:cstheme="minorHAnsi"/>
        </w:rPr>
        <w:t xml:space="preserve"> </w:t>
      </w:r>
      <w:r w:rsidR="002577A2">
        <w:rPr>
          <w:rFonts w:cstheme="minorHAnsi"/>
        </w:rPr>
        <w:t xml:space="preserve">Immiscibility region of the </w:t>
      </w:r>
      <w:r w:rsidR="000109F5" w:rsidRPr="00931139">
        <w:rPr>
          <w:rFonts w:cstheme="minorHAnsi"/>
        </w:rPr>
        <w:t>CaO-SiO</w:t>
      </w:r>
      <w:r w:rsidR="000109F5" w:rsidRPr="0098248F">
        <w:rPr>
          <w:rFonts w:cstheme="minorHAnsi"/>
          <w:vertAlign w:val="subscript"/>
        </w:rPr>
        <w:t>2</w:t>
      </w:r>
      <w:r w:rsidR="000109F5" w:rsidRPr="00931139">
        <w:rPr>
          <w:rFonts w:cstheme="minorHAnsi"/>
        </w:rPr>
        <w:t xml:space="preserve"> phase diagram</w:t>
      </w:r>
    </w:p>
    <w:p w14:paraId="1DE4AFB4" w14:textId="46AAB7FC" w:rsidR="00F9576D" w:rsidRDefault="00F9576D" w:rsidP="00726F82">
      <w:pPr>
        <w:spacing w:line="480" w:lineRule="auto"/>
        <w:jc w:val="center"/>
        <w:rPr>
          <w:rFonts w:cstheme="minorHAnsi"/>
        </w:rPr>
      </w:pPr>
      <w:r>
        <w:rPr>
          <w:rFonts w:cstheme="minorHAnsi"/>
          <w:noProof/>
        </w:rPr>
        <w:drawing>
          <wp:inline distT="0" distB="0" distL="0" distR="0" wp14:anchorId="0F7E0ECA" wp14:editId="43DED331">
            <wp:extent cx="2933205" cy="3580037"/>
            <wp:effectExtent l="0" t="0" r="635" b="1905"/>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ementary Info S1.tif"/>
                    <pic:cNvPicPr/>
                  </pic:nvPicPr>
                  <pic:blipFill>
                    <a:blip r:embed="rId5">
                      <a:extLst>
                        <a:ext uri="{28A0092B-C50C-407E-A947-70E740481C1C}">
                          <a14:useLocalDpi xmlns:a14="http://schemas.microsoft.com/office/drawing/2010/main" val="0"/>
                        </a:ext>
                      </a:extLst>
                    </a:blip>
                    <a:stretch>
                      <a:fillRect/>
                    </a:stretch>
                  </pic:blipFill>
                  <pic:spPr>
                    <a:xfrm>
                      <a:off x="0" y="0"/>
                      <a:ext cx="2941930" cy="3590686"/>
                    </a:xfrm>
                    <a:prstGeom prst="rect">
                      <a:avLst/>
                    </a:prstGeom>
                  </pic:spPr>
                </pic:pic>
              </a:graphicData>
            </a:graphic>
          </wp:inline>
        </w:drawing>
      </w:r>
    </w:p>
    <w:p w14:paraId="127CA3F0" w14:textId="72842951" w:rsidR="005D0EAD" w:rsidRPr="005D0EAD" w:rsidRDefault="005D0EAD" w:rsidP="00726F82">
      <w:pPr>
        <w:spacing w:line="480" w:lineRule="auto"/>
        <w:jc w:val="both"/>
        <w:rPr>
          <w:rFonts w:cstheme="minorHAnsi"/>
        </w:rPr>
      </w:pPr>
      <w:r>
        <w:rPr>
          <w:rFonts w:cstheme="minorHAnsi"/>
        </w:rPr>
        <w:t>Immiscibility region of the CaO-SiO</w:t>
      </w:r>
      <w:r w:rsidRPr="005D0EAD">
        <w:rPr>
          <w:rFonts w:cstheme="minorHAnsi"/>
          <w:vertAlign w:val="subscript"/>
        </w:rPr>
        <w:t>2</w:t>
      </w:r>
      <w:r>
        <w:rPr>
          <w:rFonts w:cstheme="minorHAnsi"/>
        </w:rPr>
        <w:t xml:space="preserve"> phase diagram with the measured compositions (blue dashed lines) of the CaO-rich matrix and the SiO</w:t>
      </w:r>
      <w:r w:rsidRPr="005D0EAD">
        <w:rPr>
          <w:rFonts w:cstheme="minorHAnsi"/>
          <w:vertAlign w:val="subscript"/>
        </w:rPr>
        <w:t>2</w:t>
      </w:r>
      <w:r>
        <w:rPr>
          <w:rFonts w:cstheme="minorHAnsi"/>
        </w:rPr>
        <w:t>-rich microphase overlaid. The line connecting the two compositions (grey solid line) along the immiscibility gap is expected to be isothermal, however, this is not the case. The slight temperature discrepancy is explained in the text of the Communication. The 0 point corresponds to 100 mol% SiO</w:t>
      </w:r>
      <w:r w:rsidRPr="005D0EAD">
        <w:rPr>
          <w:rFonts w:cstheme="minorHAnsi"/>
          <w:vertAlign w:val="subscript"/>
        </w:rPr>
        <w:t>2</w:t>
      </w:r>
      <w:r>
        <w:rPr>
          <w:rFonts w:cstheme="minorHAnsi"/>
        </w:rPr>
        <w:t xml:space="preserve">. </w:t>
      </w:r>
    </w:p>
    <w:p w14:paraId="5E1CFC12" w14:textId="77777777" w:rsidR="005D0EAD" w:rsidRPr="005D0EAD" w:rsidRDefault="005D0EAD" w:rsidP="00726F82">
      <w:pPr>
        <w:spacing w:line="480" w:lineRule="auto"/>
        <w:jc w:val="both"/>
        <w:rPr>
          <w:rFonts w:cstheme="minorHAnsi"/>
        </w:rPr>
      </w:pPr>
    </w:p>
    <w:p w14:paraId="76D09D0F" w14:textId="57A562D1" w:rsidR="005D0EAD" w:rsidRDefault="005D0EAD" w:rsidP="00726F82">
      <w:pPr>
        <w:spacing w:line="480" w:lineRule="auto"/>
        <w:jc w:val="both"/>
        <w:rPr>
          <w:rFonts w:cstheme="minorHAnsi"/>
        </w:rPr>
      </w:pPr>
      <w:r w:rsidRPr="005D0EAD">
        <w:rPr>
          <w:rFonts w:cstheme="minorHAnsi"/>
          <w:i/>
          <w:iCs/>
        </w:rPr>
        <w:t>Adapted from</w:t>
      </w:r>
      <w:r w:rsidRPr="005D0EAD">
        <w:rPr>
          <w:rFonts w:cstheme="minorHAnsi"/>
        </w:rPr>
        <w:t xml:space="preserve"> S. Kim and T. Sanders: Thermodynamic modeling of the miscibility gaps and the metastable liquidi in the M</w:t>
      </w:r>
      <w:r w:rsidR="00A53D55">
        <w:rPr>
          <w:rFonts w:cstheme="minorHAnsi"/>
        </w:rPr>
        <w:t>g</w:t>
      </w:r>
      <w:r w:rsidRPr="005D0EAD">
        <w:rPr>
          <w:rFonts w:cstheme="minorHAnsi"/>
        </w:rPr>
        <w:t>O-SiO</w:t>
      </w:r>
      <w:r w:rsidRPr="005D0EAD">
        <w:rPr>
          <w:rFonts w:cstheme="minorHAnsi"/>
          <w:vertAlign w:val="subscript"/>
        </w:rPr>
        <w:t>2</w:t>
      </w:r>
      <w:r w:rsidRPr="005D0EAD">
        <w:rPr>
          <w:rFonts w:cstheme="minorHAnsi"/>
        </w:rPr>
        <w:t>, CaO-SiO</w:t>
      </w:r>
      <w:r w:rsidRPr="005D0EAD">
        <w:rPr>
          <w:rFonts w:cstheme="minorHAnsi"/>
          <w:vertAlign w:val="subscript"/>
        </w:rPr>
        <w:t>2</w:t>
      </w:r>
      <w:r w:rsidRPr="005D0EAD">
        <w:rPr>
          <w:rFonts w:cstheme="minorHAnsi"/>
        </w:rPr>
        <w:t>, and SrO-SiO</w:t>
      </w:r>
      <w:r w:rsidRPr="005D0EAD">
        <w:rPr>
          <w:rFonts w:cstheme="minorHAnsi"/>
          <w:vertAlign w:val="subscript"/>
        </w:rPr>
        <w:t>2</w:t>
      </w:r>
      <w:r w:rsidRPr="005D0EAD">
        <w:rPr>
          <w:rFonts w:cstheme="minorHAnsi"/>
        </w:rPr>
        <w:t xml:space="preserve"> Systems. </w:t>
      </w:r>
      <w:r w:rsidRPr="005D0EAD">
        <w:rPr>
          <w:rFonts w:cstheme="minorHAnsi"/>
          <w:i/>
          <w:iCs/>
        </w:rPr>
        <w:t>J</w:t>
      </w:r>
      <w:r>
        <w:rPr>
          <w:rFonts w:cstheme="minorHAnsi"/>
          <w:i/>
          <w:iCs/>
        </w:rPr>
        <w:t xml:space="preserve">. </w:t>
      </w:r>
      <w:r w:rsidRPr="005D0EAD">
        <w:rPr>
          <w:rFonts w:cstheme="minorHAnsi"/>
          <w:i/>
          <w:iCs/>
        </w:rPr>
        <w:t>A</w:t>
      </w:r>
      <w:r>
        <w:rPr>
          <w:rFonts w:cstheme="minorHAnsi"/>
          <w:i/>
          <w:iCs/>
        </w:rPr>
        <w:t xml:space="preserve">m. </w:t>
      </w:r>
      <w:r w:rsidRPr="005D0EAD">
        <w:rPr>
          <w:rFonts w:cstheme="minorHAnsi"/>
          <w:i/>
          <w:iCs/>
        </w:rPr>
        <w:t>C</w:t>
      </w:r>
      <w:r>
        <w:rPr>
          <w:rFonts w:cstheme="minorHAnsi"/>
          <w:i/>
          <w:iCs/>
        </w:rPr>
        <w:t xml:space="preserve">eram. </w:t>
      </w:r>
      <w:r w:rsidRPr="005D0EAD">
        <w:rPr>
          <w:rFonts w:cstheme="minorHAnsi"/>
          <w:i/>
          <w:iCs/>
        </w:rPr>
        <w:t>S</w:t>
      </w:r>
      <w:r>
        <w:rPr>
          <w:rFonts w:cstheme="minorHAnsi"/>
          <w:i/>
          <w:iCs/>
        </w:rPr>
        <w:t>oc</w:t>
      </w:r>
      <w:r w:rsidRPr="005D0EAD">
        <w:rPr>
          <w:rFonts w:cstheme="minorHAnsi"/>
          <w:i/>
          <w:iCs/>
        </w:rPr>
        <w:t>.</w:t>
      </w:r>
      <w:r w:rsidRPr="005D0EAD">
        <w:rPr>
          <w:rFonts w:cstheme="minorHAnsi"/>
        </w:rPr>
        <w:t xml:space="preserve"> </w:t>
      </w:r>
      <w:r w:rsidRPr="005D0EAD">
        <w:rPr>
          <w:rFonts w:cstheme="minorHAnsi"/>
          <w:b/>
          <w:bCs/>
        </w:rPr>
        <w:t>82</w:t>
      </w:r>
      <w:r w:rsidRPr="005D0EAD">
        <w:rPr>
          <w:rFonts w:cstheme="minorHAnsi"/>
        </w:rPr>
        <w:t>, 1901-1907 (1999).</w:t>
      </w:r>
    </w:p>
    <w:p w14:paraId="41466EF3" w14:textId="2D829C2A" w:rsidR="00D443C7" w:rsidRDefault="00057905" w:rsidP="00726F82">
      <w:pPr>
        <w:spacing w:line="480" w:lineRule="auto"/>
        <w:jc w:val="both"/>
        <w:rPr>
          <w:rFonts w:cstheme="minorHAnsi"/>
        </w:rPr>
      </w:pPr>
      <w:r>
        <w:rPr>
          <w:rFonts w:cstheme="minorHAnsi"/>
        </w:rPr>
        <w:t>Underlying figure reproduced with permission from John Wiley &amp; Sons, License # 4773081011457</w:t>
      </w:r>
    </w:p>
    <w:p w14:paraId="20EA9714" w14:textId="625BE4FA" w:rsidR="000109F5" w:rsidRPr="00931139" w:rsidRDefault="000109F5" w:rsidP="00726F82">
      <w:pPr>
        <w:spacing w:line="480" w:lineRule="auto"/>
        <w:jc w:val="both"/>
        <w:rPr>
          <w:rFonts w:cstheme="minorHAnsi"/>
        </w:rPr>
      </w:pPr>
      <w:r w:rsidRPr="000C3131">
        <w:rPr>
          <w:rFonts w:cstheme="minorHAnsi"/>
          <w:b/>
          <w:bCs/>
        </w:rPr>
        <w:t>Figure S2</w:t>
      </w:r>
      <w:r w:rsidR="00C4367D">
        <w:rPr>
          <w:rFonts w:cstheme="minorHAnsi"/>
        </w:rPr>
        <w:t>:</w:t>
      </w:r>
      <w:r w:rsidRPr="00931139">
        <w:rPr>
          <w:rFonts w:cstheme="minorHAnsi"/>
        </w:rPr>
        <w:t xml:space="preserve"> XRD </w:t>
      </w:r>
      <w:r w:rsidR="002577A2">
        <w:rPr>
          <w:rFonts w:cstheme="minorHAnsi"/>
        </w:rPr>
        <w:t xml:space="preserve">pattern </w:t>
      </w:r>
      <w:r w:rsidRPr="00931139">
        <w:rPr>
          <w:rFonts w:cstheme="minorHAnsi"/>
        </w:rPr>
        <w:t>of CaO-derived fiber</w:t>
      </w:r>
    </w:p>
    <w:p w14:paraId="34CA9A17" w14:textId="7C9FC497" w:rsidR="000109F5" w:rsidRDefault="002577A2" w:rsidP="00726F82">
      <w:pPr>
        <w:spacing w:line="480" w:lineRule="auto"/>
        <w:jc w:val="center"/>
        <w:rPr>
          <w:rFonts w:cstheme="minorHAnsi"/>
        </w:rPr>
      </w:pPr>
      <w:r>
        <w:rPr>
          <w:rFonts w:cstheme="minorHAnsi"/>
          <w:noProof/>
        </w:rPr>
        <w:lastRenderedPageBreak/>
        <w:drawing>
          <wp:inline distT="0" distB="0" distL="0" distR="0" wp14:anchorId="60C3258F" wp14:editId="49D1470E">
            <wp:extent cx="3031269" cy="2553195"/>
            <wp:effectExtent l="0" t="0" r="0" b="0"/>
            <wp:docPr id="3" name="Picture 3" descr="A picture containing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plementary Info S2.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4394" cy="2564250"/>
                    </a:xfrm>
                    <a:prstGeom prst="rect">
                      <a:avLst/>
                    </a:prstGeom>
                  </pic:spPr>
                </pic:pic>
              </a:graphicData>
            </a:graphic>
          </wp:inline>
        </w:drawing>
      </w:r>
    </w:p>
    <w:p w14:paraId="1845D343" w14:textId="00D8FEDF" w:rsidR="002577A2" w:rsidRDefault="002577A2" w:rsidP="00726F82">
      <w:pPr>
        <w:spacing w:line="480" w:lineRule="auto"/>
        <w:jc w:val="both"/>
        <w:rPr>
          <w:rFonts w:cstheme="minorHAnsi"/>
        </w:rPr>
      </w:pPr>
      <w:r>
        <w:rPr>
          <w:rFonts w:cstheme="minorHAnsi"/>
        </w:rPr>
        <w:t xml:space="preserve">XRD pattern for the CaO-derived fiber. Prior to analysis, the sample was prepared similarly to the NiO-derived fiber described in the text. The broad peak at approximately 23° (2θ) corresponds to amorphous silica. </w:t>
      </w:r>
    </w:p>
    <w:p w14:paraId="1FB65BF3" w14:textId="31F22FD4" w:rsidR="007F6A1F" w:rsidRDefault="007F6A1F" w:rsidP="00726F82">
      <w:pPr>
        <w:spacing w:line="480" w:lineRule="auto"/>
        <w:jc w:val="both"/>
        <w:rPr>
          <w:rFonts w:cstheme="minorHAnsi"/>
        </w:rPr>
      </w:pPr>
    </w:p>
    <w:p w14:paraId="33219FFC" w14:textId="2C035F14" w:rsidR="007F6A1F" w:rsidRDefault="007F6A1F" w:rsidP="00726F82">
      <w:pPr>
        <w:spacing w:line="480" w:lineRule="auto"/>
        <w:jc w:val="both"/>
        <w:rPr>
          <w:rFonts w:cstheme="minorHAnsi"/>
        </w:rPr>
      </w:pPr>
    </w:p>
    <w:p w14:paraId="186339E7" w14:textId="31B11485" w:rsidR="007F6A1F" w:rsidRDefault="007F6A1F" w:rsidP="00726F82">
      <w:pPr>
        <w:spacing w:line="480" w:lineRule="auto"/>
        <w:jc w:val="both"/>
        <w:rPr>
          <w:rFonts w:cstheme="minorHAnsi"/>
        </w:rPr>
      </w:pPr>
    </w:p>
    <w:p w14:paraId="716CF9FC" w14:textId="7CBF1B90" w:rsidR="007F6A1F" w:rsidRDefault="007F6A1F" w:rsidP="00726F82">
      <w:pPr>
        <w:spacing w:line="480" w:lineRule="auto"/>
        <w:jc w:val="both"/>
        <w:rPr>
          <w:rFonts w:cstheme="minorHAnsi"/>
        </w:rPr>
      </w:pPr>
    </w:p>
    <w:p w14:paraId="4A9151D5" w14:textId="43FD2F39" w:rsidR="007F6A1F" w:rsidRDefault="007F6A1F" w:rsidP="00726F82">
      <w:pPr>
        <w:spacing w:line="480" w:lineRule="auto"/>
        <w:jc w:val="both"/>
        <w:rPr>
          <w:rFonts w:cstheme="minorHAnsi"/>
        </w:rPr>
      </w:pPr>
    </w:p>
    <w:p w14:paraId="63096530" w14:textId="7A7BC736" w:rsidR="007F6A1F" w:rsidRDefault="007F6A1F" w:rsidP="00726F82">
      <w:pPr>
        <w:spacing w:line="480" w:lineRule="auto"/>
        <w:jc w:val="both"/>
        <w:rPr>
          <w:rFonts w:cstheme="minorHAnsi"/>
        </w:rPr>
      </w:pPr>
    </w:p>
    <w:p w14:paraId="79966E94" w14:textId="1B1D2FA9" w:rsidR="007F6A1F" w:rsidRDefault="007F6A1F" w:rsidP="00726F82">
      <w:pPr>
        <w:spacing w:line="480" w:lineRule="auto"/>
        <w:jc w:val="both"/>
        <w:rPr>
          <w:rFonts w:cstheme="minorHAnsi"/>
        </w:rPr>
      </w:pPr>
    </w:p>
    <w:p w14:paraId="49BA1EAA" w14:textId="04374969" w:rsidR="007F6A1F" w:rsidRDefault="007F6A1F" w:rsidP="00726F82">
      <w:pPr>
        <w:spacing w:line="480" w:lineRule="auto"/>
        <w:jc w:val="both"/>
        <w:rPr>
          <w:rFonts w:cstheme="minorHAnsi"/>
        </w:rPr>
      </w:pPr>
    </w:p>
    <w:p w14:paraId="518EE674" w14:textId="722BD777" w:rsidR="007F6A1F" w:rsidRDefault="007F6A1F" w:rsidP="00726F82">
      <w:pPr>
        <w:spacing w:line="480" w:lineRule="auto"/>
        <w:jc w:val="both"/>
        <w:rPr>
          <w:rFonts w:cstheme="minorHAnsi"/>
        </w:rPr>
      </w:pPr>
    </w:p>
    <w:p w14:paraId="16F5DC94" w14:textId="4ABCA31B" w:rsidR="007F6A1F" w:rsidRDefault="007F6A1F" w:rsidP="00726F82">
      <w:pPr>
        <w:spacing w:line="480" w:lineRule="auto"/>
        <w:jc w:val="both"/>
        <w:rPr>
          <w:rFonts w:cstheme="minorHAnsi"/>
        </w:rPr>
      </w:pPr>
      <w:r w:rsidRPr="007F6A1F">
        <w:rPr>
          <w:rFonts w:cstheme="minorHAnsi"/>
          <w:b/>
          <w:bCs/>
        </w:rPr>
        <w:t>Table S</w:t>
      </w:r>
      <w:r w:rsidR="00F413F0">
        <w:rPr>
          <w:rFonts w:cstheme="minorHAnsi"/>
          <w:b/>
          <w:bCs/>
        </w:rPr>
        <w:t>3</w:t>
      </w:r>
      <w:r>
        <w:rPr>
          <w:rFonts w:cstheme="minorHAnsi"/>
        </w:rPr>
        <w:t xml:space="preserve">: </w:t>
      </w:r>
      <w:r w:rsidRPr="00931139">
        <w:rPr>
          <w:rFonts w:cstheme="minorHAnsi"/>
        </w:rPr>
        <w:t>Composition (atomic %) of the various phases observed in the core of the NiO-derived fiber.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620"/>
        <w:gridCol w:w="1921"/>
        <w:gridCol w:w="1674"/>
      </w:tblGrid>
      <w:tr w:rsidR="007F6A1F" w:rsidRPr="00931139" w14:paraId="220CCC43" w14:textId="77777777" w:rsidTr="00D000C3">
        <w:trPr>
          <w:trHeight w:val="279"/>
          <w:jc w:val="center"/>
        </w:trPr>
        <w:tc>
          <w:tcPr>
            <w:tcW w:w="1530" w:type="dxa"/>
            <w:tcBorders>
              <w:top w:val="single" w:sz="4" w:space="0" w:color="auto"/>
              <w:bottom w:val="single" w:sz="4" w:space="0" w:color="auto"/>
            </w:tcBorders>
          </w:tcPr>
          <w:p w14:paraId="79703D7A" w14:textId="77777777" w:rsidR="007F6A1F" w:rsidRPr="00931139" w:rsidRDefault="007F6A1F" w:rsidP="00D000C3">
            <w:pPr>
              <w:spacing w:line="480" w:lineRule="auto"/>
              <w:rPr>
                <w:rFonts w:cstheme="minorHAnsi"/>
                <w:b/>
              </w:rPr>
            </w:pPr>
            <w:r w:rsidRPr="00931139">
              <w:rPr>
                <w:rFonts w:cstheme="minorHAnsi"/>
                <w:b/>
              </w:rPr>
              <w:lastRenderedPageBreak/>
              <w:t>Atomic %</w:t>
            </w:r>
          </w:p>
        </w:tc>
        <w:tc>
          <w:tcPr>
            <w:tcW w:w="1620" w:type="dxa"/>
            <w:tcBorders>
              <w:top w:val="single" w:sz="4" w:space="0" w:color="auto"/>
              <w:bottom w:val="single" w:sz="4" w:space="0" w:color="auto"/>
            </w:tcBorders>
          </w:tcPr>
          <w:p w14:paraId="61F36562" w14:textId="77777777" w:rsidR="007F6A1F" w:rsidRPr="00931139" w:rsidRDefault="007F6A1F" w:rsidP="00D000C3">
            <w:pPr>
              <w:spacing w:line="480" w:lineRule="auto"/>
              <w:jc w:val="center"/>
              <w:rPr>
                <w:rFonts w:cstheme="minorHAnsi"/>
                <w:b/>
              </w:rPr>
            </w:pPr>
            <w:r w:rsidRPr="00931139">
              <w:rPr>
                <w:rFonts w:cstheme="minorHAnsi"/>
                <w:b/>
              </w:rPr>
              <w:t>Nodular phase</w:t>
            </w:r>
          </w:p>
        </w:tc>
        <w:tc>
          <w:tcPr>
            <w:tcW w:w="1921" w:type="dxa"/>
            <w:tcBorders>
              <w:top w:val="single" w:sz="4" w:space="0" w:color="auto"/>
              <w:bottom w:val="single" w:sz="4" w:space="0" w:color="auto"/>
            </w:tcBorders>
          </w:tcPr>
          <w:p w14:paraId="51854860" w14:textId="77777777" w:rsidR="007F6A1F" w:rsidRPr="00931139" w:rsidRDefault="007F6A1F" w:rsidP="00D000C3">
            <w:pPr>
              <w:spacing w:line="480" w:lineRule="auto"/>
              <w:jc w:val="center"/>
              <w:rPr>
                <w:rFonts w:cstheme="minorHAnsi"/>
                <w:b/>
              </w:rPr>
            </w:pPr>
            <w:r>
              <w:rPr>
                <w:rFonts w:cstheme="minorHAnsi"/>
                <w:b/>
              </w:rPr>
              <w:t>Convolved</w:t>
            </w:r>
            <w:r w:rsidRPr="00931139">
              <w:rPr>
                <w:rFonts w:cstheme="minorHAnsi"/>
                <w:b/>
              </w:rPr>
              <w:t xml:space="preserve"> phase</w:t>
            </w:r>
          </w:p>
        </w:tc>
        <w:tc>
          <w:tcPr>
            <w:tcW w:w="1674" w:type="dxa"/>
            <w:tcBorders>
              <w:top w:val="single" w:sz="4" w:space="0" w:color="auto"/>
              <w:bottom w:val="single" w:sz="4" w:space="0" w:color="auto"/>
            </w:tcBorders>
          </w:tcPr>
          <w:p w14:paraId="01367AAC" w14:textId="77777777" w:rsidR="007F6A1F" w:rsidRPr="00931139" w:rsidRDefault="007F6A1F" w:rsidP="00D000C3">
            <w:pPr>
              <w:spacing w:line="480" w:lineRule="auto"/>
              <w:jc w:val="center"/>
              <w:rPr>
                <w:rFonts w:cstheme="minorHAnsi"/>
                <w:b/>
              </w:rPr>
            </w:pPr>
            <w:r w:rsidRPr="00931139">
              <w:rPr>
                <w:rFonts w:cstheme="minorHAnsi"/>
                <w:b/>
              </w:rPr>
              <w:t>Matrix</w:t>
            </w:r>
          </w:p>
        </w:tc>
      </w:tr>
      <w:tr w:rsidR="007F6A1F" w:rsidRPr="00931139" w14:paraId="732FC771" w14:textId="77777777" w:rsidTr="00D000C3">
        <w:trPr>
          <w:trHeight w:val="279"/>
          <w:jc w:val="center"/>
        </w:trPr>
        <w:tc>
          <w:tcPr>
            <w:tcW w:w="1530" w:type="dxa"/>
            <w:tcBorders>
              <w:top w:val="single" w:sz="4" w:space="0" w:color="auto"/>
            </w:tcBorders>
          </w:tcPr>
          <w:p w14:paraId="6004ED85" w14:textId="77777777" w:rsidR="007F6A1F" w:rsidRPr="00931139" w:rsidRDefault="007F6A1F" w:rsidP="00D000C3">
            <w:pPr>
              <w:spacing w:line="480" w:lineRule="auto"/>
              <w:rPr>
                <w:rFonts w:cstheme="minorHAnsi"/>
                <w:b/>
              </w:rPr>
            </w:pPr>
            <w:r w:rsidRPr="00931139">
              <w:rPr>
                <w:rFonts w:cstheme="minorHAnsi"/>
                <w:b/>
              </w:rPr>
              <w:t xml:space="preserve">Ni </w:t>
            </w:r>
          </w:p>
        </w:tc>
        <w:tc>
          <w:tcPr>
            <w:tcW w:w="1620" w:type="dxa"/>
            <w:tcBorders>
              <w:top w:val="single" w:sz="4" w:space="0" w:color="auto"/>
            </w:tcBorders>
          </w:tcPr>
          <w:p w14:paraId="38190216" w14:textId="77777777" w:rsidR="007F6A1F" w:rsidRPr="00931139" w:rsidRDefault="007F6A1F" w:rsidP="00D000C3">
            <w:pPr>
              <w:spacing w:line="480" w:lineRule="auto"/>
              <w:jc w:val="center"/>
              <w:rPr>
                <w:rFonts w:cstheme="minorHAnsi"/>
              </w:rPr>
            </w:pPr>
            <w:r w:rsidRPr="00931139">
              <w:rPr>
                <w:rFonts w:cstheme="minorHAnsi"/>
              </w:rPr>
              <w:t>63.43</w:t>
            </w:r>
          </w:p>
        </w:tc>
        <w:tc>
          <w:tcPr>
            <w:tcW w:w="1921" w:type="dxa"/>
            <w:tcBorders>
              <w:top w:val="single" w:sz="4" w:space="0" w:color="auto"/>
            </w:tcBorders>
          </w:tcPr>
          <w:p w14:paraId="3271E467" w14:textId="77777777" w:rsidR="007F6A1F" w:rsidRPr="00931139" w:rsidRDefault="007F6A1F" w:rsidP="00D000C3">
            <w:pPr>
              <w:spacing w:line="480" w:lineRule="auto"/>
              <w:jc w:val="center"/>
              <w:rPr>
                <w:rFonts w:cstheme="minorHAnsi"/>
              </w:rPr>
            </w:pPr>
            <w:r w:rsidRPr="00931139">
              <w:rPr>
                <w:rFonts w:cstheme="minorHAnsi"/>
              </w:rPr>
              <w:t>19.10</w:t>
            </w:r>
          </w:p>
        </w:tc>
        <w:tc>
          <w:tcPr>
            <w:tcW w:w="1674" w:type="dxa"/>
            <w:tcBorders>
              <w:top w:val="single" w:sz="4" w:space="0" w:color="auto"/>
            </w:tcBorders>
          </w:tcPr>
          <w:p w14:paraId="56541829" w14:textId="77777777" w:rsidR="007F6A1F" w:rsidRPr="00931139" w:rsidRDefault="007F6A1F" w:rsidP="00D000C3">
            <w:pPr>
              <w:spacing w:line="480" w:lineRule="auto"/>
              <w:jc w:val="center"/>
              <w:rPr>
                <w:rFonts w:cstheme="minorHAnsi"/>
              </w:rPr>
            </w:pPr>
            <w:r w:rsidRPr="00931139">
              <w:rPr>
                <w:rFonts w:cstheme="minorHAnsi"/>
              </w:rPr>
              <w:t>32.30</w:t>
            </w:r>
          </w:p>
        </w:tc>
      </w:tr>
      <w:tr w:rsidR="007F6A1F" w:rsidRPr="00931139" w14:paraId="0EE2C965" w14:textId="77777777" w:rsidTr="00D000C3">
        <w:trPr>
          <w:trHeight w:val="279"/>
          <w:jc w:val="center"/>
        </w:trPr>
        <w:tc>
          <w:tcPr>
            <w:tcW w:w="1530" w:type="dxa"/>
          </w:tcPr>
          <w:p w14:paraId="0B031F22" w14:textId="77777777" w:rsidR="007F6A1F" w:rsidRPr="00931139" w:rsidRDefault="007F6A1F" w:rsidP="00D000C3">
            <w:pPr>
              <w:spacing w:line="480" w:lineRule="auto"/>
              <w:rPr>
                <w:rFonts w:cstheme="minorHAnsi"/>
                <w:b/>
              </w:rPr>
            </w:pPr>
            <w:r w:rsidRPr="00931139">
              <w:rPr>
                <w:rFonts w:cstheme="minorHAnsi"/>
                <w:b/>
              </w:rPr>
              <w:t>Si</w:t>
            </w:r>
          </w:p>
        </w:tc>
        <w:tc>
          <w:tcPr>
            <w:tcW w:w="1620" w:type="dxa"/>
          </w:tcPr>
          <w:p w14:paraId="11CE102E" w14:textId="77777777" w:rsidR="007F6A1F" w:rsidRPr="00931139" w:rsidRDefault="007F6A1F" w:rsidP="00D000C3">
            <w:pPr>
              <w:spacing w:line="480" w:lineRule="auto"/>
              <w:jc w:val="center"/>
              <w:rPr>
                <w:rFonts w:cstheme="minorHAnsi"/>
              </w:rPr>
            </w:pPr>
            <w:r w:rsidRPr="00931139">
              <w:rPr>
                <w:rFonts w:cstheme="minorHAnsi"/>
              </w:rPr>
              <w:t>10.59</w:t>
            </w:r>
          </w:p>
        </w:tc>
        <w:tc>
          <w:tcPr>
            <w:tcW w:w="1921" w:type="dxa"/>
          </w:tcPr>
          <w:p w14:paraId="294F6A5C" w14:textId="77777777" w:rsidR="007F6A1F" w:rsidRPr="00931139" w:rsidRDefault="007F6A1F" w:rsidP="00D000C3">
            <w:pPr>
              <w:spacing w:line="480" w:lineRule="auto"/>
              <w:jc w:val="center"/>
              <w:rPr>
                <w:rFonts w:cstheme="minorHAnsi"/>
              </w:rPr>
            </w:pPr>
            <w:r w:rsidRPr="00931139">
              <w:rPr>
                <w:rFonts w:cstheme="minorHAnsi"/>
              </w:rPr>
              <w:t>24.34</w:t>
            </w:r>
          </w:p>
        </w:tc>
        <w:tc>
          <w:tcPr>
            <w:tcW w:w="1674" w:type="dxa"/>
          </w:tcPr>
          <w:p w14:paraId="66B0275B" w14:textId="77777777" w:rsidR="007F6A1F" w:rsidRPr="00931139" w:rsidRDefault="007F6A1F" w:rsidP="00D000C3">
            <w:pPr>
              <w:spacing w:line="480" w:lineRule="auto"/>
              <w:jc w:val="center"/>
              <w:rPr>
                <w:rFonts w:cstheme="minorHAnsi"/>
              </w:rPr>
            </w:pPr>
            <w:r w:rsidRPr="00931139">
              <w:rPr>
                <w:rFonts w:cstheme="minorHAnsi"/>
              </w:rPr>
              <w:t>20.74</w:t>
            </w:r>
          </w:p>
        </w:tc>
      </w:tr>
      <w:tr w:rsidR="007F6A1F" w:rsidRPr="00931139" w14:paraId="0761201E" w14:textId="77777777" w:rsidTr="00D000C3">
        <w:trPr>
          <w:trHeight w:val="259"/>
          <w:jc w:val="center"/>
        </w:trPr>
        <w:tc>
          <w:tcPr>
            <w:tcW w:w="1530" w:type="dxa"/>
            <w:tcBorders>
              <w:bottom w:val="single" w:sz="4" w:space="0" w:color="auto"/>
            </w:tcBorders>
          </w:tcPr>
          <w:p w14:paraId="2D54DA6B" w14:textId="77777777" w:rsidR="007F6A1F" w:rsidRPr="00931139" w:rsidRDefault="007F6A1F" w:rsidP="00D000C3">
            <w:pPr>
              <w:spacing w:line="480" w:lineRule="auto"/>
              <w:rPr>
                <w:rFonts w:cstheme="minorHAnsi"/>
                <w:b/>
              </w:rPr>
            </w:pPr>
            <w:r w:rsidRPr="00931139">
              <w:rPr>
                <w:rFonts w:cstheme="minorHAnsi"/>
                <w:b/>
              </w:rPr>
              <w:t>O</w:t>
            </w:r>
          </w:p>
        </w:tc>
        <w:tc>
          <w:tcPr>
            <w:tcW w:w="1620" w:type="dxa"/>
            <w:tcBorders>
              <w:bottom w:val="single" w:sz="4" w:space="0" w:color="auto"/>
            </w:tcBorders>
          </w:tcPr>
          <w:p w14:paraId="2B4C1396" w14:textId="77777777" w:rsidR="007F6A1F" w:rsidRPr="00931139" w:rsidRDefault="007F6A1F" w:rsidP="00D000C3">
            <w:pPr>
              <w:spacing w:line="480" w:lineRule="auto"/>
              <w:jc w:val="center"/>
              <w:rPr>
                <w:rFonts w:cstheme="minorHAnsi"/>
              </w:rPr>
            </w:pPr>
            <w:r w:rsidRPr="00931139">
              <w:rPr>
                <w:rFonts w:cstheme="minorHAnsi"/>
              </w:rPr>
              <w:t>25.98</w:t>
            </w:r>
          </w:p>
        </w:tc>
        <w:tc>
          <w:tcPr>
            <w:tcW w:w="1921" w:type="dxa"/>
            <w:tcBorders>
              <w:bottom w:val="single" w:sz="4" w:space="0" w:color="auto"/>
            </w:tcBorders>
          </w:tcPr>
          <w:p w14:paraId="20983DBB" w14:textId="77777777" w:rsidR="007F6A1F" w:rsidRPr="00931139" w:rsidRDefault="007F6A1F" w:rsidP="00D000C3">
            <w:pPr>
              <w:spacing w:line="480" w:lineRule="auto"/>
              <w:jc w:val="center"/>
              <w:rPr>
                <w:rFonts w:cstheme="minorHAnsi"/>
              </w:rPr>
            </w:pPr>
            <w:r w:rsidRPr="00931139">
              <w:rPr>
                <w:rFonts w:cstheme="minorHAnsi"/>
              </w:rPr>
              <w:t>56.56</w:t>
            </w:r>
          </w:p>
        </w:tc>
        <w:tc>
          <w:tcPr>
            <w:tcW w:w="1674" w:type="dxa"/>
            <w:tcBorders>
              <w:bottom w:val="single" w:sz="4" w:space="0" w:color="auto"/>
            </w:tcBorders>
          </w:tcPr>
          <w:p w14:paraId="0B84F96A" w14:textId="77777777" w:rsidR="007F6A1F" w:rsidRPr="00931139" w:rsidRDefault="007F6A1F" w:rsidP="00D000C3">
            <w:pPr>
              <w:spacing w:line="480" w:lineRule="auto"/>
              <w:jc w:val="center"/>
              <w:rPr>
                <w:rFonts w:cstheme="minorHAnsi"/>
              </w:rPr>
            </w:pPr>
            <w:r w:rsidRPr="00931139">
              <w:rPr>
                <w:rFonts w:cstheme="minorHAnsi"/>
              </w:rPr>
              <w:t>46.96</w:t>
            </w:r>
          </w:p>
        </w:tc>
      </w:tr>
    </w:tbl>
    <w:p w14:paraId="19980E7B" w14:textId="77777777" w:rsidR="007F6A1F" w:rsidRPr="00931139" w:rsidRDefault="007F6A1F" w:rsidP="00726F82">
      <w:pPr>
        <w:spacing w:line="480" w:lineRule="auto"/>
        <w:jc w:val="both"/>
        <w:rPr>
          <w:rFonts w:cstheme="minorHAnsi"/>
        </w:rPr>
      </w:pPr>
    </w:p>
    <w:sectPr w:rsidR="007F6A1F" w:rsidRPr="00931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799"/>
    <w:rsid w:val="00000A47"/>
    <w:rsid w:val="000109F5"/>
    <w:rsid w:val="0001352F"/>
    <w:rsid w:val="000149CC"/>
    <w:rsid w:val="00015CED"/>
    <w:rsid w:val="000209DC"/>
    <w:rsid w:val="00026655"/>
    <w:rsid w:val="0003132F"/>
    <w:rsid w:val="00040CAF"/>
    <w:rsid w:val="000430F7"/>
    <w:rsid w:val="00046E09"/>
    <w:rsid w:val="00057905"/>
    <w:rsid w:val="000614BC"/>
    <w:rsid w:val="00066ACC"/>
    <w:rsid w:val="0007191D"/>
    <w:rsid w:val="00077D16"/>
    <w:rsid w:val="00077E02"/>
    <w:rsid w:val="000961A3"/>
    <w:rsid w:val="000A09B7"/>
    <w:rsid w:val="000A7921"/>
    <w:rsid w:val="000B6387"/>
    <w:rsid w:val="000C3131"/>
    <w:rsid w:val="000C76F1"/>
    <w:rsid w:val="000D35B6"/>
    <w:rsid w:val="000D567E"/>
    <w:rsid w:val="000D6D5B"/>
    <w:rsid w:val="000F0AAF"/>
    <w:rsid w:val="000F179C"/>
    <w:rsid w:val="000F6483"/>
    <w:rsid w:val="00105065"/>
    <w:rsid w:val="001061D4"/>
    <w:rsid w:val="00107602"/>
    <w:rsid w:val="001132D8"/>
    <w:rsid w:val="00120B8A"/>
    <w:rsid w:val="001231D2"/>
    <w:rsid w:val="00134BF0"/>
    <w:rsid w:val="00134C09"/>
    <w:rsid w:val="00137DC6"/>
    <w:rsid w:val="00154329"/>
    <w:rsid w:val="00155341"/>
    <w:rsid w:val="00155AA4"/>
    <w:rsid w:val="00156B67"/>
    <w:rsid w:val="00160446"/>
    <w:rsid w:val="00173BBC"/>
    <w:rsid w:val="00173F2A"/>
    <w:rsid w:val="00175C53"/>
    <w:rsid w:val="00176870"/>
    <w:rsid w:val="0019054B"/>
    <w:rsid w:val="00194249"/>
    <w:rsid w:val="00194BBA"/>
    <w:rsid w:val="001A5F70"/>
    <w:rsid w:val="001B2981"/>
    <w:rsid w:val="001B4509"/>
    <w:rsid w:val="001C01D8"/>
    <w:rsid w:val="001C2ADF"/>
    <w:rsid w:val="001D0B58"/>
    <w:rsid w:val="001D32D2"/>
    <w:rsid w:val="001D53EB"/>
    <w:rsid w:val="001E43A2"/>
    <w:rsid w:val="001E5102"/>
    <w:rsid w:val="001E569C"/>
    <w:rsid w:val="00204B5E"/>
    <w:rsid w:val="0021140A"/>
    <w:rsid w:val="00226783"/>
    <w:rsid w:val="002270DD"/>
    <w:rsid w:val="002274AA"/>
    <w:rsid w:val="00233299"/>
    <w:rsid w:val="00234A4C"/>
    <w:rsid w:val="0023624E"/>
    <w:rsid w:val="002412BD"/>
    <w:rsid w:val="0024269B"/>
    <w:rsid w:val="0024606A"/>
    <w:rsid w:val="0024627D"/>
    <w:rsid w:val="002466D4"/>
    <w:rsid w:val="00250537"/>
    <w:rsid w:val="002577A2"/>
    <w:rsid w:val="00266006"/>
    <w:rsid w:val="002670A3"/>
    <w:rsid w:val="00270A50"/>
    <w:rsid w:val="00270C43"/>
    <w:rsid w:val="0027394F"/>
    <w:rsid w:val="002776C0"/>
    <w:rsid w:val="002777F2"/>
    <w:rsid w:val="00282BEF"/>
    <w:rsid w:val="00284136"/>
    <w:rsid w:val="00285303"/>
    <w:rsid w:val="002861B4"/>
    <w:rsid w:val="00292AE6"/>
    <w:rsid w:val="002A1975"/>
    <w:rsid w:val="002A50AC"/>
    <w:rsid w:val="002A5138"/>
    <w:rsid w:val="002B176F"/>
    <w:rsid w:val="002B28A6"/>
    <w:rsid w:val="002B45A3"/>
    <w:rsid w:val="002B6463"/>
    <w:rsid w:val="002C0B99"/>
    <w:rsid w:val="002C718C"/>
    <w:rsid w:val="002C7A7E"/>
    <w:rsid w:val="002D3C1B"/>
    <w:rsid w:val="002D458B"/>
    <w:rsid w:val="002D4D4B"/>
    <w:rsid w:val="002D6492"/>
    <w:rsid w:val="002D6FAF"/>
    <w:rsid w:val="002E1A9D"/>
    <w:rsid w:val="002E2200"/>
    <w:rsid w:val="002F779C"/>
    <w:rsid w:val="00310AAF"/>
    <w:rsid w:val="00311A8F"/>
    <w:rsid w:val="003138EB"/>
    <w:rsid w:val="00317BCB"/>
    <w:rsid w:val="003246DD"/>
    <w:rsid w:val="00332D7F"/>
    <w:rsid w:val="00346299"/>
    <w:rsid w:val="00352E00"/>
    <w:rsid w:val="003553AB"/>
    <w:rsid w:val="00356536"/>
    <w:rsid w:val="00356D18"/>
    <w:rsid w:val="0035748D"/>
    <w:rsid w:val="00357F6D"/>
    <w:rsid w:val="00362F4D"/>
    <w:rsid w:val="00363D04"/>
    <w:rsid w:val="003641F9"/>
    <w:rsid w:val="003652FD"/>
    <w:rsid w:val="0037168A"/>
    <w:rsid w:val="00382903"/>
    <w:rsid w:val="00384594"/>
    <w:rsid w:val="00390E5C"/>
    <w:rsid w:val="00393504"/>
    <w:rsid w:val="003950A6"/>
    <w:rsid w:val="00395B73"/>
    <w:rsid w:val="003A1349"/>
    <w:rsid w:val="003A3EFA"/>
    <w:rsid w:val="003A5C38"/>
    <w:rsid w:val="003B1053"/>
    <w:rsid w:val="003B27CF"/>
    <w:rsid w:val="003B292A"/>
    <w:rsid w:val="003B76BB"/>
    <w:rsid w:val="003C46EE"/>
    <w:rsid w:val="003D75BF"/>
    <w:rsid w:val="003D7D82"/>
    <w:rsid w:val="003E4846"/>
    <w:rsid w:val="003F36A8"/>
    <w:rsid w:val="003F4E0E"/>
    <w:rsid w:val="003F6E6E"/>
    <w:rsid w:val="004007D6"/>
    <w:rsid w:val="00404C39"/>
    <w:rsid w:val="00412950"/>
    <w:rsid w:val="00412983"/>
    <w:rsid w:val="0042209C"/>
    <w:rsid w:val="00423E51"/>
    <w:rsid w:val="00424522"/>
    <w:rsid w:val="004250FD"/>
    <w:rsid w:val="004319CE"/>
    <w:rsid w:val="004339F3"/>
    <w:rsid w:val="00433F2B"/>
    <w:rsid w:val="00433F79"/>
    <w:rsid w:val="00434BC0"/>
    <w:rsid w:val="00440A97"/>
    <w:rsid w:val="0044680E"/>
    <w:rsid w:val="004479D4"/>
    <w:rsid w:val="004543A5"/>
    <w:rsid w:val="00457C35"/>
    <w:rsid w:val="00464636"/>
    <w:rsid w:val="00464FA2"/>
    <w:rsid w:val="00466CB9"/>
    <w:rsid w:val="00472A6C"/>
    <w:rsid w:val="00472D72"/>
    <w:rsid w:val="0047413E"/>
    <w:rsid w:val="004761E0"/>
    <w:rsid w:val="00480D45"/>
    <w:rsid w:val="00487B87"/>
    <w:rsid w:val="00493B4E"/>
    <w:rsid w:val="00494305"/>
    <w:rsid w:val="004A066E"/>
    <w:rsid w:val="004A1D55"/>
    <w:rsid w:val="004A26FF"/>
    <w:rsid w:val="004A3022"/>
    <w:rsid w:val="004A5255"/>
    <w:rsid w:val="004B07DE"/>
    <w:rsid w:val="004B0FEC"/>
    <w:rsid w:val="004B4EF5"/>
    <w:rsid w:val="004B6FAD"/>
    <w:rsid w:val="004B704A"/>
    <w:rsid w:val="004B78F5"/>
    <w:rsid w:val="004C368B"/>
    <w:rsid w:val="004C78D8"/>
    <w:rsid w:val="004D0832"/>
    <w:rsid w:val="004D656A"/>
    <w:rsid w:val="004E3CFC"/>
    <w:rsid w:val="004F1169"/>
    <w:rsid w:val="004F494A"/>
    <w:rsid w:val="004F6642"/>
    <w:rsid w:val="00503A44"/>
    <w:rsid w:val="0051640D"/>
    <w:rsid w:val="005203E8"/>
    <w:rsid w:val="005230BA"/>
    <w:rsid w:val="005233E9"/>
    <w:rsid w:val="00523C16"/>
    <w:rsid w:val="005318F3"/>
    <w:rsid w:val="00531CFB"/>
    <w:rsid w:val="00534D7C"/>
    <w:rsid w:val="005372D8"/>
    <w:rsid w:val="00537977"/>
    <w:rsid w:val="00542359"/>
    <w:rsid w:val="00543E02"/>
    <w:rsid w:val="00544842"/>
    <w:rsid w:val="00545C1C"/>
    <w:rsid w:val="00545DF6"/>
    <w:rsid w:val="005462DE"/>
    <w:rsid w:val="005470BC"/>
    <w:rsid w:val="00550C99"/>
    <w:rsid w:val="0055320F"/>
    <w:rsid w:val="005553C4"/>
    <w:rsid w:val="00561071"/>
    <w:rsid w:val="00566E1D"/>
    <w:rsid w:val="00580D99"/>
    <w:rsid w:val="005823FF"/>
    <w:rsid w:val="00584AB8"/>
    <w:rsid w:val="00584CD0"/>
    <w:rsid w:val="00587BD1"/>
    <w:rsid w:val="00594061"/>
    <w:rsid w:val="00597BA0"/>
    <w:rsid w:val="005A34CA"/>
    <w:rsid w:val="005B097A"/>
    <w:rsid w:val="005B0E8A"/>
    <w:rsid w:val="005B7164"/>
    <w:rsid w:val="005C0911"/>
    <w:rsid w:val="005C5FF5"/>
    <w:rsid w:val="005D0EAD"/>
    <w:rsid w:val="005D1FB0"/>
    <w:rsid w:val="005D47C3"/>
    <w:rsid w:val="005D687E"/>
    <w:rsid w:val="005D717B"/>
    <w:rsid w:val="005D7CB5"/>
    <w:rsid w:val="005E44E6"/>
    <w:rsid w:val="005F10AE"/>
    <w:rsid w:val="005F3EAC"/>
    <w:rsid w:val="005F703C"/>
    <w:rsid w:val="006047EA"/>
    <w:rsid w:val="006074D3"/>
    <w:rsid w:val="00610322"/>
    <w:rsid w:val="006132EF"/>
    <w:rsid w:val="006258B3"/>
    <w:rsid w:val="00626E9B"/>
    <w:rsid w:val="006308CA"/>
    <w:rsid w:val="006362C7"/>
    <w:rsid w:val="00643422"/>
    <w:rsid w:val="00646EBF"/>
    <w:rsid w:val="00650637"/>
    <w:rsid w:val="00655714"/>
    <w:rsid w:val="00660122"/>
    <w:rsid w:val="00664BFC"/>
    <w:rsid w:val="00674EBF"/>
    <w:rsid w:val="006755CA"/>
    <w:rsid w:val="00675C28"/>
    <w:rsid w:val="00676575"/>
    <w:rsid w:val="006769A6"/>
    <w:rsid w:val="00682653"/>
    <w:rsid w:val="00684C7A"/>
    <w:rsid w:val="00685B5A"/>
    <w:rsid w:val="00693DD4"/>
    <w:rsid w:val="006948CA"/>
    <w:rsid w:val="006966F5"/>
    <w:rsid w:val="006A77E2"/>
    <w:rsid w:val="006C117F"/>
    <w:rsid w:val="006C1DF9"/>
    <w:rsid w:val="006D2B8E"/>
    <w:rsid w:val="006D304E"/>
    <w:rsid w:val="006D34AB"/>
    <w:rsid w:val="006D3CE9"/>
    <w:rsid w:val="006D7F98"/>
    <w:rsid w:val="006F2AD8"/>
    <w:rsid w:val="006F67C6"/>
    <w:rsid w:val="00707C23"/>
    <w:rsid w:val="00720E7A"/>
    <w:rsid w:val="00723551"/>
    <w:rsid w:val="00726F82"/>
    <w:rsid w:val="00727D48"/>
    <w:rsid w:val="0074131C"/>
    <w:rsid w:val="00741F83"/>
    <w:rsid w:val="00746BA0"/>
    <w:rsid w:val="00747A59"/>
    <w:rsid w:val="00755203"/>
    <w:rsid w:val="00757D3F"/>
    <w:rsid w:val="00762AE3"/>
    <w:rsid w:val="007664C9"/>
    <w:rsid w:val="007669D5"/>
    <w:rsid w:val="00772629"/>
    <w:rsid w:val="00772D4A"/>
    <w:rsid w:val="007813F4"/>
    <w:rsid w:val="0079602B"/>
    <w:rsid w:val="007A26DF"/>
    <w:rsid w:val="007B3571"/>
    <w:rsid w:val="007C040E"/>
    <w:rsid w:val="007C0BC4"/>
    <w:rsid w:val="007C5A85"/>
    <w:rsid w:val="007D4A92"/>
    <w:rsid w:val="007D514F"/>
    <w:rsid w:val="007E7D52"/>
    <w:rsid w:val="007F04CA"/>
    <w:rsid w:val="007F1F3F"/>
    <w:rsid w:val="007F6A1F"/>
    <w:rsid w:val="00804AF9"/>
    <w:rsid w:val="00805242"/>
    <w:rsid w:val="00807A43"/>
    <w:rsid w:val="0081028F"/>
    <w:rsid w:val="008123A3"/>
    <w:rsid w:val="00821698"/>
    <w:rsid w:val="00822924"/>
    <w:rsid w:val="0082528D"/>
    <w:rsid w:val="00832AD1"/>
    <w:rsid w:val="00844148"/>
    <w:rsid w:val="00857494"/>
    <w:rsid w:val="00863150"/>
    <w:rsid w:val="008703B2"/>
    <w:rsid w:val="00877799"/>
    <w:rsid w:val="008800C1"/>
    <w:rsid w:val="008824B2"/>
    <w:rsid w:val="00883C40"/>
    <w:rsid w:val="00886748"/>
    <w:rsid w:val="008878BC"/>
    <w:rsid w:val="008904BC"/>
    <w:rsid w:val="008A2EEE"/>
    <w:rsid w:val="008A3248"/>
    <w:rsid w:val="008A4791"/>
    <w:rsid w:val="008A5C30"/>
    <w:rsid w:val="008B41BA"/>
    <w:rsid w:val="008B5547"/>
    <w:rsid w:val="008B6CB0"/>
    <w:rsid w:val="008C2675"/>
    <w:rsid w:val="008C36A6"/>
    <w:rsid w:val="008D2E57"/>
    <w:rsid w:val="008D3EA6"/>
    <w:rsid w:val="008E024C"/>
    <w:rsid w:val="008E0B99"/>
    <w:rsid w:val="008E71BA"/>
    <w:rsid w:val="008F0B30"/>
    <w:rsid w:val="008F1197"/>
    <w:rsid w:val="008F207F"/>
    <w:rsid w:val="009106FD"/>
    <w:rsid w:val="00915660"/>
    <w:rsid w:val="0091681C"/>
    <w:rsid w:val="00931139"/>
    <w:rsid w:val="0093415F"/>
    <w:rsid w:val="00935CE9"/>
    <w:rsid w:val="00937E83"/>
    <w:rsid w:val="0094358B"/>
    <w:rsid w:val="009458E7"/>
    <w:rsid w:val="00947F19"/>
    <w:rsid w:val="00954EA7"/>
    <w:rsid w:val="00962E0A"/>
    <w:rsid w:val="009652B0"/>
    <w:rsid w:val="00967B0D"/>
    <w:rsid w:val="0097340A"/>
    <w:rsid w:val="009750CF"/>
    <w:rsid w:val="0098248F"/>
    <w:rsid w:val="00985FEA"/>
    <w:rsid w:val="00987186"/>
    <w:rsid w:val="009874DE"/>
    <w:rsid w:val="009906B3"/>
    <w:rsid w:val="00996BC2"/>
    <w:rsid w:val="0099731D"/>
    <w:rsid w:val="009A0829"/>
    <w:rsid w:val="009C200B"/>
    <w:rsid w:val="009C7471"/>
    <w:rsid w:val="009C7A60"/>
    <w:rsid w:val="009D1392"/>
    <w:rsid w:val="009D166E"/>
    <w:rsid w:val="009D2DB3"/>
    <w:rsid w:val="009D47CE"/>
    <w:rsid w:val="009D4B9C"/>
    <w:rsid w:val="009E0124"/>
    <w:rsid w:val="009E5540"/>
    <w:rsid w:val="009E7BF0"/>
    <w:rsid w:val="009E7FB8"/>
    <w:rsid w:val="009F5809"/>
    <w:rsid w:val="00A00AFA"/>
    <w:rsid w:val="00A10B0E"/>
    <w:rsid w:val="00A10EFC"/>
    <w:rsid w:val="00A20F3B"/>
    <w:rsid w:val="00A334A3"/>
    <w:rsid w:val="00A365E4"/>
    <w:rsid w:val="00A370F3"/>
    <w:rsid w:val="00A534AB"/>
    <w:rsid w:val="00A53D55"/>
    <w:rsid w:val="00A551A8"/>
    <w:rsid w:val="00A60E82"/>
    <w:rsid w:val="00A65CC5"/>
    <w:rsid w:val="00A67F62"/>
    <w:rsid w:val="00A70076"/>
    <w:rsid w:val="00A71265"/>
    <w:rsid w:val="00A77FF8"/>
    <w:rsid w:val="00A810EC"/>
    <w:rsid w:val="00A84948"/>
    <w:rsid w:val="00A87014"/>
    <w:rsid w:val="00A90532"/>
    <w:rsid w:val="00A933C1"/>
    <w:rsid w:val="00A93B6A"/>
    <w:rsid w:val="00AA2E5D"/>
    <w:rsid w:val="00AB08B5"/>
    <w:rsid w:val="00AB0F57"/>
    <w:rsid w:val="00AB317B"/>
    <w:rsid w:val="00AB6306"/>
    <w:rsid w:val="00AC3338"/>
    <w:rsid w:val="00AC3436"/>
    <w:rsid w:val="00AC470E"/>
    <w:rsid w:val="00AD488B"/>
    <w:rsid w:val="00AD71AD"/>
    <w:rsid w:val="00AE5315"/>
    <w:rsid w:val="00AF3D9E"/>
    <w:rsid w:val="00AF5A95"/>
    <w:rsid w:val="00B02565"/>
    <w:rsid w:val="00B036AD"/>
    <w:rsid w:val="00B05908"/>
    <w:rsid w:val="00B07612"/>
    <w:rsid w:val="00B126EF"/>
    <w:rsid w:val="00B12BBF"/>
    <w:rsid w:val="00B15411"/>
    <w:rsid w:val="00B2085C"/>
    <w:rsid w:val="00B344B4"/>
    <w:rsid w:val="00B419A7"/>
    <w:rsid w:val="00B516F1"/>
    <w:rsid w:val="00B52F94"/>
    <w:rsid w:val="00B552E5"/>
    <w:rsid w:val="00B5573A"/>
    <w:rsid w:val="00B5601B"/>
    <w:rsid w:val="00B71826"/>
    <w:rsid w:val="00B72D42"/>
    <w:rsid w:val="00B731CD"/>
    <w:rsid w:val="00B854CE"/>
    <w:rsid w:val="00B92A69"/>
    <w:rsid w:val="00BA49F5"/>
    <w:rsid w:val="00BB2C68"/>
    <w:rsid w:val="00BB44C1"/>
    <w:rsid w:val="00BC0DE7"/>
    <w:rsid w:val="00BC2416"/>
    <w:rsid w:val="00BD153B"/>
    <w:rsid w:val="00BD4CE3"/>
    <w:rsid w:val="00BD5228"/>
    <w:rsid w:val="00BD5FF1"/>
    <w:rsid w:val="00BE25C8"/>
    <w:rsid w:val="00BE4375"/>
    <w:rsid w:val="00C02B6D"/>
    <w:rsid w:val="00C06676"/>
    <w:rsid w:val="00C06E19"/>
    <w:rsid w:val="00C126A0"/>
    <w:rsid w:val="00C15F23"/>
    <w:rsid w:val="00C36524"/>
    <w:rsid w:val="00C372ED"/>
    <w:rsid w:val="00C4367D"/>
    <w:rsid w:val="00C467E9"/>
    <w:rsid w:val="00C51FF7"/>
    <w:rsid w:val="00C54987"/>
    <w:rsid w:val="00C56384"/>
    <w:rsid w:val="00C62181"/>
    <w:rsid w:val="00C650AF"/>
    <w:rsid w:val="00C65324"/>
    <w:rsid w:val="00C816E1"/>
    <w:rsid w:val="00C9200E"/>
    <w:rsid w:val="00C92224"/>
    <w:rsid w:val="00C93F24"/>
    <w:rsid w:val="00CA4006"/>
    <w:rsid w:val="00CA7A0C"/>
    <w:rsid w:val="00CB1618"/>
    <w:rsid w:val="00CB2E12"/>
    <w:rsid w:val="00CB5764"/>
    <w:rsid w:val="00CB74D8"/>
    <w:rsid w:val="00CC20BC"/>
    <w:rsid w:val="00CC2891"/>
    <w:rsid w:val="00CC3CDE"/>
    <w:rsid w:val="00CC6176"/>
    <w:rsid w:val="00CC7D00"/>
    <w:rsid w:val="00CD77CE"/>
    <w:rsid w:val="00D00FEF"/>
    <w:rsid w:val="00D1185F"/>
    <w:rsid w:val="00D13D28"/>
    <w:rsid w:val="00D158FC"/>
    <w:rsid w:val="00D15ABC"/>
    <w:rsid w:val="00D21D48"/>
    <w:rsid w:val="00D2346C"/>
    <w:rsid w:val="00D35FF1"/>
    <w:rsid w:val="00D403EA"/>
    <w:rsid w:val="00D42E9B"/>
    <w:rsid w:val="00D42FA4"/>
    <w:rsid w:val="00D432D9"/>
    <w:rsid w:val="00D437AE"/>
    <w:rsid w:val="00D443C7"/>
    <w:rsid w:val="00D44B93"/>
    <w:rsid w:val="00D6558F"/>
    <w:rsid w:val="00D67182"/>
    <w:rsid w:val="00D71E33"/>
    <w:rsid w:val="00D73CF5"/>
    <w:rsid w:val="00D80123"/>
    <w:rsid w:val="00D8048F"/>
    <w:rsid w:val="00D840D5"/>
    <w:rsid w:val="00D849A9"/>
    <w:rsid w:val="00D96125"/>
    <w:rsid w:val="00D96BC4"/>
    <w:rsid w:val="00D976F3"/>
    <w:rsid w:val="00DA0A9D"/>
    <w:rsid w:val="00DA1A23"/>
    <w:rsid w:val="00DB11E1"/>
    <w:rsid w:val="00DB453C"/>
    <w:rsid w:val="00DB54E5"/>
    <w:rsid w:val="00DB6734"/>
    <w:rsid w:val="00DC080B"/>
    <w:rsid w:val="00DC5FF1"/>
    <w:rsid w:val="00DC64B1"/>
    <w:rsid w:val="00DD1063"/>
    <w:rsid w:val="00DE2BA7"/>
    <w:rsid w:val="00DE3E35"/>
    <w:rsid w:val="00DE6FA0"/>
    <w:rsid w:val="00DF2509"/>
    <w:rsid w:val="00DF2EF9"/>
    <w:rsid w:val="00DF555E"/>
    <w:rsid w:val="00DF77B2"/>
    <w:rsid w:val="00E0348F"/>
    <w:rsid w:val="00E04097"/>
    <w:rsid w:val="00E06AF1"/>
    <w:rsid w:val="00E102CE"/>
    <w:rsid w:val="00E13422"/>
    <w:rsid w:val="00E21B66"/>
    <w:rsid w:val="00E253FC"/>
    <w:rsid w:val="00E25C88"/>
    <w:rsid w:val="00E3526F"/>
    <w:rsid w:val="00E35D1A"/>
    <w:rsid w:val="00E41FA9"/>
    <w:rsid w:val="00E43CB1"/>
    <w:rsid w:val="00E50E1A"/>
    <w:rsid w:val="00E516A8"/>
    <w:rsid w:val="00E62C19"/>
    <w:rsid w:val="00E6359D"/>
    <w:rsid w:val="00E63C7A"/>
    <w:rsid w:val="00E67726"/>
    <w:rsid w:val="00E708C1"/>
    <w:rsid w:val="00E73759"/>
    <w:rsid w:val="00E74229"/>
    <w:rsid w:val="00E83614"/>
    <w:rsid w:val="00E84E94"/>
    <w:rsid w:val="00E87613"/>
    <w:rsid w:val="00E911B6"/>
    <w:rsid w:val="00E92147"/>
    <w:rsid w:val="00E9747C"/>
    <w:rsid w:val="00E975CC"/>
    <w:rsid w:val="00EA0DF0"/>
    <w:rsid w:val="00EA14B8"/>
    <w:rsid w:val="00EA688F"/>
    <w:rsid w:val="00EB5187"/>
    <w:rsid w:val="00EB5CB5"/>
    <w:rsid w:val="00EB6BEA"/>
    <w:rsid w:val="00EC4C25"/>
    <w:rsid w:val="00EC74AA"/>
    <w:rsid w:val="00EE53BE"/>
    <w:rsid w:val="00EF0F5F"/>
    <w:rsid w:val="00EF30CD"/>
    <w:rsid w:val="00EF3F94"/>
    <w:rsid w:val="00EF696A"/>
    <w:rsid w:val="00F03FBC"/>
    <w:rsid w:val="00F07084"/>
    <w:rsid w:val="00F0720F"/>
    <w:rsid w:val="00F11146"/>
    <w:rsid w:val="00F1166F"/>
    <w:rsid w:val="00F11A1A"/>
    <w:rsid w:val="00F16AE3"/>
    <w:rsid w:val="00F24FF9"/>
    <w:rsid w:val="00F30773"/>
    <w:rsid w:val="00F31424"/>
    <w:rsid w:val="00F3225F"/>
    <w:rsid w:val="00F35611"/>
    <w:rsid w:val="00F413F0"/>
    <w:rsid w:val="00F434F3"/>
    <w:rsid w:val="00F512AA"/>
    <w:rsid w:val="00F51B86"/>
    <w:rsid w:val="00F53DB1"/>
    <w:rsid w:val="00F53F16"/>
    <w:rsid w:val="00F53F30"/>
    <w:rsid w:val="00F565A7"/>
    <w:rsid w:val="00F62976"/>
    <w:rsid w:val="00F64343"/>
    <w:rsid w:val="00F654B0"/>
    <w:rsid w:val="00F932DA"/>
    <w:rsid w:val="00F94E1E"/>
    <w:rsid w:val="00F94E26"/>
    <w:rsid w:val="00F9576D"/>
    <w:rsid w:val="00F96D02"/>
    <w:rsid w:val="00FA46CF"/>
    <w:rsid w:val="00FA52BD"/>
    <w:rsid w:val="00FA7003"/>
    <w:rsid w:val="00FB0461"/>
    <w:rsid w:val="00FB3BEE"/>
    <w:rsid w:val="00FB3DA3"/>
    <w:rsid w:val="00FB554E"/>
    <w:rsid w:val="00FB742A"/>
    <w:rsid w:val="00FC7144"/>
    <w:rsid w:val="00FE1A98"/>
    <w:rsid w:val="00FE6038"/>
    <w:rsid w:val="00FE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C38D"/>
  <w15:chartTrackingRefBased/>
  <w15:docId w15:val="{6DFCF07F-B591-427D-B052-5C3B3568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799"/>
    <w:rPr>
      <w:rFonts w:ascii="Segoe UI" w:hAnsi="Segoe UI" w:cs="Segoe UI"/>
      <w:sz w:val="18"/>
      <w:szCs w:val="18"/>
    </w:rPr>
  </w:style>
  <w:style w:type="character" w:styleId="CommentReference">
    <w:name w:val="annotation reference"/>
    <w:basedOn w:val="DefaultParagraphFont"/>
    <w:uiPriority w:val="99"/>
    <w:semiHidden/>
    <w:unhideWhenUsed/>
    <w:rsid w:val="005C5FF5"/>
    <w:rPr>
      <w:sz w:val="16"/>
      <w:szCs w:val="16"/>
    </w:rPr>
  </w:style>
  <w:style w:type="paragraph" w:styleId="CommentText">
    <w:name w:val="annotation text"/>
    <w:basedOn w:val="Normal"/>
    <w:link w:val="CommentTextChar"/>
    <w:uiPriority w:val="99"/>
    <w:unhideWhenUsed/>
    <w:rsid w:val="005C5FF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C5F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413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84136"/>
    <w:rPr>
      <w:rFonts w:ascii="Times New Roman" w:eastAsia="Times New Roman" w:hAnsi="Times New Roman" w:cs="Times New Roman"/>
      <w:b/>
      <w:bCs/>
      <w:sz w:val="20"/>
      <w:szCs w:val="20"/>
    </w:rPr>
  </w:style>
  <w:style w:type="character" w:styleId="Hyperlink">
    <w:name w:val="Hyperlink"/>
    <w:uiPriority w:val="99"/>
    <w:unhideWhenUsed/>
    <w:rsid w:val="004B78F5"/>
    <w:rPr>
      <w:color w:val="0000FF"/>
      <w:u w:val="single"/>
    </w:rPr>
  </w:style>
  <w:style w:type="table" w:styleId="TableGrid">
    <w:name w:val="Table Grid"/>
    <w:basedOn w:val="TableNormal"/>
    <w:uiPriority w:val="39"/>
    <w:rsid w:val="00D96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31139"/>
    <w:pPr>
      <w:spacing w:after="0" w:line="240" w:lineRule="auto"/>
    </w:pPr>
  </w:style>
  <w:style w:type="character" w:customStyle="1" w:styleId="UnresolvedMention1">
    <w:name w:val="Unresolved Mention1"/>
    <w:basedOn w:val="DefaultParagraphFont"/>
    <w:uiPriority w:val="99"/>
    <w:semiHidden/>
    <w:unhideWhenUsed/>
    <w:rsid w:val="00DB54E5"/>
    <w:rPr>
      <w:color w:val="605E5C"/>
      <w:shd w:val="clear" w:color="auto" w:fill="E1DFDD"/>
    </w:rPr>
  </w:style>
  <w:style w:type="character" w:styleId="FollowedHyperlink">
    <w:name w:val="FollowedHyperlink"/>
    <w:basedOn w:val="DefaultParagraphFont"/>
    <w:uiPriority w:val="99"/>
    <w:semiHidden/>
    <w:unhideWhenUsed/>
    <w:rsid w:val="00DB54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58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tif"/><Relationship Id="rId5" Type="http://schemas.openxmlformats.org/officeDocument/2006/relationships/image" Target="media/image1.tif"/><Relationship Id="rId4" Type="http://schemas.openxmlformats.org/officeDocument/2006/relationships/hyperlink" Target="mailto:jballat@clem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Tuggle</dc:creator>
  <cp:keywords/>
  <dc:description/>
  <cp:lastModifiedBy>Technica</cp:lastModifiedBy>
  <cp:revision>2</cp:revision>
  <cp:lastPrinted>2020-01-31T19:50:00Z</cp:lastPrinted>
  <dcterms:created xsi:type="dcterms:W3CDTF">2020-03-12T14:02:00Z</dcterms:created>
  <dcterms:modified xsi:type="dcterms:W3CDTF">2020-03-12T14:02:00Z</dcterms:modified>
</cp:coreProperties>
</file>