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9C1F" w14:textId="77777777" w:rsidR="00152AE0" w:rsidRPr="00AA0890" w:rsidRDefault="007B73D2" w:rsidP="00AA089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AA089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Supp</w:t>
      </w:r>
      <w:r w:rsidR="00325A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lementary</w:t>
      </w:r>
      <w:r w:rsidRPr="00AA089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Information</w:t>
      </w:r>
    </w:p>
    <w:p w14:paraId="41852196" w14:textId="77777777" w:rsidR="007B73D2" w:rsidRPr="00AA0890" w:rsidRDefault="007B73D2" w:rsidP="00AA089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Non-invasive oral cancer detection from saliva using </w:t>
      </w:r>
      <w:proofErr w:type="spellStart"/>
      <w:r w:rsidRPr="00AA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ZnO-rGO</w:t>
      </w:r>
      <w:proofErr w:type="spellEnd"/>
      <w:r w:rsidRPr="00AA0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nanocomposite based bioelectrode </w:t>
      </w:r>
    </w:p>
    <w:p w14:paraId="2B66468B" w14:textId="77777777" w:rsidR="007B73D2" w:rsidRPr="00AA0890" w:rsidRDefault="007B73D2" w:rsidP="00AA089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89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1,2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Shilpi Verma and 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1,2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</w:rPr>
        <w:t>Surinder P. Singh*</w:t>
      </w:r>
    </w:p>
    <w:p w14:paraId="0DAD0E2D" w14:textId="77777777" w:rsidR="007B73D2" w:rsidRPr="00AA0890" w:rsidRDefault="007B73D2" w:rsidP="00AA0890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A0890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AA0890">
        <w:rPr>
          <w:rFonts w:ascii="Times New Roman" w:hAnsi="Times New Roman" w:cs="Times New Roman"/>
          <w:color w:val="000000" w:themeColor="text1"/>
        </w:rPr>
        <w:t>Academy of Scientific and Innovative Research (</w:t>
      </w:r>
      <w:proofErr w:type="spellStart"/>
      <w:r w:rsidRPr="00AA0890">
        <w:rPr>
          <w:rFonts w:ascii="Times New Roman" w:hAnsi="Times New Roman" w:cs="Times New Roman"/>
          <w:color w:val="000000" w:themeColor="text1"/>
        </w:rPr>
        <w:t>AcSIR</w:t>
      </w:r>
      <w:proofErr w:type="spellEnd"/>
      <w:r w:rsidRPr="00AA0890">
        <w:rPr>
          <w:rFonts w:ascii="Times New Roman" w:hAnsi="Times New Roman" w:cs="Times New Roman"/>
          <w:color w:val="000000" w:themeColor="text1"/>
        </w:rPr>
        <w:t xml:space="preserve">), CSIR-National Physical Laboratory (Campus), </w:t>
      </w:r>
      <w:proofErr w:type="spellStart"/>
      <w:r w:rsidRPr="00AA0890">
        <w:rPr>
          <w:rFonts w:ascii="Times New Roman" w:hAnsi="Times New Roman" w:cs="Times New Roman"/>
          <w:color w:val="000000" w:themeColor="text1"/>
        </w:rPr>
        <w:t>Dr.</w:t>
      </w:r>
      <w:proofErr w:type="spellEnd"/>
      <w:r w:rsidRPr="00AA0890">
        <w:rPr>
          <w:rFonts w:ascii="Times New Roman" w:hAnsi="Times New Roman" w:cs="Times New Roman"/>
          <w:color w:val="000000" w:themeColor="text1"/>
        </w:rPr>
        <w:t xml:space="preserve"> K. S. Krishnan Road, New Delhi-110012, India</w:t>
      </w:r>
    </w:p>
    <w:p w14:paraId="4305995B" w14:textId="77777777" w:rsidR="007B73D2" w:rsidRPr="00AA0890" w:rsidRDefault="007B73D2" w:rsidP="00AA0890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A0890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AA0890">
        <w:rPr>
          <w:rFonts w:ascii="Times New Roman" w:hAnsi="Times New Roman" w:cs="Times New Roman"/>
          <w:color w:val="000000" w:themeColor="text1"/>
        </w:rPr>
        <w:t xml:space="preserve">CSIR-National Physical Laboratory (Campus), </w:t>
      </w:r>
      <w:proofErr w:type="spellStart"/>
      <w:r w:rsidRPr="00AA0890">
        <w:rPr>
          <w:rFonts w:ascii="Times New Roman" w:hAnsi="Times New Roman" w:cs="Times New Roman"/>
          <w:color w:val="000000" w:themeColor="text1"/>
        </w:rPr>
        <w:t>Dr.</w:t>
      </w:r>
      <w:proofErr w:type="spellEnd"/>
      <w:r w:rsidRPr="00AA0890">
        <w:rPr>
          <w:rFonts w:ascii="Times New Roman" w:hAnsi="Times New Roman" w:cs="Times New Roman"/>
          <w:color w:val="000000" w:themeColor="text1"/>
        </w:rPr>
        <w:t xml:space="preserve"> K. S. Krishnan Road, New Delhi-110012, India</w:t>
      </w:r>
    </w:p>
    <w:p w14:paraId="48D91D10" w14:textId="77777777" w:rsidR="007B73D2" w:rsidRPr="00AA0890" w:rsidRDefault="007B73D2" w:rsidP="00AA0890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A0890">
        <w:rPr>
          <w:rFonts w:ascii="Times New Roman" w:hAnsi="Times New Roman" w:cs="Times New Roman"/>
          <w:color w:val="000000" w:themeColor="text1"/>
        </w:rPr>
        <w:t xml:space="preserve">*Corresponding author email id: </w:t>
      </w:r>
      <w:hyperlink r:id="rId4" w:history="1">
        <w:r w:rsidR="00152AE0" w:rsidRPr="00AA0890">
          <w:rPr>
            <w:rStyle w:val="Hyperlink"/>
            <w:rFonts w:ascii="Times New Roman" w:hAnsi="Times New Roman" w:cs="Times New Roman"/>
            <w:color w:val="000000" w:themeColor="text1"/>
          </w:rPr>
          <w:t>singh.uprm@gmail.com</w:t>
        </w:r>
      </w:hyperlink>
    </w:p>
    <w:p w14:paraId="4C3CC2F5" w14:textId="77777777" w:rsidR="00152AE0" w:rsidRPr="00AA0890" w:rsidRDefault="00152AE0" w:rsidP="00AA0890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2100A2B" w14:textId="77777777" w:rsidR="00157AA8" w:rsidRPr="00AA0890" w:rsidRDefault="00157AA8" w:rsidP="00AA0890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C62F34E" w14:textId="77777777" w:rsidR="00157AA8" w:rsidRPr="00AA0890" w:rsidRDefault="00431E78" w:rsidP="00AA089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Antibody immobilization</w:t>
      </w:r>
    </w:p>
    <w:p w14:paraId="0B1CCF75" w14:textId="77777777" w:rsidR="00C27846" w:rsidRPr="00AA0890" w:rsidRDefault="00C27846" w:rsidP="00AA08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Figure S1(a) shows the FTIR spectra of </w:t>
      </w:r>
      <w:proofErr w:type="spellStart"/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ZnO-rGO</w:t>
      </w:r>
      <w:proofErr w:type="spellEnd"/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thin films before and after Anti-IL8 immobilization. </w:t>
      </w:r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attachment of antibodies to the nanocomposite</w:t>
      </w:r>
      <w:r w:rsidR="00F54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surface through amide bonding wa</w:t>
      </w:r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 confirmed by FTIR 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spectrum of Anti-IL8/</w:t>
      </w:r>
      <w:proofErr w:type="spellStart"/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ZnO-rGO</w:t>
      </w:r>
      <w:proofErr w:type="spellEnd"/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/ITO</w:t>
      </w:r>
      <w:r w:rsidR="00F54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which gave</w:t>
      </w:r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pro</w:t>
      </w:r>
      <w:r w:rsidR="006C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minent peak of amide C=O at 1624</w:t>
      </w:r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cm</w:t>
      </w:r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Emergence of new peaks at 33</w:t>
      </w:r>
      <w:r w:rsidR="006C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</w:t>
      </w:r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cm</w:t>
      </w:r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="006C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2983</w:t>
      </w:r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cm</w:t>
      </w:r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="00301A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1267</w:t>
      </w:r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cm</w:t>
      </w:r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belonging to N-H, C-H an</w:t>
      </w:r>
      <w:r w:rsidR="00F54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 C-N stretches further confirmed</w:t>
      </w:r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presence of antibodies on the surface of </w:t>
      </w:r>
      <w:proofErr w:type="spellStart"/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ZnO-rGO</w:t>
      </w:r>
      <w:proofErr w:type="spellEnd"/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/ITO electrodes. </w:t>
      </w:r>
    </w:p>
    <w:p w14:paraId="6B4F5FFE" w14:textId="77777777" w:rsidR="00F806A7" w:rsidRPr="00AA0890" w:rsidRDefault="00C27846" w:rsidP="00AA08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find out the optimum concentration of antibody that would lead to most effective analyte binding </w:t>
      </w:r>
      <w:r w:rsidR="00F54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was</w:t>
      </w:r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tested by immobilizing a range of different concentrations of antibodies on GO surface and recording its DPV response for 700 </w:t>
      </w:r>
      <w:proofErr w:type="spellStart"/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pg</w:t>
      </w:r>
      <w:proofErr w:type="spellEnd"/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/mL of IL8. The obtained results, shown in figure 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1(b), revealed maximum deflection in current due to formation of less conducting antigen-antibody layer, when 1 µg/mL concentration of Anti-IL8 was used, indicating it to be the ideal concentration for the developed system. The lower deflection in oxidation current in case of antibody concentrations lower than 1 µg/mL was due to 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F806A7"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presence of insufficient amount of antibodies on the film that could not effectively bind with available antigen molecules. While, in case of higher antibody concentrations, over-saturation of active sites on the film hampered their proper binding with antigen.</w:t>
      </w:r>
    </w:p>
    <w:p w14:paraId="5F227EB8" w14:textId="77777777" w:rsidR="00152AE0" w:rsidRPr="00AA0890" w:rsidRDefault="00FD0161" w:rsidP="00AA0890">
      <w:pPr>
        <w:spacing w:line="360" w:lineRule="auto"/>
        <w:rPr>
          <w:color w:val="000000" w:themeColor="text1"/>
        </w:rPr>
      </w:pPr>
      <w:r w:rsidRPr="00FD0161">
        <w:rPr>
          <w:noProof/>
          <w:color w:val="000000" w:themeColor="text1"/>
          <w:lang w:eastAsia="en-IN"/>
        </w:rPr>
        <w:lastRenderedPageBreak/>
        <w:drawing>
          <wp:inline distT="0" distB="0" distL="0" distR="0" wp14:anchorId="1F1C9D79" wp14:editId="27D1F6F0">
            <wp:extent cx="5731510" cy="2371444"/>
            <wp:effectExtent l="0" t="0" r="2540" b="0"/>
            <wp:docPr id="1" name="Picture 1" descr="C:\Users\Shilpi\Desktop\Shilpi (NPL)\Manuscript\ZnO-rGO for IL8 detection\1st Revision\TIFF images\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pi\Desktop\Shilpi (NPL)\Manuscript\ZnO-rGO for IL8 detection\1st Revision\TIFF images\Fig S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7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444F7" w14:textId="77777777" w:rsidR="00C27846" w:rsidRPr="00AA0890" w:rsidRDefault="00C27846" w:rsidP="00AA08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S1: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 FTIR spectra of </w:t>
      </w:r>
      <w:proofErr w:type="spellStart"/>
      <w:r w:rsidR="00A904E5" w:rsidRPr="00AA0890">
        <w:rPr>
          <w:rFonts w:ascii="Times New Roman" w:hAnsi="Times New Roman" w:cs="Times New Roman"/>
          <w:color w:val="000000" w:themeColor="text1"/>
          <w:sz w:val="24"/>
          <w:szCs w:val="24"/>
        </w:rPr>
        <w:t>ZnO-rGO</w:t>
      </w:r>
      <w:proofErr w:type="spellEnd"/>
      <w:r w:rsidR="00A904E5" w:rsidRPr="00AA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thin film before and after Anti-IL8 immobilization. (b) Graph showing current responses obtained for 700 </w:t>
      </w:r>
      <w:proofErr w:type="spellStart"/>
      <w:r w:rsidR="00A904E5" w:rsidRPr="00AA0890">
        <w:rPr>
          <w:rFonts w:ascii="Times New Roman" w:hAnsi="Times New Roman" w:cs="Times New Roman"/>
          <w:color w:val="000000" w:themeColor="text1"/>
          <w:sz w:val="24"/>
          <w:szCs w:val="24"/>
        </w:rPr>
        <w:t>pg</w:t>
      </w:r>
      <w:proofErr w:type="spellEnd"/>
      <w:r w:rsidR="00A904E5" w:rsidRPr="00AA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/mL IL8 using </w:t>
      </w:r>
      <w:proofErr w:type="spellStart"/>
      <w:r w:rsidR="00A904E5" w:rsidRPr="00AA0890">
        <w:rPr>
          <w:rFonts w:ascii="Times New Roman" w:hAnsi="Times New Roman" w:cs="Times New Roman"/>
          <w:color w:val="000000" w:themeColor="text1"/>
          <w:sz w:val="24"/>
          <w:szCs w:val="24"/>
        </w:rPr>
        <w:t>immunoelectrodes</w:t>
      </w:r>
      <w:proofErr w:type="spellEnd"/>
      <w:r w:rsidR="00A904E5" w:rsidRPr="00AA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different concentrations of Anti-IL8.  </w:t>
      </w:r>
    </w:p>
    <w:p w14:paraId="26B695B1" w14:textId="77777777" w:rsidR="00260C60" w:rsidRPr="00AA0890" w:rsidRDefault="00260C60" w:rsidP="00AA0890">
      <w:pPr>
        <w:spacing w:line="360" w:lineRule="auto"/>
        <w:rPr>
          <w:color w:val="000000" w:themeColor="text1"/>
        </w:rPr>
      </w:pPr>
    </w:p>
    <w:p w14:paraId="45997899" w14:textId="77777777" w:rsidR="00A904E5" w:rsidRPr="00AA0890" w:rsidRDefault="00A0579B" w:rsidP="00AA089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IL8 detection without using antibodies (Control study)</w:t>
      </w:r>
    </w:p>
    <w:p w14:paraId="2BB4627F" w14:textId="77777777" w:rsidR="00A0579B" w:rsidRPr="00AA0890" w:rsidRDefault="00A0579B" w:rsidP="00AA08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control study for detection of IL8 using bare </w:t>
      </w:r>
      <w:proofErr w:type="spellStart"/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ZnO-rGO</w:t>
      </w:r>
      <w:proofErr w:type="spellEnd"/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/ITO electrodes (i.e. without the addition of antibodies) was performed using DPV method. The obtained current values from the DPV curves for IL8 concentrations ranging from 100 </w:t>
      </w:r>
      <w:proofErr w:type="spellStart"/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fg</w:t>
      </w:r>
      <w:proofErr w:type="spellEnd"/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mL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5 ng mL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-1 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(shown in figure S2), did not show significant variation in current with respect to bare </w:t>
      </w:r>
      <w:proofErr w:type="spellStart"/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ZnO-rGO</w:t>
      </w:r>
      <w:proofErr w:type="spellEnd"/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/ITO electrodes. Besides, a calibration curve could not be formed since the obtained current values were quite irregular without any specific pattern of increment or decrement. Another disadvantage posed by the antibodies-free detection process was that specificity of the biosensor was lost, as some deflection in current could be obtained on exposure to other biomarkers as well. </w:t>
      </w:r>
    </w:p>
    <w:p w14:paraId="42335E9B" w14:textId="77777777" w:rsidR="00A0579B" w:rsidRPr="00AA0890" w:rsidRDefault="00A0579B" w:rsidP="00AA089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C12A30" w14:textId="77777777" w:rsidR="00260C60" w:rsidRPr="00AA0890" w:rsidRDefault="000006CE" w:rsidP="00AA0890">
      <w:pPr>
        <w:spacing w:line="360" w:lineRule="auto"/>
        <w:rPr>
          <w:color w:val="000000" w:themeColor="text1"/>
        </w:rPr>
      </w:pPr>
      <w:r w:rsidRPr="000006CE">
        <w:rPr>
          <w:noProof/>
          <w:color w:val="000000" w:themeColor="text1"/>
          <w:lang w:eastAsia="en-IN"/>
        </w:rPr>
        <w:lastRenderedPageBreak/>
        <w:drawing>
          <wp:inline distT="0" distB="0" distL="0" distR="0" wp14:anchorId="3CFB0FB5" wp14:editId="06966747">
            <wp:extent cx="3471158" cy="2880000"/>
            <wp:effectExtent l="0" t="0" r="0" b="0"/>
            <wp:docPr id="6" name="Picture 6" descr="C:\Users\Shilpi\Desktop\Shilpi (NPL)\Manuscript\ZnO-rGO for IL8 detection\1st Revision\TIFF images\Fig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lpi\Desktop\Shilpi (NPL)\Manuscript\ZnO-rGO for IL8 detection\1st Revision\TIFF images\Fig S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15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C5106" w14:textId="77777777" w:rsidR="00A0579B" w:rsidRPr="00AA0890" w:rsidRDefault="00A0579B" w:rsidP="00AA08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0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S2: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Bar graph showing the oxidation current values obtained for different concentrations of IL8 on exposure to antibodies-free </w:t>
      </w:r>
      <w:proofErr w:type="spellStart"/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ZnO-rGO</w:t>
      </w:r>
      <w:proofErr w:type="spellEnd"/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/ITO electrodes.</w:t>
      </w:r>
    </w:p>
    <w:p w14:paraId="343D2800" w14:textId="77777777" w:rsidR="001C45BB" w:rsidRPr="00AA0890" w:rsidRDefault="001C45BB" w:rsidP="00AA08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9345328" w14:textId="77777777" w:rsidR="001C45BB" w:rsidRPr="00AA0890" w:rsidRDefault="001C45BB" w:rsidP="00AA089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A08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Repeatability Measurements</w:t>
      </w:r>
    </w:p>
    <w:p w14:paraId="5766E020" w14:textId="77777777" w:rsidR="001C45BB" w:rsidRPr="00AA0890" w:rsidRDefault="001C45BB" w:rsidP="00AA08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Anti-IL8/</w:t>
      </w:r>
      <w:proofErr w:type="spellStart"/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ZnO-rGO</w:t>
      </w:r>
      <w:proofErr w:type="spellEnd"/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/ITO electrodes were used to take 15 sets of DPV measurements for four different concentrations of IL8 i.e. 400 </w:t>
      </w:r>
      <w:proofErr w:type="spellStart"/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pg</w:t>
      </w:r>
      <w:proofErr w:type="spellEnd"/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mL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700 </w:t>
      </w:r>
      <w:proofErr w:type="spellStart"/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pg</w:t>
      </w:r>
      <w:proofErr w:type="spellEnd"/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mL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 ng mL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2 ng mL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-1 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 shown in figure S3. The uncertainty and standard deviation values were calculated for the analytical responses in each case and summarized in the table </w:t>
      </w:r>
      <w:r w:rsidR="004435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The results presented high repeatability in the measurements with overall RSD below 3.2%.</w:t>
      </w:r>
    </w:p>
    <w:p w14:paraId="20B1071D" w14:textId="77777777" w:rsidR="004D7C44" w:rsidRPr="00AA0890" w:rsidRDefault="00AA0890" w:rsidP="00AA0890">
      <w:pPr>
        <w:spacing w:line="360" w:lineRule="auto"/>
        <w:rPr>
          <w:color w:val="000000" w:themeColor="text1"/>
        </w:rPr>
      </w:pPr>
      <w:r w:rsidRPr="00AA08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Table </w:t>
      </w:r>
      <w:r w:rsidR="00D336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</w:t>
      </w:r>
      <w:r w:rsidRPr="00AA08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1: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Table showing the calculated uncertainty and RSD values in the response current values for 15 sets of measurements.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5"/>
        <w:gridCol w:w="2551"/>
        <w:gridCol w:w="2552"/>
        <w:gridCol w:w="2358"/>
      </w:tblGrid>
      <w:tr w:rsidR="00AA0890" w:rsidRPr="00AA0890" w14:paraId="47ED281D" w14:textId="77777777" w:rsidTr="00AA0890">
        <w:tc>
          <w:tcPr>
            <w:tcW w:w="835" w:type="dxa"/>
          </w:tcPr>
          <w:p w14:paraId="426AB50F" w14:textId="77777777" w:rsidR="004D7C44" w:rsidRPr="00AA0890" w:rsidRDefault="004D7C44" w:rsidP="00AA08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S.No</w:t>
            </w:r>
            <w:proofErr w:type="spellEnd"/>
            <w:r w:rsidRPr="00AA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14:paraId="12B0CBE8" w14:textId="77777777" w:rsidR="004D7C44" w:rsidRPr="00AA0890" w:rsidRDefault="004D7C44" w:rsidP="00AA08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IL8 concentration</w:t>
            </w:r>
          </w:p>
        </w:tc>
        <w:tc>
          <w:tcPr>
            <w:tcW w:w="2552" w:type="dxa"/>
          </w:tcPr>
          <w:p w14:paraId="238B3363" w14:textId="77777777" w:rsidR="004D7C44" w:rsidRPr="00AA0890" w:rsidRDefault="004D7C44" w:rsidP="00AA08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Current (µA)</w:t>
            </w:r>
          </w:p>
        </w:tc>
        <w:tc>
          <w:tcPr>
            <w:tcW w:w="2358" w:type="dxa"/>
          </w:tcPr>
          <w:p w14:paraId="2E3F27F8" w14:textId="77777777" w:rsidR="004D7C44" w:rsidRPr="00AA0890" w:rsidRDefault="004D7C44" w:rsidP="00AA08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% RSD</w:t>
            </w:r>
          </w:p>
        </w:tc>
      </w:tr>
      <w:tr w:rsidR="00AA0890" w:rsidRPr="00AA0890" w14:paraId="580CF78F" w14:textId="77777777" w:rsidTr="00AA0890">
        <w:tc>
          <w:tcPr>
            <w:tcW w:w="835" w:type="dxa"/>
          </w:tcPr>
          <w:p w14:paraId="7028C443" w14:textId="77777777" w:rsidR="004D7C44" w:rsidRPr="00AA0890" w:rsidRDefault="004D7C44" w:rsidP="00AA08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551" w:type="dxa"/>
          </w:tcPr>
          <w:p w14:paraId="66FE3579" w14:textId="77777777" w:rsidR="004D7C44" w:rsidRPr="00AA0890" w:rsidRDefault="004D7C44" w:rsidP="00AA08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400 </w:t>
            </w:r>
            <w:proofErr w:type="spellStart"/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pg</w:t>
            </w:r>
            <w:proofErr w:type="spellEnd"/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mL</w:t>
            </w:r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-1</w:t>
            </w:r>
          </w:p>
        </w:tc>
        <w:tc>
          <w:tcPr>
            <w:tcW w:w="2552" w:type="dxa"/>
          </w:tcPr>
          <w:p w14:paraId="41565BF7" w14:textId="77777777" w:rsidR="004D7C44" w:rsidRPr="00AA0890" w:rsidRDefault="004D7C44" w:rsidP="00AA08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53.16 ± 0.66</w:t>
            </w:r>
          </w:p>
        </w:tc>
        <w:tc>
          <w:tcPr>
            <w:tcW w:w="2358" w:type="dxa"/>
          </w:tcPr>
          <w:p w14:paraId="2912F9FC" w14:textId="77777777" w:rsidR="004D7C44" w:rsidRPr="00AA0890" w:rsidRDefault="004D7C44" w:rsidP="00AA08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1.24</w:t>
            </w:r>
          </w:p>
        </w:tc>
      </w:tr>
      <w:tr w:rsidR="00AA0890" w:rsidRPr="00AA0890" w14:paraId="5E3F1E39" w14:textId="77777777" w:rsidTr="00AA0890">
        <w:tc>
          <w:tcPr>
            <w:tcW w:w="835" w:type="dxa"/>
          </w:tcPr>
          <w:p w14:paraId="04821FF0" w14:textId="77777777" w:rsidR="004D7C44" w:rsidRPr="00AA0890" w:rsidRDefault="004D7C44" w:rsidP="00AA08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551" w:type="dxa"/>
          </w:tcPr>
          <w:p w14:paraId="0F0FFEC0" w14:textId="77777777" w:rsidR="004D7C44" w:rsidRPr="00AA0890" w:rsidRDefault="004D7C44" w:rsidP="00AA08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700 </w:t>
            </w:r>
            <w:proofErr w:type="spellStart"/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pg</w:t>
            </w:r>
            <w:proofErr w:type="spellEnd"/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mL</w:t>
            </w:r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-1</w:t>
            </w:r>
          </w:p>
        </w:tc>
        <w:tc>
          <w:tcPr>
            <w:tcW w:w="2552" w:type="dxa"/>
          </w:tcPr>
          <w:p w14:paraId="73ACC6F1" w14:textId="77777777" w:rsidR="004D7C44" w:rsidRPr="00AA0890" w:rsidRDefault="004D7C44" w:rsidP="00AA08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58.25 ± 1.71</w:t>
            </w:r>
          </w:p>
        </w:tc>
        <w:tc>
          <w:tcPr>
            <w:tcW w:w="2358" w:type="dxa"/>
          </w:tcPr>
          <w:p w14:paraId="4658F86C" w14:textId="77777777" w:rsidR="004D7C44" w:rsidRPr="00AA0890" w:rsidRDefault="004D7C44" w:rsidP="00AA08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2.94</w:t>
            </w:r>
          </w:p>
        </w:tc>
      </w:tr>
      <w:tr w:rsidR="00AA0890" w:rsidRPr="00AA0890" w14:paraId="08D39927" w14:textId="77777777" w:rsidTr="00AA0890">
        <w:tc>
          <w:tcPr>
            <w:tcW w:w="835" w:type="dxa"/>
          </w:tcPr>
          <w:p w14:paraId="36776C7D" w14:textId="77777777" w:rsidR="004D7C44" w:rsidRPr="00AA0890" w:rsidRDefault="004D7C44" w:rsidP="00AA08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551" w:type="dxa"/>
          </w:tcPr>
          <w:p w14:paraId="1E89D3F3" w14:textId="77777777" w:rsidR="004D7C44" w:rsidRPr="00AA0890" w:rsidRDefault="004D7C44" w:rsidP="00AA08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ng mL</w:t>
            </w:r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-1</w:t>
            </w:r>
          </w:p>
        </w:tc>
        <w:tc>
          <w:tcPr>
            <w:tcW w:w="2552" w:type="dxa"/>
          </w:tcPr>
          <w:p w14:paraId="2894D145" w14:textId="77777777" w:rsidR="004D7C44" w:rsidRPr="00AA0890" w:rsidRDefault="004D7C44" w:rsidP="00AA08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47.62 ± 1.10</w:t>
            </w:r>
          </w:p>
        </w:tc>
        <w:tc>
          <w:tcPr>
            <w:tcW w:w="2358" w:type="dxa"/>
          </w:tcPr>
          <w:p w14:paraId="702CFC2F" w14:textId="77777777" w:rsidR="004D7C44" w:rsidRPr="00AA0890" w:rsidRDefault="004D7C44" w:rsidP="00AA08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2.32</w:t>
            </w:r>
          </w:p>
        </w:tc>
      </w:tr>
      <w:tr w:rsidR="00AA0890" w:rsidRPr="00AA0890" w14:paraId="5795B9E6" w14:textId="77777777" w:rsidTr="00AA0890">
        <w:tc>
          <w:tcPr>
            <w:tcW w:w="835" w:type="dxa"/>
          </w:tcPr>
          <w:p w14:paraId="38A72D3C" w14:textId="77777777" w:rsidR="004D7C44" w:rsidRPr="00AA0890" w:rsidRDefault="004D7C44" w:rsidP="00AA08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551" w:type="dxa"/>
          </w:tcPr>
          <w:p w14:paraId="007F15E4" w14:textId="77777777" w:rsidR="004D7C44" w:rsidRPr="00AA0890" w:rsidRDefault="004D7C44" w:rsidP="00AA08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 ng mL</w:t>
            </w:r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-1</w:t>
            </w:r>
          </w:p>
        </w:tc>
        <w:tc>
          <w:tcPr>
            <w:tcW w:w="2552" w:type="dxa"/>
          </w:tcPr>
          <w:p w14:paraId="26777D0F" w14:textId="77777777" w:rsidR="004D7C44" w:rsidRPr="00AA0890" w:rsidRDefault="004D7C44" w:rsidP="00AA08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37.13 ± 1.17</w:t>
            </w:r>
          </w:p>
        </w:tc>
        <w:tc>
          <w:tcPr>
            <w:tcW w:w="2358" w:type="dxa"/>
          </w:tcPr>
          <w:p w14:paraId="510568E3" w14:textId="77777777" w:rsidR="004D7C44" w:rsidRPr="00AA0890" w:rsidRDefault="004D7C44" w:rsidP="00AA089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3.14</w:t>
            </w:r>
          </w:p>
        </w:tc>
      </w:tr>
    </w:tbl>
    <w:p w14:paraId="26097E3A" w14:textId="77777777" w:rsidR="004D7C44" w:rsidRPr="00AA0890" w:rsidRDefault="004D7C44" w:rsidP="00AA0890">
      <w:pPr>
        <w:spacing w:line="360" w:lineRule="auto"/>
        <w:rPr>
          <w:color w:val="000000" w:themeColor="text1"/>
        </w:rPr>
      </w:pPr>
    </w:p>
    <w:p w14:paraId="553C5075" w14:textId="77777777" w:rsidR="00260C60" w:rsidRPr="00AA0890" w:rsidRDefault="00FD0161" w:rsidP="00AA0890">
      <w:pPr>
        <w:spacing w:line="360" w:lineRule="auto"/>
        <w:rPr>
          <w:color w:val="000000" w:themeColor="text1"/>
        </w:rPr>
      </w:pPr>
      <w:r w:rsidRPr="00FD0161">
        <w:rPr>
          <w:noProof/>
          <w:color w:val="000000" w:themeColor="text1"/>
          <w:lang w:eastAsia="en-IN"/>
        </w:rPr>
        <w:lastRenderedPageBreak/>
        <w:drawing>
          <wp:inline distT="0" distB="0" distL="0" distR="0" wp14:anchorId="5304BE12" wp14:editId="77FCA9FA">
            <wp:extent cx="5731510" cy="4682843"/>
            <wp:effectExtent l="0" t="0" r="2540" b="3810"/>
            <wp:docPr id="2" name="Picture 2" descr="C:\Users\Shilpi\Desktop\Shilpi (NPL)\Manuscript\ZnO-rGO for IL8 detection\1st Revision\TIFF images\Fig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lpi\Desktop\Shilpi (NPL)\Manuscript\ZnO-rGO for IL8 detection\1st Revision\TIFF images\Fig S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8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78D19" w14:textId="77777777" w:rsidR="00AA0890" w:rsidRPr="00AA0890" w:rsidRDefault="00AA0890" w:rsidP="00AA0890">
      <w:pPr>
        <w:spacing w:line="360" w:lineRule="auto"/>
        <w:jc w:val="both"/>
        <w:rPr>
          <w:color w:val="000000" w:themeColor="text1"/>
        </w:rPr>
      </w:pPr>
      <w:r w:rsidRPr="00AA08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Figure S3: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DPV curves showing analytical responses of the Anti-IL8/</w:t>
      </w:r>
      <w:proofErr w:type="spellStart"/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ZnO-rGO</w:t>
      </w:r>
      <w:proofErr w:type="spellEnd"/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/ITO electrodes for 15 sets of measurements obtained towards </w:t>
      </w:r>
      <w:r w:rsidR="004322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(a) 400 </w:t>
      </w:r>
      <w:proofErr w:type="spellStart"/>
      <w:r w:rsidR="004322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pg</w:t>
      </w:r>
      <w:proofErr w:type="spellEnd"/>
      <w:r w:rsidR="004322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mL</w:t>
      </w:r>
      <w:r w:rsidR="004322AA" w:rsidRPr="004322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="004322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(b) 700 </w:t>
      </w:r>
      <w:proofErr w:type="spellStart"/>
      <w:r w:rsidR="004322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pg</w:t>
      </w:r>
      <w:proofErr w:type="spellEnd"/>
      <w:r w:rsidR="004322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mL</w:t>
      </w:r>
      <w:r w:rsidR="004322AA" w:rsidRPr="004322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="004322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(c) 1 ng mL</w:t>
      </w:r>
      <w:r w:rsidR="004322AA" w:rsidRPr="004322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="004322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(d) 2</w:t>
      </w:r>
      <w:r w:rsidR="004322AA" w:rsidRPr="004322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22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ng mL</w:t>
      </w:r>
      <w:r w:rsidR="004322AA" w:rsidRPr="004322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="004322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0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concentrations of IL8.</w:t>
      </w:r>
    </w:p>
    <w:sectPr w:rsidR="00AA0890" w:rsidRPr="00AA0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D2"/>
    <w:rsid w:val="000006CE"/>
    <w:rsid w:val="00152AE0"/>
    <w:rsid w:val="00157AA8"/>
    <w:rsid w:val="001C45BB"/>
    <w:rsid w:val="00260C60"/>
    <w:rsid w:val="00301AAC"/>
    <w:rsid w:val="00325A52"/>
    <w:rsid w:val="004078D9"/>
    <w:rsid w:val="00431E78"/>
    <w:rsid w:val="004322AA"/>
    <w:rsid w:val="00443564"/>
    <w:rsid w:val="004D7C44"/>
    <w:rsid w:val="006C708E"/>
    <w:rsid w:val="00770690"/>
    <w:rsid w:val="007B73D2"/>
    <w:rsid w:val="0097323E"/>
    <w:rsid w:val="00A0579B"/>
    <w:rsid w:val="00A904E5"/>
    <w:rsid w:val="00AA0890"/>
    <w:rsid w:val="00B207B0"/>
    <w:rsid w:val="00B23234"/>
    <w:rsid w:val="00C27846"/>
    <w:rsid w:val="00CD2372"/>
    <w:rsid w:val="00CD43C1"/>
    <w:rsid w:val="00D336B3"/>
    <w:rsid w:val="00E6403C"/>
    <w:rsid w:val="00F5462F"/>
    <w:rsid w:val="00F806A7"/>
    <w:rsid w:val="00F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63AB"/>
  <w15:chartTrackingRefBased/>
  <w15:docId w15:val="{A9B13894-C11B-4C27-A5F6-8DA51011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A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C44"/>
    <w:pPr>
      <w:ind w:left="720"/>
      <w:contextualSpacing/>
    </w:pPr>
  </w:style>
  <w:style w:type="table" w:styleId="TableGrid">
    <w:name w:val="Table Grid"/>
    <w:basedOn w:val="TableNormal"/>
    <w:uiPriority w:val="39"/>
    <w:rsid w:val="004D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hyperlink" Target="mailto:singh.uprm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Shilpi</dc:creator>
  <cp:keywords/>
  <dc:description/>
  <cp:lastModifiedBy>Technica</cp:lastModifiedBy>
  <cp:revision>2</cp:revision>
  <dcterms:created xsi:type="dcterms:W3CDTF">2019-09-26T14:39:00Z</dcterms:created>
  <dcterms:modified xsi:type="dcterms:W3CDTF">2019-09-26T14:39:00Z</dcterms:modified>
</cp:coreProperties>
</file>