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0060" w14:textId="77777777" w:rsidR="0054544C" w:rsidRPr="005C065D" w:rsidRDefault="0054544C" w:rsidP="0054544C">
      <w:pPr>
        <w:spacing w:line="480" w:lineRule="auto"/>
        <w:ind w:left="360" w:hanging="360"/>
        <w:jc w:val="center"/>
        <w:rPr>
          <w:lang w:val="en-US"/>
        </w:rPr>
      </w:pPr>
      <w:r w:rsidRPr="005C065D">
        <w:rPr>
          <w:b/>
          <w:sz w:val="22"/>
          <w:szCs w:val="22"/>
          <w:lang w:val="en-US"/>
        </w:rPr>
        <w:t>Preparation of Graphene Oxide Reinforced Calcium Phosphate/Calcium Sulfate/Methylcellulose-based Injectable Bone Substitutes</w:t>
      </w:r>
      <w:r w:rsidRPr="005C065D">
        <w:rPr>
          <w:lang w:val="en-US"/>
        </w:rPr>
        <w:t xml:space="preserve"> </w:t>
      </w:r>
    </w:p>
    <w:p w14:paraId="54FB4268" w14:textId="77777777" w:rsidR="0054544C" w:rsidRPr="005C065D" w:rsidRDefault="0054544C" w:rsidP="0054544C">
      <w:pPr>
        <w:spacing w:line="480" w:lineRule="auto"/>
        <w:ind w:left="360" w:hanging="360"/>
        <w:jc w:val="center"/>
        <w:rPr>
          <w:lang w:val="de-AT"/>
        </w:rPr>
      </w:pPr>
      <w:r w:rsidRPr="005C065D">
        <w:rPr>
          <w:lang w:val="de-AT"/>
        </w:rPr>
        <w:t>Öznur Demir Oğuz</w:t>
      </w:r>
      <w:r w:rsidRPr="005C065D">
        <w:rPr>
          <w:vertAlign w:val="superscript"/>
          <w:lang w:val="de-AT"/>
        </w:rPr>
        <w:t>1</w:t>
      </w:r>
      <w:r w:rsidRPr="005C065D">
        <w:rPr>
          <w:lang w:val="de-AT"/>
        </w:rPr>
        <w:t>, Duygu Ege</w:t>
      </w:r>
      <w:r w:rsidRPr="005C065D">
        <w:rPr>
          <w:vertAlign w:val="superscript"/>
          <w:lang w:val="de-AT"/>
        </w:rPr>
        <w:t>1*</w:t>
      </w:r>
    </w:p>
    <w:p w14:paraId="462F8053" w14:textId="77777777" w:rsidR="0054544C" w:rsidRPr="005C065D" w:rsidRDefault="0054544C" w:rsidP="0054544C">
      <w:pPr>
        <w:spacing w:line="480" w:lineRule="auto"/>
        <w:ind w:left="360" w:hanging="360"/>
        <w:jc w:val="center"/>
        <w:rPr>
          <w:lang w:val="en-US"/>
        </w:rPr>
      </w:pPr>
      <w:r w:rsidRPr="005C065D">
        <w:rPr>
          <w:vertAlign w:val="superscript"/>
          <w:lang w:val="en-US"/>
        </w:rPr>
        <w:t>1</w:t>
      </w:r>
      <w:r w:rsidRPr="005C065D">
        <w:rPr>
          <w:lang w:val="en-US"/>
        </w:rPr>
        <w:t>Boğaziçi University, Institute of Biomedical Engineering, Istanbul, 34684, Turkey</w:t>
      </w:r>
    </w:p>
    <w:p w14:paraId="275AC340" w14:textId="77777777" w:rsidR="0054544C" w:rsidRPr="005C065D" w:rsidRDefault="0054544C" w:rsidP="0054544C">
      <w:pPr>
        <w:spacing w:line="480" w:lineRule="auto"/>
        <w:ind w:left="360" w:hanging="360"/>
        <w:jc w:val="center"/>
        <w:rPr>
          <w:color w:val="0563C1"/>
          <w:u w:val="single"/>
          <w:lang w:val="en-US"/>
        </w:rPr>
      </w:pPr>
      <w:r w:rsidRPr="005C065D">
        <w:rPr>
          <w:lang w:val="en-US"/>
        </w:rPr>
        <w:t xml:space="preserve">*Corresponding author e-mail: </w:t>
      </w:r>
      <w:hyperlink r:id="rId6">
        <w:r w:rsidRPr="005C065D">
          <w:rPr>
            <w:color w:val="0563C1"/>
            <w:u w:val="single"/>
            <w:lang w:val="en-US"/>
          </w:rPr>
          <w:t>duygu.ege@boun.edu.tr</w:t>
        </w:r>
      </w:hyperlink>
    </w:p>
    <w:p w14:paraId="60013295" w14:textId="77777777" w:rsidR="0031279C" w:rsidRPr="005C065D" w:rsidRDefault="0054544C" w:rsidP="004A2236">
      <w:pPr>
        <w:spacing w:line="480" w:lineRule="auto"/>
        <w:ind w:left="360" w:hanging="360"/>
        <w:jc w:val="center"/>
        <w:rPr>
          <w:color w:val="0563C1"/>
          <w:u w:val="single"/>
          <w:lang w:val="en-US"/>
        </w:rPr>
      </w:pPr>
      <w:r w:rsidRPr="005C065D">
        <w:rPr>
          <w:b/>
          <w:lang w:val="en-US"/>
        </w:rPr>
        <w:t>Supplementary Document</w:t>
      </w:r>
    </w:p>
    <w:p w14:paraId="28FE7125" w14:textId="77777777" w:rsidR="0054544C" w:rsidRPr="005C065D" w:rsidRDefault="0054544C"/>
    <w:p w14:paraId="44476B50" w14:textId="77777777" w:rsidR="0054544C" w:rsidRPr="005C065D" w:rsidRDefault="0054544C" w:rsidP="0054544C">
      <w:pPr>
        <w:keepNext/>
        <w:rPr>
          <w:b/>
          <w:lang w:val="en-US"/>
        </w:rPr>
      </w:pPr>
      <w:r w:rsidRPr="005C065D">
        <w:rPr>
          <w:b/>
          <w:lang w:val="en-US"/>
        </w:rPr>
        <w:t>XRD Analysis</w:t>
      </w:r>
    </w:p>
    <w:p w14:paraId="02ECB1DC" w14:textId="77777777" w:rsidR="0054544C" w:rsidRPr="005C065D" w:rsidRDefault="0054544C" w:rsidP="0054544C">
      <w:pPr>
        <w:keepNext/>
        <w:rPr>
          <w:lang w:val="en-US"/>
        </w:rPr>
      </w:pPr>
    </w:p>
    <w:p w14:paraId="4D6FF793" w14:textId="77777777" w:rsidR="0054544C" w:rsidRPr="005C065D" w:rsidRDefault="0001110E" w:rsidP="0054544C">
      <w:pPr>
        <w:keepNext/>
        <w:rPr>
          <w:lang w:val="en-US"/>
        </w:rPr>
      </w:pPr>
      <w:r w:rsidRPr="005C065D">
        <w:rPr>
          <w:lang w:val="en-US"/>
        </w:rPr>
        <w:t>Fig. S1 shows the XRD pattern of 0GO and 2GO samples after 24 hours of setting. Samples possessed the same XRD pattern independent of incorporation of GO because of the small content of GO. Depending on the qualitative analysis, no new crystal structure was obtained after setting of the samples, only the added raw powders, namely, TTCP, DCPD and CSD were detected which matched with JCPDS files no 72-1240, 70-1379 and 74-1905, respectively.</w:t>
      </w:r>
    </w:p>
    <w:p w14:paraId="5B799426" w14:textId="77777777" w:rsidR="0054544C" w:rsidRPr="005C065D" w:rsidRDefault="0054544C" w:rsidP="0054544C">
      <w:pPr>
        <w:keepNext/>
        <w:rPr>
          <w:lang w:val="en-US"/>
        </w:rPr>
      </w:pPr>
    </w:p>
    <w:p w14:paraId="62356D2A" w14:textId="77777777" w:rsidR="0054544C" w:rsidRPr="005C065D" w:rsidRDefault="0054544C" w:rsidP="0054544C">
      <w:pPr>
        <w:keepNext/>
        <w:jc w:val="center"/>
        <w:rPr>
          <w:lang w:val="en-US"/>
        </w:rPr>
      </w:pPr>
    </w:p>
    <w:p w14:paraId="36A9CBA9" w14:textId="77777777" w:rsidR="0054544C" w:rsidRPr="005C065D" w:rsidRDefault="0054544C" w:rsidP="0054544C">
      <w:pPr>
        <w:keepNext/>
        <w:jc w:val="center"/>
        <w:rPr>
          <w:lang w:val="en-US"/>
        </w:rPr>
      </w:pPr>
      <w:r w:rsidRPr="005C065D">
        <w:rPr>
          <w:noProof/>
          <w:lang w:eastAsia="tr-TR"/>
        </w:rPr>
        <w:drawing>
          <wp:inline distT="0" distB="0" distL="0" distR="0" wp14:anchorId="119D37B9" wp14:editId="576F7325">
            <wp:extent cx="4724400" cy="363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24400" cy="3632200"/>
                    </a:xfrm>
                    <a:prstGeom prst="rect">
                      <a:avLst/>
                    </a:prstGeom>
                    <a:ln/>
                  </pic:spPr>
                </pic:pic>
              </a:graphicData>
            </a:graphic>
          </wp:inline>
        </w:drawing>
      </w:r>
    </w:p>
    <w:p w14:paraId="2AF6DF59" w14:textId="77777777" w:rsidR="0054544C" w:rsidRPr="005C065D" w:rsidRDefault="0054544C" w:rsidP="0054544C">
      <w:pPr>
        <w:pBdr>
          <w:top w:val="nil"/>
          <w:left w:val="nil"/>
          <w:bottom w:val="nil"/>
          <w:right w:val="nil"/>
          <w:between w:val="nil"/>
        </w:pBdr>
        <w:spacing w:after="200"/>
        <w:jc w:val="center"/>
        <w:rPr>
          <w:i/>
          <w:color w:val="44546A"/>
          <w:sz w:val="18"/>
          <w:szCs w:val="18"/>
          <w:lang w:val="en-US"/>
        </w:rPr>
      </w:pPr>
      <w:r w:rsidRPr="005C065D">
        <w:rPr>
          <w:i/>
          <w:color w:val="44546A"/>
          <w:sz w:val="18"/>
          <w:szCs w:val="18"/>
          <w:lang w:val="en-US"/>
        </w:rPr>
        <w:t>Figure S 1: XRD pattern of 0GO and 2 GO samples after setting.</w:t>
      </w:r>
    </w:p>
    <w:p w14:paraId="5BE321B6" w14:textId="4D3F2F03" w:rsidR="0054544C" w:rsidRPr="005C065D" w:rsidRDefault="0054544C" w:rsidP="0054544C">
      <w:pPr>
        <w:rPr>
          <w:b/>
          <w:lang w:val="en-US"/>
        </w:rPr>
      </w:pPr>
    </w:p>
    <w:p w14:paraId="0BFB53A5" w14:textId="43C49458" w:rsidR="0006446B" w:rsidRPr="005C065D" w:rsidRDefault="0006446B" w:rsidP="0054544C">
      <w:pPr>
        <w:rPr>
          <w:b/>
          <w:lang w:val="en-US"/>
        </w:rPr>
      </w:pPr>
    </w:p>
    <w:p w14:paraId="677BBEAC" w14:textId="114EAA00" w:rsidR="0006446B" w:rsidRPr="005C065D" w:rsidRDefault="0006446B" w:rsidP="0054544C">
      <w:pPr>
        <w:rPr>
          <w:b/>
          <w:lang w:val="en-US"/>
        </w:rPr>
      </w:pPr>
    </w:p>
    <w:p w14:paraId="11DC697E" w14:textId="77777777" w:rsidR="0006446B" w:rsidRPr="005C065D" w:rsidRDefault="0006446B" w:rsidP="0054544C">
      <w:pPr>
        <w:rPr>
          <w:b/>
          <w:lang w:val="en-US"/>
        </w:rPr>
      </w:pPr>
    </w:p>
    <w:p w14:paraId="33912ECA" w14:textId="77777777" w:rsidR="0054544C" w:rsidRPr="005C065D" w:rsidRDefault="0054544C" w:rsidP="0054544C">
      <w:pPr>
        <w:rPr>
          <w:b/>
          <w:lang w:val="en-US"/>
        </w:rPr>
      </w:pPr>
    </w:p>
    <w:p w14:paraId="63BCD5E5" w14:textId="77777777" w:rsidR="0054544C" w:rsidRPr="005C065D" w:rsidRDefault="0054544C" w:rsidP="0054544C">
      <w:pPr>
        <w:rPr>
          <w:b/>
          <w:lang w:val="en-US"/>
        </w:rPr>
      </w:pPr>
      <w:r w:rsidRPr="005C065D">
        <w:rPr>
          <w:b/>
          <w:lang w:val="en-US"/>
        </w:rPr>
        <w:lastRenderedPageBreak/>
        <w:t>FTIR Analysis</w:t>
      </w:r>
    </w:p>
    <w:p w14:paraId="5E669C37" w14:textId="77777777" w:rsidR="0054544C" w:rsidRPr="005C065D" w:rsidRDefault="0054544C" w:rsidP="0054544C">
      <w:pPr>
        <w:rPr>
          <w:b/>
          <w:lang w:val="en-US"/>
        </w:rPr>
      </w:pPr>
    </w:p>
    <w:p w14:paraId="2183C4A5" w14:textId="77777777" w:rsidR="004A2236" w:rsidRPr="005C065D" w:rsidRDefault="0054544C" w:rsidP="0054544C">
      <w:pPr>
        <w:jc w:val="both"/>
        <w:rPr>
          <w:lang w:val="en-US"/>
        </w:rPr>
      </w:pPr>
      <w:bookmarkStart w:id="0" w:name="_gjdgxs" w:colFirst="0" w:colLast="0"/>
      <w:bookmarkEnd w:id="0"/>
      <w:r w:rsidRPr="005C065D">
        <w:rPr>
          <w:lang w:val="en-US"/>
        </w:rPr>
        <w:t xml:space="preserve">Figure S2 shows the FTIR spectrum of </w:t>
      </w:r>
      <w:r w:rsidR="00CF6A07" w:rsidRPr="005C065D">
        <w:rPr>
          <w:lang w:val="en-US"/>
        </w:rPr>
        <w:t>GO,</w:t>
      </w:r>
      <w:r w:rsidR="0001110E" w:rsidRPr="005C065D">
        <w:rPr>
          <w:lang w:val="en-US"/>
        </w:rPr>
        <w:t xml:space="preserve"> MC</w:t>
      </w:r>
      <w:r w:rsidR="005646F4" w:rsidRPr="005C065D">
        <w:rPr>
          <w:lang w:val="en-US"/>
        </w:rPr>
        <w:t>, polymer phase</w:t>
      </w:r>
      <w:r w:rsidR="00CF6A07" w:rsidRPr="005C065D">
        <w:rPr>
          <w:lang w:val="en-US"/>
        </w:rPr>
        <w:t xml:space="preserve"> with</w:t>
      </w:r>
      <w:r w:rsidR="0001110E" w:rsidRPr="005C065D">
        <w:rPr>
          <w:lang w:val="en-US"/>
        </w:rPr>
        <w:t xml:space="preserve"> 2 </w:t>
      </w:r>
      <w:proofErr w:type="spellStart"/>
      <w:r w:rsidR="0001110E" w:rsidRPr="005C065D">
        <w:rPr>
          <w:lang w:val="en-US"/>
        </w:rPr>
        <w:t>wt</w:t>
      </w:r>
      <w:proofErr w:type="spellEnd"/>
      <w:r w:rsidR="0001110E" w:rsidRPr="005C065D">
        <w:rPr>
          <w:lang w:val="en-US"/>
        </w:rPr>
        <w:t>%</w:t>
      </w:r>
      <w:r w:rsidR="00CF6A07" w:rsidRPr="005C065D">
        <w:rPr>
          <w:lang w:val="en-US"/>
        </w:rPr>
        <w:t xml:space="preserve"> GO, 0</w:t>
      </w:r>
      <w:r w:rsidRPr="005C065D">
        <w:rPr>
          <w:lang w:val="en-US"/>
        </w:rPr>
        <w:t>GO</w:t>
      </w:r>
      <w:r w:rsidR="00CF6A07" w:rsidRPr="005C065D">
        <w:rPr>
          <w:lang w:val="en-US"/>
        </w:rPr>
        <w:t xml:space="preserve"> and 2GO</w:t>
      </w:r>
      <w:r w:rsidRPr="005C065D">
        <w:rPr>
          <w:lang w:val="en-US"/>
        </w:rPr>
        <w:t>. In FTIR spectra of GO, there were carboxyl C=O stretching band</w:t>
      </w:r>
      <w:r w:rsidR="005B5F41" w:rsidRPr="005C065D">
        <w:rPr>
          <w:lang w:val="en-US"/>
        </w:rPr>
        <w:t>s</w:t>
      </w:r>
      <w:r w:rsidRPr="005C065D">
        <w:rPr>
          <w:lang w:val="en-US"/>
        </w:rPr>
        <w:t xml:space="preserve"> at 1729 and 1616 cm</w:t>
      </w:r>
      <w:r w:rsidRPr="005C065D">
        <w:rPr>
          <w:vertAlign w:val="superscript"/>
          <w:lang w:val="en-US"/>
        </w:rPr>
        <w:t>-1</w:t>
      </w:r>
      <w:r w:rsidRPr="005C065D">
        <w:rPr>
          <w:lang w:val="en-US"/>
        </w:rPr>
        <w:t>, O-H deformation vibration at 1404 cm</w:t>
      </w:r>
      <w:r w:rsidRPr="005C065D">
        <w:rPr>
          <w:vertAlign w:val="superscript"/>
          <w:lang w:val="en-US"/>
        </w:rPr>
        <w:t>-1</w:t>
      </w:r>
      <w:r w:rsidRPr="005C065D">
        <w:rPr>
          <w:lang w:val="en-US"/>
        </w:rPr>
        <w:t>, and also C-O stretching vibration at 1032 cm</w:t>
      </w:r>
      <w:r w:rsidRPr="005C065D">
        <w:rPr>
          <w:vertAlign w:val="superscript"/>
          <w:lang w:val="en-US"/>
        </w:rPr>
        <w:t>-1</w:t>
      </w:r>
      <w:r w:rsidR="00261238" w:rsidRPr="005C065D">
        <w:rPr>
          <w:lang w:val="en-US"/>
        </w:rPr>
        <w:t>.</w:t>
      </w:r>
      <w:r w:rsidR="00983F77" w:rsidRPr="005C065D">
        <w:rPr>
          <w:vertAlign w:val="superscript"/>
          <w:lang w:val="en-US"/>
        </w:rPr>
        <w:t>[1,2]</w:t>
      </w:r>
      <w:r w:rsidR="00261238" w:rsidRPr="005C065D">
        <w:rPr>
          <w:lang w:val="en-US"/>
        </w:rPr>
        <w:t xml:space="preserve"> </w:t>
      </w:r>
      <w:r w:rsidR="005646F4" w:rsidRPr="005C065D">
        <w:rPr>
          <w:lang w:val="en-US"/>
        </w:rPr>
        <w:t>FTIR spectrum of MC had bands at around 145</w:t>
      </w:r>
      <w:r w:rsidR="00626B77" w:rsidRPr="005C065D">
        <w:rPr>
          <w:lang w:val="en-US"/>
        </w:rPr>
        <w:t>1</w:t>
      </w:r>
      <w:r w:rsidR="004A2236" w:rsidRPr="005C065D">
        <w:rPr>
          <w:lang w:val="en-US"/>
        </w:rPr>
        <w:t xml:space="preserve">, </w:t>
      </w:r>
      <w:r w:rsidR="005646F4" w:rsidRPr="005C065D">
        <w:rPr>
          <w:lang w:val="en-US"/>
        </w:rPr>
        <w:t xml:space="preserve">1367 </w:t>
      </w:r>
      <w:r w:rsidR="004A2236" w:rsidRPr="005C065D">
        <w:rPr>
          <w:lang w:val="en-US"/>
        </w:rPr>
        <w:t>and 936 cm</w:t>
      </w:r>
      <w:r w:rsidR="004A2236" w:rsidRPr="005C065D">
        <w:rPr>
          <w:vertAlign w:val="superscript"/>
          <w:lang w:val="en-US"/>
        </w:rPr>
        <w:t>-1</w:t>
      </w:r>
      <w:r w:rsidR="004A2236" w:rsidRPr="005C065D">
        <w:rPr>
          <w:lang w:val="en-US"/>
        </w:rPr>
        <w:t xml:space="preserve"> due to C-H stretching of CH</w:t>
      </w:r>
      <w:r w:rsidR="004A2236" w:rsidRPr="005C065D">
        <w:rPr>
          <w:vertAlign w:val="subscript"/>
          <w:lang w:val="en-US"/>
        </w:rPr>
        <w:t>2</w:t>
      </w:r>
      <w:r w:rsidR="004A2236" w:rsidRPr="005C065D">
        <w:rPr>
          <w:lang w:val="en-US"/>
        </w:rPr>
        <w:t xml:space="preserve"> and </w:t>
      </w:r>
      <w:r w:rsidR="005646F4" w:rsidRPr="005C065D">
        <w:rPr>
          <w:lang w:val="en-US"/>
        </w:rPr>
        <w:t>CH</w:t>
      </w:r>
      <w:r w:rsidR="005646F4" w:rsidRPr="005C065D">
        <w:rPr>
          <w:vertAlign w:val="subscript"/>
          <w:lang w:val="en-US"/>
        </w:rPr>
        <w:t>3</w:t>
      </w:r>
      <w:r w:rsidR="005646F4" w:rsidRPr="005C065D">
        <w:rPr>
          <w:lang w:val="en-US"/>
        </w:rPr>
        <w:t xml:space="preserve"> group</w:t>
      </w:r>
      <w:r w:rsidR="00261238" w:rsidRPr="005C065D">
        <w:rPr>
          <w:lang w:val="en-US"/>
        </w:rPr>
        <w:t>.</w:t>
      </w:r>
      <w:r w:rsidR="00983F77" w:rsidRPr="005C065D">
        <w:rPr>
          <w:vertAlign w:val="superscript"/>
          <w:lang w:val="en-US"/>
        </w:rPr>
        <w:t>[3]</w:t>
      </w:r>
      <w:r w:rsidR="00261238" w:rsidRPr="005C065D">
        <w:rPr>
          <w:vertAlign w:val="superscript"/>
          <w:lang w:val="en-US"/>
        </w:rPr>
        <w:t xml:space="preserve"> </w:t>
      </w:r>
      <w:r w:rsidR="005646F4" w:rsidRPr="005C065D">
        <w:rPr>
          <w:lang w:val="en-US"/>
        </w:rPr>
        <w:t>Also</w:t>
      </w:r>
      <w:r w:rsidR="00A46419" w:rsidRPr="005C065D">
        <w:rPr>
          <w:lang w:val="en-US"/>
        </w:rPr>
        <w:t>, the intense band around 1103-</w:t>
      </w:r>
      <w:r w:rsidR="005646F4" w:rsidRPr="005C065D">
        <w:rPr>
          <w:lang w:val="en-US"/>
        </w:rPr>
        <w:t>1030 cm</w:t>
      </w:r>
      <w:r w:rsidR="005646F4" w:rsidRPr="005C065D">
        <w:rPr>
          <w:vertAlign w:val="superscript"/>
          <w:lang w:val="en-US"/>
        </w:rPr>
        <w:t>-1</w:t>
      </w:r>
      <w:r w:rsidR="005646F4" w:rsidRPr="005C065D">
        <w:rPr>
          <w:lang w:val="en-US"/>
        </w:rPr>
        <w:t xml:space="preserve"> </w:t>
      </w:r>
      <w:r w:rsidR="004A2236" w:rsidRPr="005C065D">
        <w:rPr>
          <w:lang w:val="en-US"/>
        </w:rPr>
        <w:t>was</w:t>
      </w:r>
      <w:r w:rsidR="005646F4" w:rsidRPr="005C065D">
        <w:rPr>
          <w:lang w:val="en-US"/>
        </w:rPr>
        <w:t xml:space="preserve"> associated with the </w:t>
      </w:r>
      <w:r w:rsidR="004A2236" w:rsidRPr="005C065D">
        <w:rPr>
          <w:lang w:val="en-US"/>
        </w:rPr>
        <w:t xml:space="preserve">C-O-C stretching bond from </w:t>
      </w:r>
      <w:proofErr w:type="spellStart"/>
      <w:r w:rsidR="004A2236" w:rsidRPr="005C065D">
        <w:rPr>
          <w:lang w:val="en-US"/>
        </w:rPr>
        <w:t>glucosidic</w:t>
      </w:r>
      <w:proofErr w:type="spellEnd"/>
      <w:r w:rsidR="004A2236" w:rsidRPr="005C065D">
        <w:rPr>
          <w:lang w:val="en-US"/>
        </w:rPr>
        <w:t xml:space="preserve"> units</w:t>
      </w:r>
      <w:r w:rsidR="00261238" w:rsidRPr="005C065D">
        <w:rPr>
          <w:lang w:val="en-US"/>
        </w:rPr>
        <w:t>.</w:t>
      </w:r>
      <w:r w:rsidR="00983F77" w:rsidRPr="005C065D">
        <w:rPr>
          <w:vertAlign w:val="superscript"/>
          <w:lang w:val="en-US"/>
        </w:rPr>
        <w:t>[4]</w:t>
      </w:r>
      <w:r w:rsidR="005646F4" w:rsidRPr="005C065D">
        <w:rPr>
          <w:lang w:val="en-US"/>
        </w:rPr>
        <w:t xml:space="preserve"> </w:t>
      </w:r>
      <w:r w:rsidRPr="005C065D">
        <w:rPr>
          <w:lang w:val="en-US"/>
        </w:rPr>
        <w:t xml:space="preserve">FTIR spectrum of </w:t>
      </w:r>
      <w:r w:rsidR="00A46419" w:rsidRPr="005C065D">
        <w:rPr>
          <w:lang w:val="en-US"/>
        </w:rPr>
        <w:t xml:space="preserve">the </w:t>
      </w:r>
      <w:r w:rsidR="0023759B" w:rsidRPr="005C065D">
        <w:rPr>
          <w:lang w:val="en-US"/>
        </w:rPr>
        <w:t>GO/</w:t>
      </w:r>
      <w:r w:rsidRPr="005C065D">
        <w:rPr>
          <w:lang w:val="en-US"/>
        </w:rPr>
        <w:t>polymer</w:t>
      </w:r>
      <w:r w:rsidR="0023759B" w:rsidRPr="005C065D">
        <w:rPr>
          <w:lang w:val="en-US"/>
        </w:rPr>
        <w:t>ic</w:t>
      </w:r>
      <w:r w:rsidRPr="005C065D">
        <w:rPr>
          <w:lang w:val="en-US"/>
        </w:rPr>
        <w:t xml:space="preserve"> phase</w:t>
      </w:r>
      <w:r w:rsidR="004A1832" w:rsidRPr="005C065D">
        <w:rPr>
          <w:lang w:val="en-US"/>
        </w:rPr>
        <w:t xml:space="preserve"> had </w:t>
      </w:r>
      <w:r w:rsidR="004A2236" w:rsidRPr="005C065D">
        <w:rPr>
          <w:lang w:val="en-US"/>
        </w:rPr>
        <w:t xml:space="preserve">very </w:t>
      </w:r>
      <w:r w:rsidR="004A1832" w:rsidRPr="005C065D">
        <w:rPr>
          <w:lang w:val="en-US"/>
        </w:rPr>
        <w:t xml:space="preserve">similar peaks with MC’s FTIR spectrum. This is due to higher </w:t>
      </w:r>
      <w:proofErr w:type="spellStart"/>
      <w:r w:rsidR="004A1832" w:rsidRPr="005C065D">
        <w:rPr>
          <w:lang w:val="en-US"/>
        </w:rPr>
        <w:t>wt</w:t>
      </w:r>
      <w:proofErr w:type="spellEnd"/>
      <w:r w:rsidR="004A1832" w:rsidRPr="005C065D">
        <w:rPr>
          <w:lang w:val="en-US"/>
        </w:rPr>
        <w:t xml:space="preserve">% of MC being present in the polymer phase in comparison with gelatin. </w:t>
      </w:r>
      <w:r w:rsidR="0023759B" w:rsidRPr="005C065D">
        <w:rPr>
          <w:lang w:val="en-US"/>
        </w:rPr>
        <w:t>Despite that, there were additional peaks</w:t>
      </w:r>
      <w:r w:rsidR="00626B77" w:rsidRPr="005C065D">
        <w:rPr>
          <w:lang w:val="en-US"/>
        </w:rPr>
        <w:t xml:space="preserve"> at 1649 and 1566 cm</w:t>
      </w:r>
      <w:r w:rsidR="00626B77" w:rsidRPr="005C065D">
        <w:rPr>
          <w:vertAlign w:val="superscript"/>
          <w:lang w:val="en-US"/>
        </w:rPr>
        <w:t>-1</w:t>
      </w:r>
      <w:r w:rsidR="00626B77" w:rsidRPr="005C065D">
        <w:rPr>
          <w:lang w:val="en-US"/>
        </w:rPr>
        <w:t xml:space="preserve"> </w:t>
      </w:r>
      <w:r w:rsidR="004A2236" w:rsidRPr="005C065D">
        <w:rPr>
          <w:lang w:val="en-US"/>
        </w:rPr>
        <w:t>due to C=</w:t>
      </w:r>
      <w:r w:rsidR="00626B77" w:rsidRPr="005C065D">
        <w:rPr>
          <w:lang w:val="en-US"/>
        </w:rPr>
        <w:t xml:space="preserve">O </w:t>
      </w:r>
      <w:r w:rsidR="004A2236" w:rsidRPr="005C065D">
        <w:rPr>
          <w:lang w:val="en-US"/>
        </w:rPr>
        <w:t>and N-H bonds, respectively</w:t>
      </w:r>
      <w:r w:rsidR="00261238" w:rsidRPr="005C065D">
        <w:rPr>
          <w:lang w:val="en-US"/>
        </w:rPr>
        <w:t>.</w:t>
      </w:r>
      <w:r w:rsidR="00983F77" w:rsidRPr="005C065D">
        <w:rPr>
          <w:lang w:val="en-US"/>
        </w:rPr>
        <w:t xml:space="preserve"> </w:t>
      </w:r>
      <w:r w:rsidR="00983F77" w:rsidRPr="005C065D">
        <w:rPr>
          <w:vertAlign w:val="superscript"/>
          <w:lang w:val="en-US"/>
        </w:rPr>
        <w:t>[5]</w:t>
      </w:r>
    </w:p>
    <w:p w14:paraId="571BBF8A" w14:textId="5C235F17" w:rsidR="0054544C" w:rsidRPr="005C065D" w:rsidRDefault="0023759B" w:rsidP="0054544C">
      <w:pPr>
        <w:jc w:val="both"/>
        <w:rPr>
          <w:lang w:val="en-US"/>
        </w:rPr>
      </w:pPr>
      <w:r w:rsidRPr="005C065D">
        <w:rPr>
          <w:color w:val="000000" w:themeColor="text1"/>
          <w:lang w:val="en-US"/>
        </w:rPr>
        <w:t xml:space="preserve">In the 0GO and 2GO spectra, none of the peaks of the polymeric phase was present. This is due to much more dominant signals of the powder phase and its higher weight fraction. </w:t>
      </w:r>
      <w:r w:rsidR="00CA6221" w:rsidRPr="005C065D">
        <w:rPr>
          <w:lang w:val="en-US"/>
        </w:rPr>
        <w:t xml:space="preserve">In </w:t>
      </w:r>
      <w:r w:rsidR="0054544C" w:rsidRPr="005C065D">
        <w:rPr>
          <w:lang w:val="en-US"/>
        </w:rPr>
        <w:t>the spectrum of 0GO and 2GO samples, the broad band at around 1636 cm</w:t>
      </w:r>
      <w:r w:rsidR="0054544C" w:rsidRPr="005C065D">
        <w:rPr>
          <w:vertAlign w:val="superscript"/>
          <w:lang w:val="en-US"/>
        </w:rPr>
        <w:t>-1</w:t>
      </w:r>
      <w:r w:rsidR="0054544C" w:rsidRPr="005C065D">
        <w:rPr>
          <w:lang w:val="en-US"/>
        </w:rPr>
        <w:t xml:space="preserve"> was associated with H-O-H bending</w:t>
      </w:r>
      <w:r w:rsidR="00261238" w:rsidRPr="005C065D">
        <w:rPr>
          <w:lang w:val="en-US"/>
        </w:rPr>
        <w:t>.</w:t>
      </w:r>
      <w:r w:rsidR="00983F77" w:rsidRPr="005C065D">
        <w:rPr>
          <w:vertAlign w:val="superscript"/>
          <w:lang w:val="en-US"/>
        </w:rPr>
        <w:t>[6]</w:t>
      </w:r>
      <w:r w:rsidR="0054544C" w:rsidRPr="005C065D">
        <w:rPr>
          <w:lang w:val="en-US"/>
        </w:rPr>
        <w:t xml:space="preserve"> Another broad band at 1416 cm</w:t>
      </w:r>
      <w:r w:rsidR="0054544C" w:rsidRPr="005C065D">
        <w:rPr>
          <w:vertAlign w:val="superscript"/>
          <w:lang w:val="en-US"/>
        </w:rPr>
        <w:t>-1</w:t>
      </w:r>
      <w:r w:rsidR="0054544C" w:rsidRPr="005C065D">
        <w:rPr>
          <w:lang w:val="en-US"/>
        </w:rPr>
        <w:t xml:space="preserve"> was </w:t>
      </w:r>
      <w:r w:rsidR="00FA7DD2" w:rsidRPr="005C065D">
        <w:rPr>
          <w:lang w:val="en-US"/>
        </w:rPr>
        <w:t>associated with C</w:t>
      </w:r>
      <w:r w:rsidR="0054544C" w:rsidRPr="005C065D">
        <w:rPr>
          <w:lang w:val="en-US"/>
        </w:rPr>
        <w:t xml:space="preserve">-O-H plane bending </w:t>
      </w:r>
      <w:r w:rsidR="0054544C" w:rsidRPr="005C065D">
        <w:rPr>
          <w:lang w:val="en-US"/>
        </w:rPr>
        <w:fldChar w:fldCharType="begin" w:fldLock="1"/>
      </w:r>
      <w:r w:rsidR="004A2236" w:rsidRPr="005C065D">
        <w:rPr>
          <w:lang w:val="en-US"/>
        </w:rPr>
        <w:instrText>ADDIN CSL_CITATION {"citationItems":[{"id":"ITEM-1","itemData":{"DOI":"10.2147/IJN.S196666","ISSN":"11782013","author":[{"dropping-particle":"","family":"Nasrollahi","given":"Negar","non-dropping-particle":"","parse-names":false,"suffix":""},{"dropping-particle":"","family":"Dehkordi","given":"Azar Nourian","non-dropping-particle":"","parse-names":false,"suffix":""},{"dropping-particle":"","family":"Jamshidizad","given":"Abbas","non-dropping-particle":"","parse-names":false,"suffix":""},{"dropping-particle":"","family":"Chehelgerdi","given":"Mohammad","non-dropping-particle":"","parse-names":false,"suffix":""}],"container-title":"International Journal of Nanomedicine","id":"ITEM-1","issued":{"date-parts":[["2019"]]},"page":"3785-3797","title":"Preparation of brushite cements with improved properties by adding graphene oxide","type":"article-journal","volume":"14"},"uris":["http://www.mendeley.com/documents/?uuid=b03bb5df-543d-4467-9f3a-3063f0dc03ca"]}],"mendeley":{"formattedCitation":"(6)","plainTextFormattedCitation":"(6)","previouslyFormattedCitation":"(6)"},"properties":{"noteIndex":0},"schema":"https://github.com/citation-style-language/schema/raw/master/csl-citation.json"}</w:instrText>
      </w:r>
      <w:r w:rsidR="0054544C" w:rsidRPr="005C065D">
        <w:rPr>
          <w:lang w:val="en-US"/>
        </w:rPr>
        <w:fldChar w:fldCharType="separate"/>
      </w:r>
      <w:r w:rsidR="004A2236" w:rsidRPr="005C065D">
        <w:rPr>
          <w:noProof/>
          <w:lang w:val="en-US"/>
        </w:rPr>
        <w:t>(6)</w:t>
      </w:r>
      <w:r w:rsidR="0054544C" w:rsidRPr="005C065D">
        <w:rPr>
          <w:lang w:val="en-US"/>
        </w:rPr>
        <w:fldChar w:fldCharType="end"/>
      </w:r>
      <w:r w:rsidR="0054544C" w:rsidRPr="005C065D">
        <w:rPr>
          <w:lang w:val="en-US"/>
        </w:rPr>
        <w:t>. In all spectra, the bands of PO</w:t>
      </w:r>
      <w:r w:rsidR="0054544C" w:rsidRPr="005C065D">
        <w:rPr>
          <w:vertAlign w:val="subscript"/>
          <w:lang w:val="en-US"/>
        </w:rPr>
        <w:t>4</w:t>
      </w:r>
      <w:r w:rsidR="0054544C" w:rsidRPr="005C065D">
        <w:rPr>
          <w:vertAlign w:val="superscript"/>
          <w:lang w:val="en-US"/>
        </w:rPr>
        <w:t>3-</w:t>
      </w:r>
      <w:r w:rsidR="0054544C" w:rsidRPr="005C065D">
        <w:rPr>
          <w:lang w:val="en-US"/>
        </w:rPr>
        <w:t xml:space="preserve"> were de</w:t>
      </w:r>
      <w:r w:rsidR="00FA7DD2" w:rsidRPr="005C065D">
        <w:rPr>
          <w:lang w:val="en-US"/>
        </w:rPr>
        <w:t>tected at around 1086-1085, 1016-1014</w:t>
      </w:r>
      <w:r w:rsidR="0054544C" w:rsidRPr="005C065D">
        <w:rPr>
          <w:lang w:val="en-US"/>
        </w:rPr>
        <w:t xml:space="preserve"> and 960 cm</w:t>
      </w:r>
      <w:r w:rsidR="0054544C" w:rsidRPr="005C065D">
        <w:rPr>
          <w:vertAlign w:val="superscript"/>
          <w:lang w:val="en-US"/>
        </w:rPr>
        <w:t>-1</w:t>
      </w:r>
      <w:r w:rsidR="0054544C" w:rsidRPr="005C065D">
        <w:rPr>
          <w:lang w:val="en-US"/>
        </w:rPr>
        <w:t>. While the band at 960 cm</w:t>
      </w:r>
      <w:r w:rsidR="0054544C" w:rsidRPr="005C065D">
        <w:rPr>
          <w:vertAlign w:val="superscript"/>
          <w:lang w:val="en-US"/>
        </w:rPr>
        <w:t>-1</w:t>
      </w:r>
      <w:r w:rsidR="0054544C" w:rsidRPr="005C065D">
        <w:rPr>
          <w:lang w:val="en-US"/>
        </w:rPr>
        <w:t xml:space="preserve"> was associated with the symmetric stretching mode ν1 of PO</w:t>
      </w:r>
      <w:r w:rsidR="0054544C" w:rsidRPr="005C065D">
        <w:rPr>
          <w:vertAlign w:val="subscript"/>
          <w:lang w:val="en-US"/>
        </w:rPr>
        <w:t>4</w:t>
      </w:r>
      <w:r w:rsidR="0054544C" w:rsidRPr="005C065D">
        <w:rPr>
          <w:vertAlign w:val="superscript"/>
          <w:lang w:val="en-US"/>
        </w:rPr>
        <w:t>3-</w:t>
      </w:r>
      <w:r w:rsidR="0054544C" w:rsidRPr="005C065D">
        <w:rPr>
          <w:lang w:val="en-US"/>
        </w:rPr>
        <w:t>, bands at 1019-1015 and 1086-1085 cm</w:t>
      </w:r>
      <w:r w:rsidR="0054544C" w:rsidRPr="005C065D">
        <w:rPr>
          <w:vertAlign w:val="superscript"/>
          <w:lang w:val="en-US"/>
        </w:rPr>
        <w:t>-1</w:t>
      </w:r>
      <w:r w:rsidR="0054544C" w:rsidRPr="005C065D">
        <w:rPr>
          <w:lang w:val="en-US"/>
        </w:rPr>
        <w:t xml:space="preserve"> were corresponding to the vibration mode ν3 of PO</w:t>
      </w:r>
      <w:r w:rsidR="0054544C" w:rsidRPr="005C065D">
        <w:rPr>
          <w:vertAlign w:val="subscript"/>
          <w:lang w:val="en-US"/>
        </w:rPr>
        <w:t>4</w:t>
      </w:r>
      <w:r w:rsidR="0054544C" w:rsidRPr="005C065D">
        <w:rPr>
          <w:vertAlign w:val="superscript"/>
          <w:lang w:val="en-US"/>
        </w:rPr>
        <w:t>3-</w:t>
      </w:r>
      <w:r w:rsidR="0054544C" w:rsidRPr="005C065D">
        <w:rPr>
          <w:lang w:val="en-US"/>
        </w:rPr>
        <w:t>. Bands between 598 and 559 cm</w:t>
      </w:r>
      <w:r w:rsidR="0054544C" w:rsidRPr="005C065D">
        <w:rPr>
          <w:vertAlign w:val="superscript"/>
          <w:lang w:val="en-US"/>
        </w:rPr>
        <w:t>-1</w:t>
      </w:r>
      <w:r w:rsidR="0054544C" w:rsidRPr="005C065D">
        <w:rPr>
          <w:lang w:val="en-US"/>
        </w:rPr>
        <w:t xml:space="preserve"> were associated with bending modes of PO</w:t>
      </w:r>
      <w:r w:rsidR="0054544C" w:rsidRPr="005C065D">
        <w:rPr>
          <w:vertAlign w:val="subscript"/>
          <w:lang w:val="en-US"/>
        </w:rPr>
        <w:t>4</w:t>
      </w:r>
      <w:r w:rsidR="0054544C" w:rsidRPr="005C065D">
        <w:rPr>
          <w:vertAlign w:val="superscript"/>
          <w:lang w:val="en-US"/>
        </w:rPr>
        <w:t>3-</w:t>
      </w:r>
      <w:r w:rsidR="00261238" w:rsidRPr="005C065D">
        <w:rPr>
          <w:vertAlign w:val="superscript"/>
          <w:lang w:val="en-US"/>
        </w:rPr>
        <w:t xml:space="preserve"> </w:t>
      </w:r>
      <w:r w:rsidR="00261238" w:rsidRPr="005C065D">
        <w:rPr>
          <w:lang w:val="en-US"/>
        </w:rPr>
        <w:t>.</w:t>
      </w:r>
      <w:r w:rsidR="00261238" w:rsidRPr="005C065D">
        <w:rPr>
          <w:vertAlign w:val="superscript"/>
          <w:lang w:val="en-US"/>
        </w:rPr>
        <w:t>[7]</w:t>
      </w:r>
      <w:r w:rsidR="0054544C" w:rsidRPr="005C065D">
        <w:rPr>
          <w:lang w:val="en-US"/>
        </w:rPr>
        <w:t xml:space="preserve"> </w:t>
      </w:r>
      <w:r w:rsidR="00626B77" w:rsidRPr="005C065D">
        <w:rPr>
          <w:lang w:val="en-US"/>
        </w:rPr>
        <w:t>Since a small amount of GO was added when compared to the powder phase weight percentages, t</w:t>
      </w:r>
      <w:r w:rsidR="0054544C" w:rsidRPr="005C065D">
        <w:rPr>
          <w:lang w:val="en-US"/>
        </w:rPr>
        <w:t>he same peaks were observed after GO incorporation into the calcium pho</w:t>
      </w:r>
      <w:r w:rsidR="00626B77" w:rsidRPr="005C065D">
        <w:rPr>
          <w:lang w:val="en-US"/>
        </w:rPr>
        <w:t>sphate cement-based composites</w:t>
      </w:r>
      <w:r w:rsidR="00261238" w:rsidRPr="005C065D">
        <w:rPr>
          <w:lang w:val="en-US"/>
        </w:rPr>
        <w:t>.</w:t>
      </w:r>
      <w:r w:rsidR="00261238" w:rsidRPr="005C065D">
        <w:rPr>
          <w:vertAlign w:val="superscript"/>
          <w:lang w:val="en-US"/>
        </w:rPr>
        <w:t>[6</w:t>
      </w:r>
      <w:r w:rsidR="00261238" w:rsidRPr="005C065D">
        <w:rPr>
          <w:noProof/>
          <w:vertAlign w:val="superscript"/>
          <w:lang w:val="en-US"/>
        </w:rPr>
        <w:t>–</w:t>
      </w:r>
      <w:r w:rsidR="00261238" w:rsidRPr="005C065D">
        <w:rPr>
          <w:vertAlign w:val="superscript"/>
          <w:lang w:val="en-US"/>
        </w:rPr>
        <w:t>8]</w:t>
      </w:r>
      <w:r w:rsidR="00626B77" w:rsidRPr="005C065D">
        <w:rPr>
          <w:lang w:val="en-US"/>
        </w:rPr>
        <w:t xml:space="preserve"> </w:t>
      </w:r>
      <w:r w:rsidR="0054544C" w:rsidRPr="005C065D">
        <w:rPr>
          <w:lang w:val="en-US"/>
        </w:rPr>
        <w:t xml:space="preserve">There was a shift of the peak to </w:t>
      </w:r>
      <w:r w:rsidR="00A919BF" w:rsidRPr="005C065D">
        <w:rPr>
          <w:lang w:val="en-US"/>
        </w:rPr>
        <w:t>lower</w:t>
      </w:r>
      <w:r w:rsidR="0054544C" w:rsidRPr="005C065D">
        <w:rPr>
          <w:lang w:val="en-US"/>
        </w:rPr>
        <w:t xml:space="preserve"> wavenumbers at</w:t>
      </w:r>
      <w:r w:rsidR="00A919BF" w:rsidRPr="005C065D">
        <w:rPr>
          <w:lang w:val="en-US"/>
        </w:rPr>
        <w:t xml:space="preserve"> around 1014</w:t>
      </w:r>
      <w:r w:rsidR="0054544C" w:rsidRPr="005C065D">
        <w:rPr>
          <w:lang w:val="en-US"/>
        </w:rPr>
        <w:t xml:space="preserve"> cm</w:t>
      </w:r>
      <w:r w:rsidR="0054544C" w:rsidRPr="005C065D">
        <w:rPr>
          <w:vertAlign w:val="superscript"/>
          <w:lang w:val="en-US"/>
        </w:rPr>
        <w:t>-1</w:t>
      </w:r>
      <w:r w:rsidR="0054544C" w:rsidRPr="005C065D">
        <w:rPr>
          <w:lang w:val="en-US"/>
        </w:rPr>
        <w:t xml:space="preserve"> </w:t>
      </w:r>
      <w:r w:rsidR="00A919BF" w:rsidRPr="005C065D">
        <w:rPr>
          <w:lang w:val="en-US"/>
        </w:rPr>
        <w:t>from 1016 cm</w:t>
      </w:r>
      <w:r w:rsidR="00A919BF" w:rsidRPr="005C065D">
        <w:rPr>
          <w:vertAlign w:val="superscript"/>
          <w:lang w:val="en-US"/>
        </w:rPr>
        <w:t>-1</w:t>
      </w:r>
      <w:r w:rsidR="00CA6221" w:rsidRPr="005C065D">
        <w:rPr>
          <w:vertAlign w:val="superscript"/>
          <w:lang w:val="en-US"/>
        </w:rPr>
        <w:t xml:space="preserve"> </w:t>
      </w:r>
      <w:r w:rsidR="0054544C" w:rsidRPr="005C065D">
        <w:rPr>
          <w:lang w:val="en-US"/>
        </w:rPr>
        <w:t>with the addition of GO. These could result due to the non-covalent interaction</w:t>
      </w:r>
      <w:r w:rsidR="00CA6221" w:rsidRPr="005C065D">
        <w:rPr>
          <w:lang w:val="en-US"/>
        </w:rPr>
        <w:t>s</w:t>
      </w:r>
      <w:r w:rsidR="0054544C" w:rsidRPr="005C065D">
        <w:rPr>
          <w:lang w:val="en-US"/>
        </w:rPr>
        <w:t xml:space="preserve"> between GO and the powder phase</w:t>
      </w:r>
      <w:r w:rsidR="00261238" w:rsidRPr="005C065D">
        <w:rPr>
          <w:lang w:val="en-US"/>
        </w:rPr>
        <w:t>.</w:t>
      </w:r>
      <w:r w:rsidR="00261238" w:rsidRPr="005C065D">
        <w:rPr>
          <w:vertAlign w:val="superscript"/>
          <w:lang w:val="en-US"/>
        </w:rPr>
        <w:t>[9]</w:t>
      </w:r>
      <w:r w:rsidR="00FA7DD2" w:rsidRPr="005C065D">
        <w:rPr>
          <w:lang w:val="en-US"/>
        </w:rPr>
        <w:t xml:space="preserve"> </w:t>
      </w:r>
    </w:p>
    <w:p w14:paraId="5E8FE38D" w14:textId="77777777" w:rsidR="004A2236" w:rsidRPr="005C065D" w:rsidRDefault="00490214" w:rsidP="0054544C">
      <w:pPr>
        <w:jc w:val="both"/>
        <w:rPr>
          <w:lang w:val="en-US"/>
        </w:rPr>
      </w:pPr>
      <w:r w:rsidRPr="005C065D">
        <w:rPr>
          <w:noProof/>
          <w:lang w:val="en-US"/>
        </w:rPr>
        <w:drawing>
          <wp:inline distT="0" distB="0" distL="0" distR="0" wp14:anchorId="69A14275" wp14:editId="1029F680">
            <wp:extent cx="5174271" cy="395975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S-FTI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5378" cy="3960597"/>
                    </a:xfrm>
                    <a:prstGeom prst="rect">
                      <a:avLst/>
                    </a:prstGeom>
                  </pic:spPr>
                </pic:pic>
              </a:graphicData>
            </a:graphic>
          </wp:inline>
        </w:drawing>
      </w:r>
    </w:p>
    <w:p w14:paraId="511990EE" w14:textId="77777777" w:rsidR="0054544C" w:rsidRPr="005C065D" w:rsidRDefault="0054544C" w:rsidP="0054544C">
      <w:pPr>
        <w:keepNext/>
        <w:jc w:val="center"/>
        <w:rPr>
          <w:lang w:val="en-US"/>
        </w:rPr>
      </w:pPr>
    </w:p>
    <w:p w14:paraId="5CD9EC33" w14:textId="1114013E" w:rsidR="0054544C" w:rsidRPr="005C065D" w:rsidRDefault="0054544C" w:rsidP="0054544C">
      <w:pPr>
        <w:pBdr>
          <w:top w:val="nil"/>
          <w:left w:val="nil"/>
          <w:bottom w:val="nil"/>
          <w:right w:val="nil"/>
          <w:between w:val="nil"/>
        </w:pBdr>
        <w:spacing w:after="200"/>
        <w:jc w:val="center"/>
        <w:rPr>
          <w:i/>
          <w:color w:val="44546A"/>
          <w:sz w:val="18"/>
          <w:szCs w:val="18"/>
          <w:lang w:val="en-US"/>
        </w:rPr>
      </w:pPr>
      <w:r w:rsidRPr="005C065D">
        <w:rPr>
          <w:i/>
          <w:color w:val="44546A"/>
          <w:sz w:val="18"/>
          <w:szCs w:val="18"/>
          <w:lang w:val="en-US"/>
        </w:rPr>
        <w:t xml:space="preserve">Figure S 2: FTIR patterns of </w:t>
      </w:r>
      <w:r w:rsidR="00AB5105" w:rsidRPr="005C065D">
        <w:rPr>
          <w:i/>
          <w:color w:val="44546A"/>
          <w:sz w:val="18"/>
          <w:szCs w:val="18"/>
          <w:lang w:val="en-US"/>
        </w:rPr>
        <w:t>GO, MC, polymer phase with 2wt% GO, 0GO and 2GO</w:t>
      </w:r>
      <w:r w:rsidR="006051E4" w:rsidRPr="005C065D">
        <w:rPr>
          <w:i/>
          <w:color w:val="44546A"/>
          <w:sz w:val="18"/>
          <w:szCs w:val="18"/>
          <w:lang w:val="en-US"/>
        </w:rPr>
        <w:t xml:space="preserve">. </w:t>
      </w:r>
    </w:p>
    <w:p w14:paraId="2F475664" w14:textId="77777777" w:rsidR="00C7550B" w:rsidRPr="005C065D" w:rsidRDefault="00C7550B" w:rsidP="0054544C">
      <w:pPr>
        <w:pBdr>
          <w:top w:val="nil"/>
          <w:left w:val="nil"/>
          <w:bottom w:val="nil"/>
          <w:right w:val="nil"/>
          <w:between w:val="nil"/>
        </w:pBdr>
        <w:spacing w:after="200"/>
        <w:jc w:val="center"/>
        <w:rPr>
          <w:color w:val="000000" w:themeColor="text1"/>
          <w:lang w:val="en-US"/>
        </w:rPr>
      </w:pPr>
    </w:p>
    <w:p w14:paraId="5ECA0973" w14:textId="77777777" w:rsidR="00C7550B" w:rsidRPr="005C065D" w:rsidRDefault="00C7550B" w:rsidP="00C7550B">
      <w:pPr>
        <w:pBdr>
          <w:top w:val="nil"/>
          <w:left w:val="nil"/>
          <w:bottom w:val="nil"/>
          <w:right w:val="nil"/>
          <w:between w:val="nil"/>
        </w:pBdr>
        <w:spacing w:after="200"/>
        <w:jc w:val="both"/>
        <w:rPr>
          <w:color w:val="000000" w:themeColor="text1"/>
          <w:lang w:val="en-US"/>
        </w:rPr>
      </w:pPr>
      <w:r w:rsidRPr="005C065D">
        <w:rPr>
          <w:color w:val="000000" w:themeColor="text1"/>
          <w:lang w:val="en-US"/>
        </w:rPr>
        <w:lastRenderedPageBreak/>
        <w:t>References</w:t>
      </w:r>
    </w:p>
    <w:p w14:paraId="07D979CA" w14:textId="77777777" w:rsidR="00C7550B" w:rsidRPr="005C065D" w:rsidRDefault="00C7550B" w:rsidP="00C7550B">
      <w:pPr>
        <w:pStyle w:val="ListParagraph"/>
        <w:numPr>
          <w:ilvl w:val="0"/>
          <w:numId w:val="2"/>
        </w:numPr>
        <w:pBdr>
          <w:top w:val="nil"/>
          <w:left w:val="nil"/>
          <w:bottom w:val="nil"/>
          <w:right w:val="nil"/>
          <w:between w:val="nil"/>
        </w:pBdr>
        <w:spacing w:after="200"/>
        <w:rPr>
          <w:noProof/>
          <w:lang w:val="en-US"/>
        </w:rPr>
      </w:pPr>
      <w:r w:rsidRPr="005C065D">
        <w:rPr>
          <w:color w:val="000000" w:themeColor="text1"/>
          <w:lang w:val="en-US"/>
        </w:rPr>
        <w:t xml:space="preserve">Z. </w:t>
      </w:r>
      <w:r w:rsidRPr="005C065D">
        <w:rPr>
          <w:noProof/>
          <w:lang w:val="en-US"/>
        </w:rPr>
        <w:t xml:space="preserve">Çiplak, N. Yildiz, A. Calimli: Investigation of graphene/Ag nanocomposites synthesis parameters for two different synthesis methods. </w:t>
      </w:r>
      <w:r w:rsidRPr="005C065D">
        <w:rPr>
          <w:i/>
          <w:noProof/>
          <w:lang w:val="en-US"/>
        </w:rPr>
        <w:t xml:space="preserve">Fullerenes ,Nanotubes Carbon Nanostructures </w:t>
      </w:r>
      <w:r w:rsidRPr="005C065D">
        <w:rPr>
          <w:noProof/>
          <w:lang w:val="en-US"/>
        </w:rPr>
        <w:t>23, 4, 361–70 (2015).</w:t>
      </w:r>
    </w:p>
    <w:p w14:paraId="3D21FB45" w14:textId="77777777" w:rsidR="00C7550B" w:rsidRPr="005C065D" w:rsidRDefault="00C7550B" w:rsidP="00C7550B">
      <w:pPr>
        <w:pStyle w:val="ListParagraph"/>
        <w:numPr>
          <w:ilvl w:val="0"/>
          <w:numId w:val="2"/>
        </w:numPr>
        <w:pBdr>
          <w:top w:val="nil"/>
          <w:left w:val="nil"/>
          <w:bottom w:val="nil"/>
          <w:right w:val="nil"/>
          <w:between w:val="nil"/>
        </w:pBdr>
        <w:spacing w:after="200"/>
        <w:rPr>
          <w:noProof/>
          <w:lang w:val="en-US"/>
        </w:rPr>
      </w:pPr>
      <w:r w:rsidRPr="005C065D">
        <w:rPr>
          <w:color w:val="000000" w:themeColor="text1"/>
          <w:lang w:val="en-US"/>
        </w:rPr>
        <w:t xml:space="preserve">D. He, Z. Peng, </w:t>
      </w:r>
      <w:r w:rsidRPr="005C065D">
        <w:rPr>
          <w:noProof/>
          <w:lang w:val="en-US"/>
        </w:rPr>
        <w:t xml:space="preserve">W. Gong, Y. Luo, P. Zhao, L. Kong: Mechanism of a green graphene oxide reduction with reusable potassium carbonate. </w:t>
      </w:r>
      <w:r w:rsidRPr="005C065D">
        <w:rPr>
          <w:i/>
          <w:noProof/>
          <w:lang w:val="en-US"/>
        </w:rPr>
        <w:t>RSC Adv.</w:t>
      </w:r>
      <w:r w:rsidRPr="005C065D">
        <w:rPr>
          <w:noProof/>
          <w:lang w:val="en-US"/>
        </w:rPr>
        <w:t xml:space="preserve"> 5, 16, 11966–72 (2015).</w:t>
      </w:r>
    </w:p>
    <w:p w14:paraId="5BB16B71" w14:textId="77777777" w:rsidR="00C7550B" w:rsidRPr="005C065D" w:rsidRDefault="00C7550B" w:rsidP="00C7550B">
      <w:pPr>
        <w:pStyle w:val="ListParagraph"/>
        <w:numPr>
          <w:ilvl w:val="0"/>
          <w:numId w:val="2"/>
        </w:numPr>
        <w:pBdr>
          <w:top w:val="nil"/>
          <w:left w:val="nil"/>
          <w:bottom w:val="nil"/>
          <w:right w:val="nil"/>
          <w:between w:val="nil"/>
        </w:pBdr>
        <w:spacing w:after="200"/>
        <w:rPr>
          <w:noProof/>
          <w:lang w:val="en-US"/>
        </w:rPr>
      </w:pPr>
      <w:r w:rsidRPr="005C065D">
        <w:rPr>
          <w:noProof/>
          <w:lang w:val="en-US"/>
        </w:rPr>
        <w:t xml:space="preserve">M. Nadour, F. Boukraa , A.Ouradi, A. Benaboura: Effects of Methylcellulose on the Properties and Morphology of Polysulfone Membranes Prepared by Phase Inversion </w:t>
      </w:r>
      <w:r w:rsidRPr="005C065D">
        <w:rPr>
          <w:i/>
          <w:noProof/>
          <w:lang w:val="en-US"/>
        </w:rPr>
        <w:t>Mater Res.</w:t>
      </w:r>
      <w:r w:rsidRPr="005C065D">
        <w:rPr>
          <w:noProof/>
          <w:lang w:val="en-US"/>
        </w:rPr>
        <w:t xml:space="preserve"> 20, 2, 339–48 (2017).</w:t>
      </w:r>
    </w:p>
    <w:p w14:paraId="4073C50A" w14:textId="77777777" w:rsidR="00C7550B" w:rsidRPr="005C065D" w:rsidRDefault="00C7550B" w:rsidP="00C7550B">
      <w:pPr>
        <w:pStyle w:val="ListParagraph"/>
        <w:numPr>
          <w:ilvl w:val="0"/>
          <w:numId w:val="2"/>
        </w:numPr>
        <w:pBdr>
          <w:top w:val="nil"/>
          <w:left w:val="nil"/>
          <w:bottom w:val="nil"/>
          <w:right w:val="nil"/>
          <w:between w:val="nil"/>
        </w:pBdr>
        <w:spacing w:after="200"/>
        <w:rPr>
          <w:noProof/>
        </w:rPr>
      </w:pPr>
      <w:r w:rsidRPr="005C065D">
        <w:rPr>
          <w:noProof/>
          <w:lang w:val="en-US"/>
        </w:rPr>
        <w:t xml:space="preserve">R. L. Oliveira, J. G. Vieira, H. S. Barud, R. M. N. Assunção, G. R. Filho, S. J. L. Ribeiro, Y. Messadeqq: Synthesis and characterization of methylcellulose produced from bacterial cellulose under heterogeneous condition. </w:t>
      </w:r>
      <w:r w:rsidRPr="005C065D">
        <w:rPr>
          <w:i/>
          <w:noProof/>
          <w:lang w:val="en-US"/>
        </w:rPr>
        <w:t>J. Braz. Chem. Soc</w:t>
      </w:r>
      <w:r w:rsidRPr="005C065D">
        <w:rPr>
          <w:noProof/>
          <w:lang w:val="en-US"/>
        </w:rPr>
        <w:t>. 29, 9, 1861–70 (2015).</w:t>
      </w:r>
    </w:p>
    <w:p w14:paraId="345AD531" w14:textId="77777777" w:rsidR="00C7550B" w:rsidRPr="005C065D" w:rsidRDefault="00983F77" w:rsidP="00C7550B">
      <w:pPr>
        <w:pStyle w:val="ListParagraph"/>
        <w:numPr>
          <w:ilvl w:val="0"/>
          <w:numId w:val="2"/>
        </w:numPr>
        <w:pBdr>
          <w:top w:val="nil"/>
          <w:left w:val="nil"/>
          <w:bottom w:val="nil"/>
          <w:right w:val="nil"/>
          <w:between w:val="nil"/>
        </w:pBdr>
        <w:spacing w:after="200"/>
        <w:rPr>
          <w:noProof/>
        </w:rPr>
      </w:pPr>
      <w:r w:rsidRPr="005C065D">
        <w:rPr>
          <w:noProof/>
          <w:lang w:val="en-US"/>
        </w:rPr>
        <w:t xml:space="preserve">C. N. </w:t>
      </w:r>
      <w:r w:rsidR="00C7550B" w:rsidRPr="005C065D">
        <w:rPr>
          <w:noProof/>
          <w:lang w:val="en-US"/>
        </w:rPr>
        <w:t xml:space="preserve">Quiroz-Reyes, </w:t>
      </w:r>
      <w:r w:rsidRPr="005C065D">
        <w:rPr>
          <w:noProof/>
          <w:lang w:val="en-US"/>
        </w:rPr>
        <w:t xml:space="preserve">E. </w:t>
      </w:r>
      <w:r w:rsidR="00C7550B" w:rsidRPr="005C065D">
        <w:rPr>
          <w:noProof/>
          <w:lang w:val="en-US"/>
        </w:rPr>
        <w:t xml:space="preserve">Ronquillo-de Jesús, </w:t>
      </w:r>
      <w:r w:rsidRPr="005C065D">
        <w:rPr>
          <w:noProof/>
          <w:lang w:val="en-US"/>
        </w:rPr>
        <w:t xml:space="preserve">N. E. </w:t>
      </w:r>
      <w:r w:rsidR="00C7550B" w:rsidRPr="005C065D">
        <w:rPr>
          <w:noProof/>
          <w:lang w:val="en-US"/>
        </w:rPr>
        <w:t xml:space="preserve">Duran-Caballero, </w:t>
      </w:r>
      <w:r w:rsidRPr="005C065D">
        <w:rPr>
          <w:noProof/>
          <w:lang w:val="en-US"/>
        </w:rPr>
        <w:t xml:space="preserve">M. Á. </w:t>
      </w:r>
      <w:r w:rsidR="00C7550B" w:rsidRPr="005C065D">
        <w:rPr>
          <w:noProof/>
          <w:lang w:val="en-US"/>
        </w:rPr>
        <w:t>Aguilar-Méndez</w:t>
      </w:r>
      <w:r w:rsidRPr="005C065D">
        <w:rPr>
          <w:noProof/>
          <w:lang w:val="en-US"/>
        </w:rPr>
        <w:t xml:space="preserve">: </w:t>
      </w:r>
      <w:r w:rsidR="00C7550B" w:rsidRPr="005C065D">
        <w:rPr>
          <w:noProof/>
          <w:lang w:val="en-US"/>
        </w:rPr>
        <w:t>Development and characterization of gelatin nanoparticles loaded with a cocoa-derived polyphenolic extract</w:t>
      </w:r>
      <w:r w:rsidRPr="005C065D">
        <w:rPr>
          <w:noProof/>
          <w:lang w:val="en-US"/>
        </w:rPr>
        <w:t xml:space="preserve">. </w:t>
      </w:r>
      <w:r w:rsidR="00C7550B" w:rsidRPr="005C065D">
        <w:rPr>
          <w:i/>
          <w:noProof/>
          <w:lang w:val="en-US"/>
        </w:rPr>
        <w:t>Fruits</w:t>
      </w:r>
      <w:r w:rsidR="00C7550B" w:rsidRPr="005C065D">
        <w:rPr>
          <w:noProof/>
          <w:lang w:val="en-US"/>
        </w:rPr>
        <w:t xml:space="preserve"> </w:t>
      </w:r>
      <w:r w:rsidRPr="005C065D">
        <w:rPr>
          <w:noProof/>
          <w:lang w:val="en-US"/>
        </w:rPr>
        <w:t>69, 6, 481–9 (</w:t>
      </w:r>
      <w:r w:rsidR="00C7550B" w:rsidRPr="005C065D">
        <w:rPr>
          <w:noProof/>
          <w:lang w:val="en-US"/>
        </w:rPr>
        <w:t>2014</w:t>
      </w:r>
      <w:r w:rsidRPr="005C065D">
        <w:rPr>
          <w:noProof/>
          <w:lang w:val="en-US"/>
        </w:rPr>
        <w:t>)</w:t>
      </w:r>
      <w:r w:rsidR="00C7550B" w:rsidRPr="005C065D">
        <w:rPr>
          <w:noProof/>
          <w:lang w:val="en-US"/>
        </w:rPr>
        <w:t>.</w:t>
      </w:r>
    </w:p>
    <w:p w14:paraId="1BB19A5C" w14:textId="77777777" w:rsidR="00983F77" w:rsidRPr="005C065D" w:rsidRDefault="00983F77" w:rsidP="00C7550B">
      <w:pPr>
        <w:pStyle w:val="ListParagraph"/>
        <w:numPr>
          <w:ilvl w:val="0"/>
          <w:numId w:val="2"/>
        </w:numPr>
        <w:pBdr>
          <w:top w:val="nil"/>
          <w:left w:val="nil"/>
          <w:bottom w:val="nil"/>
          <w:right w:val="nil"/>
          <w:between w:val="nil"/>
        </w:pBdr>
        <w:spacing w:after="200"/>
        <w:rPr>
          <w:noProof/>
        </w:rPr>
      </w:pPr>
      <w:r w:rsidRPr="005C065D">
        <w:rPr>
          <w:noProof/>
          <w:lang w:val="en-US"/>
        </w:rPr>
        <w:t xml:space="preserve">N. Nasrollahi N, A. N. Dehkordi, A. Jamshidizad , M. Chehelgerdi: Preparation of brushite cements with improved properties by adding graphene oxide. </w:t>
      </w:r>
      <w:r w:rsidRPr="005C065D">
        <w:rPr>
          <w:i/>
          <w:noProof/>
          <w:lang w:val="en-US"/>
        </w:rPr>
        <w:t>Int J Nanomedicine</w:t>
      </w:r>
      <w:r w:rsidRPr="005C065D">
        <w:rPr>
          <w:noProof/>
          <w:lang w:val="en-US"/>
        </w:rPr>
        <w:t xml:space="preserve"> 14, 3785–97 (2019).</w:t>
      </w:r>
    </w:p>
    <w:p w14:paraId="077B81EF" w14:textId="77777777" w:rsidR="00983F77" w:rsidRPr="005C065D" w:rsidRDefault="00983F77" w:rsidP="00C7550B">
      <w:pPr>
        <w:pStyle w:val="ListParagraph"/>
        <w:numPr>
          <w:ilvl w:val="0"/>
          <w:numId w:val="2"/>
        </w:numPr>
        <w:pBdr>
          <w:top w:val="nil"/>
          <w:left w:val="nil"/>
          <w:bottom w:val="nil"/>
          <w:right w:val="nil"/>
          <w:between w:val="nil"/>
        </w:pBdr>
        <w:spacing w:after="200"/>
        <w:rPr>
          <w:noProof/>
        </w:rPr>
      </w:pPr>
      <w:r w:rsidRPr="005C065D">
        <w:rPr>
          <w:noProof/>
          <w:lang w:val="en-US"/>
        </w:rPr>
        <w:t xml:space="preserve">D. Depan, T. C. Pesacreta, R. D. K. Misra: The synergistic effect of a hybrid graphene oxide-chitosan system and biomimetic mineralization on osteoblast functions. </w:t>
      </w:r>
      <w:r w:rsidRPr="005C065D">
        <w:rPr>
          <w:i/>
          <w:noProof/>
          <w:lang w:val="en-US"/>
        </w:rPr>
        <w:t>Biomater Sci.</w:t>
      </w:r>
      <w:r w:rsidRPr="005C065D">
        <w:rPr>
          <w:noProof/>
          <w:lang w:val="en-US"/>
        </w:rPr>
        <w:t xml:space="preserve"> 2, 2, 264–74 (2014).</w:t>
      </w:r>
    </w:p>
    <w:p w14:paraId="28345E61" w14:textId="77777777" w:rsidR="00983F77" w:rsidRPr="005C065D" w:rsidRDefault="00983F77" w:rsidP="00983F77">
      <w:pPr>
        <w:pStyle w:val="ListParagraph"/>
        <w:widowControl w:val="0"/>
        <w:numPr>
          <w:ilvl w:val="0"/>
          <w:numId w:val="2"/>
        </w:numPr>
        <w:autoSpaceDE w:val="0"/>
        <w:autoSpaceDN w:val="0"/>
        <w:adjustRightInd w:val="0"/>
        <w:rPr>
          <w:color w:val="000000" w:themeColor="text1"/>
          <w:lang w:val="en-US"/>
        </w:rPr>
      </w:pPr>
      <w:r w:rsidRPr="005C065D">
        <w:rPr>
          <w:noProof/>
          <w:lang w:val="en-US"/>
        </w:rPr>
        <w:t xml:space="preserve">Y. Yan, X. Zhang, H. Mao, Y. Huang, Q Ding, X. Pang: Hydroxyapatite/gelatin functionalized graphene oxide composite coatings deposited on TiO 2 nanotube by electrochemical deposition for biomedical applications. </w:t>
      </w:r>
      <w:r w:rsidRPr="005C065D">
        <w:rPr>
          <w:i/>
          <w:noProof/>
          <w:lang w:val="en-US"/>
        </w:rPr>
        <w:t>Appl Surf Sci</w:t>
      </w:r>
      <w:r w:rsidRPr="005C065D">
        <w:rPr>
          <w:noProof/>
          <w:lang w:val="en-US"/>
        </w:rPr>
        <w:t xml:space="preserve"> 329, 76–82 (2015)</w:t>
      </w:r>
    </w:p>
    <w:p w14:paraId="7C157DAF" w14:textId="77777777" w:rsidR="00983F77" w:rsidRPr="005C065D" w:rsidRDefault="00983F77" w:rsidP="00983F77">
      <w:pPr>
        <w:pStyle w:val="ListParagraph"/>
        <w:widowControl w:val="0"/>
        <w:numPr>
          <w:ilvl w:val="0"/>
          <w:numId w:val="2"/>
        </w:numPr>
        <w:autoSpaceDE w:val="0"/>
        <w:autoSpaceDN w:val="0"/>
        <w:adjustRightInd w:val="0"/>
        <w:rPr>
          <w:color w:val="000000" w:themeColor="text1"/>
          <w:lang w:val="en-US"/>
        </w:rPr>
      </w:pPr>
      <w:r w:rsidRPr="005C065D">
        <w:rPr>
          <w:noProof/>
          <w:lang w:val="en-US"/>
        </w:rPr>
        <w:t xml:space="preserve">M. Nair, D. Nancy, A. G. Krishnan, G. S. Anjusree, S. Vadukumpully, S. V. Nair: Graphene oxide nanoflakes incorporated gelatin-hydroxyapatite scaffolds enhance osteogenic differentiation of human mesenchymal stem cells. </w:t>
      </w:r>
      <w:r w:rsidRPr="005C065D">
        <w:rPr>
          <w:i/>
          <w:noProof/>
          <w:lang w:val="en-US"/>
        </w:rPr>
        <w:t>Nanotechnology</w:t>
      </w:r>
      <w:r w:rsidRPr="005C065D">
        <w:rPr>
          <w:noProof/>
          <w:lang w:val="en-US"/>
        </w:rPr>
        <w:t xml:space="preserve"> 26, 16 (2015).</w:t>
      </w:r>
    </w:p>
    <w:p w14:paraId="5F83A998" w14:textId="77777777" w:rsidR="00983F77" w:rsidRPr="00391344" w:rsidRDefault="00983F77" w:rsidP="00983F77">
      <w:pPr>
        <w:widowControl w:val="0"/>
        <w:autoSpaceDE w:val="0"/>
        <w:autoSpaceDN w:val="0"/>
        <w:adjustRightInd w:val="0"/>
        <w:ind w:left="640" w:hanging="640"/>
        <w:rPr>
          <w:lang w:val="en-US"/>
        </w:rPr>
      </w:pPr>
      <w:bookmarkStart w:id="1" w:name="_GoBack"/>
      <w:bookmarkEnd w:id="1"/>
    </w:p>
    <w:p w14:paraId="590E1258" w14:textId="77777777" w:rsidR="0054544C" w:rsidRPr="00391344" w:rsidRDefault="0054544C" w:rsidP="004A2236">
      <w:pPr>
        <w:widowControl w:val="0"/>
        <w:autoSpaceDE w:val="0"/>
        <w:autoSpaceDN w:val="0"/>
        <w:adjustRightInd w:val="0"/>
        <w:ind w:left="640" w:hanging="640"/>
        <w:rPr>
          <w:lang w:val="en-US"/>
        </w:rPr>
      </w:pPr>
    </w:p>
    <w:p w14:paraId="0BE2A9EA" w14:textId="77777777" w:rsidR="0054544C" w:rsidRDefault="0054544C"/>
    <w:sectPr w:rsidR="0054544C" w:rsidSect="009F5A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D3614"/>
    <w:multiLevelType w:val="hybridMultilevel"/>
    <w:tmpl w:val="A74E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72BA4"/>
    <w:multiLevelType w:val="hybridMultilevel"/>
    <w:tmpl w:val="4C6413F2"/>
    <w:lvl w:ilvl="0" w:tplc="F5B852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F3434"/>
    <w:multiLevelType w:val="hybridMultilevel"/>
    <w:tmpl w:val="4C6413F2"/>
    <w:lvl w:ilvl="0" w:tplc="F5B852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4C"/>
    <w:rsid w:val="00000578"/>
    <w:rsid w:val="0001110E"/>
    <w:rsid w:val="0006446B"/>
    <w:rsid w:val="000E7B3F"/>
    <w:rsid w:val="00134769"/>
    <w:rsid w:val="001862CB"/>
    <w:rsid w:val="00201E03"/>
    <w:rsid w:val="0023759B"/>
    <w:rsid w:val="00261238"/>
    <w:rsid w:val="0031279C"/>
    <w:rsid w:val="00356291"/>
    <w:rsid w:val="003F427F"/>
    <w:rsid w:val="00413C7E"/>
    <w:rsid w:val="00490214"/>
    <w:rsid w:val="004A1832"/>
    <w:rsid w:val="004A2236"/>
    <w:rsid w:val="0054544C"/>
    <w:rsid w:val="005646F4"/>
    <w:rsid w:val="005B5F41"/>
    <w:rsid w:val="005C065D"/>
    <w:rsid w:val="006051E4"/>
    <w:rsid w:val="00626B77"/>
    <w:rsid w:val="006B3994"/>
    <w:rsid w:val="007D3341"/>
    <w:rsid w:val="00983F77"/>
    <w:rsid w:val="009F5A5A"/>
    <w:rsid w:val="00A24F32"/>
    <w:rsid w:val="00A46419"/>
    <w:rsid w:val="00A919BF"/>
    <w:rsid w:val="00AB5105"/>
    <w:rsid w:val="00BB1D23"/>
    <w:rsid w:val="00C25C1E"/>
    <w:rsid w:val="00C631FC"/>
    <w:rsid w:val="00C7550B"/>
    <w:rsid w:val="00C8013C"/>
    <w:rsid w:val="00CA6221"/>
    <w:rsid w:val="00CF6A07"/>
    <w:rsid w:val="00D85D11"/>
    <w:rsid w:val="00E24B2B"/>
    <w:rsid w:val="00E36F74"/>
    <w:rsid w:val="00F84AF6"/>
    <w:rsid w:val="00FA7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C04C"/>
  <w15:chartTrackingRefBased/>
  <w15:docId w15:val="{DBFD41DE-BA01-3E45-991E-27E39D3A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41"/>
    <w:rPr>
      <w:rFonts w:ascii="Segoe UI" w:eastAsia="Times New Roman" w:hAnsi="Segoe UI" w:cs="Segoe UI"/>
      <w:sz w:val="18"/>
      <w:szCs w:val="18"/>
    </w:rPr>
  </w:style>
  <w:style w:type="paragraph" w:styleId="ListParagraph">
    <w:name w:val="List Paragraph"/>
    <w:basedOn w:val="Normal"/>
    <w:uiPriority w:val="34"/>
    <w:qFormat/>
    <w:rsid w:val="00C7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ygu.ege@boun.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5B3F-3F21-4D26-A781-8740B6B4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Technica</cp:lastModifiedBy>
  <cp:revision>2</cp:revision>
  <cp:lastPrinted>2019-08-11T09:53:00Z</cp:lastPrinted>
  <dcterms:created xsi:type="dcterms:W3CDTF">2019-08-29T14:50:00Z</dcterms:created>
  <dcterms:modified xsi:type="dcterms:W3CDTF">2019-08-29T14:50:00Z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http://www.zotero.org/styles/acs-biomaterials-science-and-engineering</vt:lpwstr>
  </property>
  <property fmtid="{D5CDD505-2E9C-101B-9397-08002B2CF9AE}" pid="3" name="Mendeley Recent Style Name 0_1">
    <vt:lpwstr>ACS Biomaterials Science &amp; Engineering</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http://www.zotero.org/styles/materials-letters</vt:lpwstr>
  </property>
  <property fmtid="{D5CDD505-2E9C-101B-9397-08002B2CF9AE}" pid="13" name="Mendeley Recent Style Name 5_1">
    <vt:lpwstr>Materials Letters</vt:lpwstr>
  </property>
  <property fmtid="{D5CDD505-2E9C-101B-9397-08002B2CF9AE}" pid="14" name="Mendeley Recent Style Id 6_1">
    <vt:lpwstr>http://www.zotero.org/styles/materials-research-bulletin</vt:lpwstr>
  </property>
  <property fmtid="{D5CDD505-2E9C-101B-9397-08002B2CF9AE}" pid="15" name="Mendeley Recent Style Name 6_1">
    <vt:lpwstr>Materials Research Bulletin</vt:lpwstr>
  </property>
  <property fmtid="{D5CDD505-2E9C-101B-9397-08002B2CF9AE}" pid="16" name="Mendeley Recent Style Id 7_1">
    <vt:lpwstr>http://www.zotero.org/styles/materials-research-letters</vt:lpwstr>
  </property>
  <property fmtid="{D5CDD505-2E9C-101B-9397-08002B2CF9AE}" pid="17" name="Mendeley Recent Style Name 7_1">
    <vt:lpwstr>Materials Research Letters</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f0eb8dac-130a-3949-b378-527df1c546b3</vt:lpwstr>
  </property>
  <property fmtid="{D5CDD505-2E9C-101B-9397-08002B2CF9AE}" pid="24" name="Mendeley Citation Style_1">
    <vt:lpwstr>http://www.zotero.org/styles/vancouver</vt:lpwstr>
  </property>
</Properties>
</file>