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E85B6" w14:textId="77777777" w:rsidR="006D6D13" w:rsidRPr="005777CD" w:rsidRDefault="006D6D13" w:rsidP="006D6D13">
      <w:pPr>
        <w:pStyle w:val="Title2"/>
        <w:rPr>
          <w:b w:val="0"/>
          <w:color w:val="000000"/>
          <w:sz w:val="32"/>
          <w:szCs w:val="32"/>
        </w:rPr>
      </w:pPr>
      <w:r w:rsidRPr="005777CD">
        <w:rPr>
          <w:b w:val="0"/>
          <w:color w:val="000000"/>
          <w:sz w:val="32"/>
          <w:szCs w:val="32"/>
        </w:rPr>
        <w:t>Supporting Information</w:t>
      </w:r>
      <w:r>
        <w:rPr>
          <w:b w:val="0"/>
          <w:color w:val="000000"/>
          <w:sz w:val="32"/>
          <w:szCs w:val="32"/>
        </w:rPr>
        <w:t xml:space="preserve"> </w:t>
      </w:r>
    </w:p>
    <w:p w14:paraId="045C44D4" w14:textId="77777777" w:rsidR="006D6D13" w:rsidRDefault="006D6D13" w:rsidP="006D6D13">
      <w:pPr>
        <w:pStyle w:val="Tableofcontents"/>
        <w:rPr>
          <w:color w:val="FF0000"/>
        </w:rPr>
      </w:pPr>
    </w:p>
    <w:p w14:paraId="62C924D9" w14:textId="77777777" w:rsidR="006D6D13" w:rsidRPr="00A35E4A" w:rsidRDefault="006D6D13" w:rsidP="006D6D13">
      <w:pPr>
        <w:pStyle w:val="Tableofcontents"/>
      </w:pPr>
    </w:p>
    <w:p w14:paraId="59977CA3" w14:textId="77777777" w:rsidR="006D6D13" w:rsidRPr="009226A4" w:rsidRDefault="006D6D13" w:rsidP="006D6D13">
      <w:pPr>
        <w:pStyle w:val="Title2"/>
        <w:rPr>
          <w:b w:val="0"/>
        </w:rPr>
      </w:pPr>
      <w:bookmarkStart w:id="0" w:name="_Hlk4621991"/>
      <w:r w:rsidRPr="009226A4">
        <w:t xml:space="preserve">Title: </w:t>
      </w:r>
      <w:r w:rsidRPr="00D568A0">
        <w:rPr>
          <w:b w:val="0"/>
          <w:color w:val="FF0000"/>
        </w:rPr>
        <w:t>A new concept in thermal insulation via the photothermal effect of chlorophyll thin film coated “Green Window”</w:t>
      </w:r>
    </w:p>
    <w:p w14:paraId="239550F5" w14:textId="77777777" w:rsidR="006D6D13" w:rsidRPr="009226A4" w:rsidRDefault="006D6D13" w:rsidP="006D6D13">
      <w:pPr>
        <w:pStyle w:val="Title2"/>
        <w:rPr>
          <w:b w:val="0"/>
        </w:rPr>
      </w:pPr>
      <w:bookmarkStart w:id="1" w:name="_GoBack"/>
      <w:bookmarkEnd w:id="0"/>
      <w:bookmarkEnd w:id="1"/>
    </w:p>
    <w:p w14:paraId="324F9561" w14:textId="77777777" w:rsidR="006D6D13" w:rsidRPr="009226A4" w:rsidRDefault="006D6D13" w:rsidP="006D6D13">
      <w:pPr>
        <w:pStyle w:val="AuthorsFull"/>
      </w:pPr>
      <w:r w:rsidRPr="009226A4">
        <w:t xml:space="preserve">Yuan Zhao, Andrew Dunn, </w:t>
      </w:r>
      <w:proofErr w:type="spellStart"/>
      <w:r w:rsidRPr="009226A4">
        <w:t>Donglu</w:t>
      </w:r>
      <w:proofErr w:type="spellEnd"/>
      <w:r w:rsidRPr="009226A4">
        <w:t xml:space="preserve"> Shi*</w:t>
      </w:r>
    </w:p>
    <w:p w14:paraId="322283EE" w14:textId="77777777" w:rsidR="006D6D13" w:rsidRDefault="006D6D13" w:rsidP="006D6D13">
      <w:pPr>
        <w:snapToGrid w:val="0"/>
        <w:spacing w:line="480" w:lineRule="auto"/>
        <w:rPr>
          <w:b/>
        </w:rPr>
      </w:pPr>
    </w:p>
    <w:p w14:paraId="712C0532" w14:textId="77777777" w:rsidR="006D6D13" w:rsidRDefault="006D6D13" w:rsidP="006D6D13">
      <w:pPr>
        <w:snapToGrid w:val="0"/>
        <w:spacing w:line="480" w:lineRule="auto"/>
        <w:jc w:val="both"/>
        <w:rPr>
          <w:b/>
        </w:rPr>
      </w:pPr>
      <w:r>
        <w:rPr>
          <w:b/>
        </w:rPr>
        <w:t>Materials</w:t>
      </w:r>
    </w:p>
    <w:p w14:paraId="40D030CC" w14:textId="77777777" w:rsidR="006D6D13" w:rsidRDefault="006D6D13" w:rsidP="006D6D13">
      <w:pPr>
        <w:snapToGrid w:val="0"/>
        <w:spacing w:line="480" w:lineRule="auto"/>
        <w:jc w:val="both"/>
      </w:pPr>
      <w:r>
        <w:t xml:space="preserve">Petroleum ether (&gt;95%, bp 40-60 </w:t>
      </w:r>
      <w:proofErr w:type="spellStart"/>
      <w:r>
        <w:rPr>
          <w:vertAlign w:val="superscript"/>
        </w:rPr>
        <w:t>o</w:t>
      </w:r>
      <w:r>
        <w:t>C</w:t>
      </w:r>
      <w:proofErr w:type="spellEnd"/>
      <w:r>
        <w:t xml:space="preserve">) was purchased from Sigma-Aldrich. Methanol (&gt;99.9%), Butanol (&gt;99.4%), Acetone (&gt;99.5%), Toluene (&gt;99.5%), and Sodium Chloride (&gt;99.0%) was purchased from Fisher Scientific. Isopropyl Alcohol (&gt;99.8%) was purchased from </w:t>
      </w:r>
      <w:proofErr w:type="spellStart"/>
      <w:r>
        <w:t>Pharmco-Aaper</w:t>
      </w:r>
      <w:proofErr w:type="spellEnd"/>
      <w:r>
        <w:t xml:space="preserve">. PMMA (MW = 25 </w:t>
      </w:r>
      <w:proofErr w:type="spellStart"/>
      <w:r>
        <w:t>kDa</w:t>
      </w:r>
      <w:proofErr w:type="spellEnd"/>
      <w:r>
        <w:t xml:space="preserve">, </w:t>
      </w:r>
      <w:proofErr w:type="gramStart"/>
      <w:r>
        <w:t>200 micron</w:t>
      </w:r>
      <w:proofErr w:type="gramEnd"/>
      <w:r>
        <w:t xml:space="preserve"> beads) was purchased from </w:t>
      </w:r>
      <w:proofErr w:type="spellStart"/>
      <w:r>
        <w:t>Polysciences</w:t>
      </w:r>
      <w:proofErr w:type="spellEnd"/>
      <w:r>
        <w:t>.</w:t>
      </w:r>
    </w:p>
    <w:p w14:paraId="0DECCFAA" w14:textId="77777777" w:rsidR="006D6D13" w:rsidRPr="00C2592A" w:rsidRDefault="006D6D13" w:rsidP="006D6D13">
      <w:pPr>
        <w:snapToGrid w:val="0"/>
        <w:spacing w:line="480" w:lineRule="auto"/>
        <w:jc w:val="both"/>
      </w:pPr>
    </w:p>
    <w:p w14:paraId="50E76028" w14:textId="77777777" w:rsidR="006D6D13" w:rsidRPr="003801E3" w:rsidRDefault="006D6D13" w:rsidP="006D6D13">
      <w:pPr>
        <w:snapToGrid w:val="0"/>
        <w:spacing w:line="480" w:lineRule="auto"/>
        <w:jc w:val="both"/>
        <w:rPr>
          <w:b/>
        </w:rPr>
      </w:pPr>
      <w:r w:rsidRPr="003801E3">
        <w:rPr>
          <w:b/>
        </w:rPr>
        <w:t>Chlorophyll (</w:t>
      </w:r>
      <w:proofErr w:type="spellStart"/>
      <w:r w:rsidRPr="003801E3">
        <w:rPr>
          <w:b/>
        </w:rPr>
        <w:t>Chl</w:t>
      </w:r>
      <w:proofErr w:type="spellEnd"/>
      <w:r w:rsidRPr="003801E3">
        <w:rPr>
          <w:b/>
        </w:rPr>
        <w:t>) extraction</w:t>
      </w:r>
    </w:p>
    <w:p w14:paraId="5760CF99" w14:textId="77777777" w:rsidR="006D6D13" w:rsidRPr="003801E3" w:rsidRDefault="006D6D13" w:rsidP="006D6D13">
      <w:pPr>
        <w:snapToGrid w:val="0"/>
        <w:spacing w:line="480" w:lineRule="auto"/>
        <w:ind w:firstLine="720"/>
        <w:jc w:val="both"/>
      </w:pPr>
      <w:proofErr w:type="spellStart"/>
      <w:r>
        <w:t>Chl</w:t>
      </w:r>
      <w:proofErr w:type="spellEnd"/>
      <w:r>
        <w:t xml:space="preserve"> was extracted from spinach based on a method previously reported. </w:t>
      </w:r>
      <w:sdt>
        <w:sdtPr>
          <w:rPr>
            <w:vertAlign w:val="superscript"/>
          </w:rPr>
          <w:id w:val="124506715"/>
          <w:citation/>
        </w:sdtPr>
        <w:sdtContent>
          <w:r w:rsidRPr="00EA472C">
            <w:rPr>
              <w:vertAlign w:val="superscript"/>
            </w:rPr>
            <w:fldChar w:fldCharType="begin"/>
          </w:r>
          <w:r>
            <w:rPr>
              <w:vertAlign w:val="superscript"/>
            </w:rPr>
            <w:instrText xml:space="preserve">CITATION Chu14 \l 1033 </w:instrText>
          </w:r>
          <w:r w:rsidRPr="00EA472C">
            <w:rPr>
              <w:vertAlign w:val="superscript"/>
            </w:rPr>
            <w:fldChar w:fldCharType="separate"/>
          </w:r>
          <w:r w:rsidRPr="00EE4FD4">
            <w:rPr>
              <w:noProof/>
            </w:rPr>
            <w:t>[15]</w:t>
          </w:r>
          <w:r w:rsidRPr="00EA472C">
            <w:rPr>
              <w:vertAlign w:val="superscript"/>
            </w:rPr>
            <w:fldChar w:fldCharType="end"/>
          </w:r>
        </w:sdtContent>
      </w:sdt>
      <w:r>
        <w:t xml:space="preserve"> Specifically, fresh local spinach leaves were cut into small pieces (~5 × 5 mm</w:t>
      </w:r>
      <w:r>
        <w:rPr>
          <w:vertAlign w:val="superscript"/>
        </w:rPr>
        <w:t>2</w:t>
      </w:r>
      <w:r>
        <w:t>), then freeze-dried at –40°C for 48 h. The dry leaves (5 g) were washed twice using petroleum ether (boiling point 40–60 °C) to remove the carotenoids and waxes. The washed leaves were immersed and stirred in 300 mL of methanol/petroleum ether (3:1 v/v) at room temperature overnight. Remaining solids were removed by filtration and solutions transferred to a separatory funnel then washed with 200 mL saturated sodium chloride solution twice. The organic phase was filtrated and removed by rotary evaporation. The isolated film was then dissolved in 50 mL of acetone and stored at −20 °C for 24 h to precipitate impurities. Precipitates were pelleted by centrifugation and the supernatant collected. Acetone was removed by rotary evaporation. The isolated chlorophyll was dissolved in toluene and stored at -20 °C until use.</w:t>
      </w:r>
    </w:p>
    <w:p w14:paraId="3808FE18" w14:textId="77777777" w:rsidR="006D6D13" w:rsidRDefault="006D6D13" w:rsidP="006D6D13">
      <w:pPr>
        <w:snapToGrid w:val="0"/>
        <w:spacing w:line="480" w:lineRule="auto"/>
        <w:jc w:val="both"/>
      </w:pPr>
    </w:p>
    <w:p w14:paraId="4C08AC92" w14:textId="77777777" w:rsidR="006D6D13" w:rsidRDefault="006D6D13" w:rsidP="006D6D13">
      <w:pPr>
        <w:snapToGrid w:val="0"/>
        <w:spacing w:line="480" w:lineRule="auto"/>
        <w:jc w:val="both"/>
      </w:pPr>
    </w:p>
    <w:p w14:paraId="03D12C51" w14:textId="77777777" w:rsidR="006D6D13" w:rsidRPr="003801E3" w:rsidRDefault="006D6D13" w:rsidP="006D6D13">
      <w:pPr>
        <w:snapToGrid w:val="0"/>
        <w:spacing w:line="480" w:lineRule="auto"/>
        <w:jc w:val="both"/>
      </w:pPr>
    </w:p>
    <w:p w14:paraId="0A9DD9A6" w14:textId="77777777" w:rsidR="006D6D13" w:rsidRPr="003801E3" w:rsidRDefault="006D6D13" w:rsidP="006D6D13">
      <w:pPr>
        <w:snapToGrid w:val="0"/>
        <w:spacing w:line="480" w:lineRule="auto"/>
        <w:jc w:val="both"/>
        <w:rPr>
          <w:b/>
        </w:rPr>
      </w:pPr>
      <w:r w:rsidRPr="003801E3">
        <w:rPr>
          <w:b/>
        </w:rPr>
        <w:lastRenderedPageBreak/>
        <w:t>Coating process</w:t>
      </w:r>
    </w:p>
    <w:p w14:paraId="64B36DF3" w14:textId="77777777" w:rsidR="006D6D13" w:rsidRPr="003801E3" w:rsidRDefault="006D6D13" w:rsidP="006D6D13">
      <w:pPr>
        <w:snapToGrid w:val="0"/>
        <w:spacing w:line="480" w:lineRule="auto"/>
        <w:ind w:firstLine="720"/>
        <w:jc w:val="both"/>
      </w:pPr>
      <w:r>
        <w:t>Glass slides were cut to 25 x 25 mm</w:t>
      </w:r>
      <w:r>
        <w:rPr>
          <w:vertAlign w:val="superscript"/>
        </w:rPr>
        <w:t>2</w:t>
      </w:r>
      <w:r>
        <w:t xml:space="preserve"> as substrates and cleaned by sonication in methanol for 15 minutes followed by sonication in isopropyl alcohol for another 15 minutes. Finally, the glass substrates were dried in a vacuum oven at 50 °C, 0.2 atm for 30 min. A </w:t>
      </w:r>
      <w:proofErr w:type="spellStart"/>
      <w:r>
        <w:t>Chl</w:t>
      </w:r>
      <w:proofErr w:type="spellEnd"/>
      <w:r>
        <w:t>-PMMA (1:1) solution in toluene was prepared for coating, in which there is 86 mg mL</w:t>
      </w:r>
      <w:r>
        <w:rPr>
          <w:vertAlign w:val="superscript"/>
        </w:rPr>
        <w:t>-1</w:t>
      </w:r>
      <w:r>
        <w:t xml:space="preserve"> </w:t>
      </w:r>
      <w:proofErr w:type="spellStart"/>
      <w:r>
        <w:t>Chl</w:t>
      </w:r>
      <w:proofErr w:type="spellEnd"/>
      <w:r>
        <w:t>, and 86 mg mL</w:t>
      </w:r>
      <w:r>
        <w:rPr>
          <w:vertAlign w:val="superscript"/>
        </w:rPr>
        <w:t xml:space="preserve">-1 </w:t>
      </w:r>
      <w:r>
        <w:t xml:space="preserve">PMMA. </w:t>
      </w:r>
      <w:proofErr w:type="spellStart"/>
      <w:r>
        <w:t>Chl</w:t>
      </w:r>
      <w:proofErr w:type="spellEnd"/>
      <w:r>
        <w:t xml:space="preserve">-PMMA thin films were spin-coated by a WS-400-6NPP\Lite spin coater. Specifically, each layer was created by dropping 0.05 mL </w:t>
      </w:r>
      <w:proofErr w:type="spellStart"/>
      <w:r>
        <w:t>Chl</w:t>
      </w:r>
      <w:proofErr w:type="spellEnd"/>
      <w:r>
        <w:t>-PMMA solution on a glass substrate spinning at 6000 rpm. The coated samples were stored in a ventilated hood for 24 hours to ensure residue toluene was entirely evaporated. Using a sensitive scale, 0.025 mg cm</w:t>
      </w:r>
      <w:r>
        <w:rPr>
          <w:vertAlign w:val="superscript"/>
        </w:rPr>
        <w:t>-2</w:t>
      </w:r>
      <w:r>
        <w:t xml:space="preserve"> </w:t>
      </w:r>
      <w:proofErr w:type="spellStart"/>
      <w:r>
        <w:t>Chl</w:t>
      </w:r>
      <w:proofErr w:type="spellEnd"/>
      <w:r>
        <w:t xml:space="preserve"> was found to be deposited on per layer</w:t>
      </w:r>
      <w:r w:rsidRPr="003801E3">
        <w:t>.</w:t>
      </w:r>
    </w:p>
    <w:p w14:paraId="528DE967" w14:textId="77777777" w:rsidR="006D6D13" w:rsidRPr="003801E3" w:rsidRDefault="006D6D13" w:rsidP="006D6D13">
      <w:pPr>
        <w:snapToGrid w:val="0"/>
        <w:spacing w:line="480" w:lineRule="auto"/>
        <w:jc w:val="both"/>
      </w:pPr>
    </w:p>
    <w:p w14:paraId="2940045D" w14:textId="77777777" w:rsidR="006D6D13" w:rsidRPr="003801E3" w:rsidRDefault="006D6D13" w:rsidP="006D6D13">
      <w:pPr>
        <w:snapToGrid w:val="0"/>
        <w:spacing w:line="480" w:lineRule="auto"/>
        <w:jc w:val="both"/>
        <w:rPr>
          <w:b/>
        </w:rPr>
      </w:pPr>
      <w:bookmarkStart w:id="2" w:name="_Hlk525762391"/>
      <w:r w:rsidRPr="003801E3">
        <w:rPr>
          <w:b/>
        </w:rPr>
        <w:t>U-factor calculation</w:t>
      </w:r>
    </w:p>
    <w:bookmarkEnd w:id="2"/>
    <w:p w14:paraId="17F42580" w14:textId="77777777" w:rsidR="006D6D13" w:rsidRDefault="006D6D13" w:rsidP="006D6D13">
      <w:pPr>
        <w:snapToGrid w:val="0"/>
        <w:spacing w:line="480" w:lineRule="auto"/>
        <w:ind w:firstLine="720"/>
        <w:jc w:val="both"/>
      </w:pPr>
      <w:r>
        <w:t xml:space="preserve">The rate of heat loss of a window is defined in terms of the standardized thermal transmittance, or U-factor. According to ASTM C1199-14 </w:t>
      </w:r>
      <w:sdt>
        <w:sdtPr>
          <w:rPr>
            <w:vertAlign w:val="superscript"/>
          </w:rPr>
          <w:id w:val="-1807993755"/>
          <w:citation/>
        </w:sdtPr>
        <w:sdtContent>
          <w:r w:rsidRPr="00EA472C">
            <w:rPr>
              <w:vertAlign w:val="superscript"/>
            </w:rPr>
            <w:fldChar w:fldCharType="begin"/>
          </w:r>
          <w:r w:rsidRPr="00EA472C">
            <w:rPr>
              <w:vertAlign w:val="superscript"/>
            </w:rPr>
            <w:instrText xml:space="preserve"> CITATION AST14 \l 1033 </w:instrText>
          </w:r>
          <w:r w:rsidRPr="00EA472C">
            <w:rPr>
              <w:vertAlign w:val="superscript"/>
            </w:rPr>
            <w:fldChar w:fldCharType="separate"/>
          </w:r>
          <w:r w:rsidRPr="00EE4FD4">
            <w:rPr>
              <w:noProof/>
            </w:rPr>
            <w:t>[18]</w:t>
          </w:r>
          <w:r w:rsidRPr="00EA472C">
            <w:rPr>
              <w:vertAlign w:val="superscript"/>
            </w:rPr>
            <w:fldChar w:fldCharType="end"/>
          </w:r>
        </w:sdtContent>
      </w:sdt>
      <w:r>
        <w:t>,</w:t>
      </w:r>
      <w:r w:rsidRPr="003801E3">
        <w:t xml:space="preserve"> </w:t>
      </w:r>
      <w:r>
        <w:t>the U-factor is expressed as (assuming steady-state condition, homogeneous temperature variables, and neglecting edge and radiation effects</w:t>
      </w:r>
      <w:r w:rsidRPr="003801E3">
        <w:t>):</w:t>
      </w:r>
      <w:r>
        <w:t xml:space="preserve"> </w:t>
      </w:r>
    </w:p>
    <w:p w14:paraId="0C4F5E71" w14:textId="77777777" w:rsidR="006D6D13" w:rsidRPr="003801E3" w:rsidRDefault="006D6D13" w:rsidP="006D6D13">
      <w:pPr>
        <w:snapToGrid w:val="0"/>
        <w:spacing w:line="480" w:lineRule="auto"/>
        <w:jc w:val="both"/>
      </w:pPr>
      <w:r w:rsidRPr="00587B88">
        <w:rPr>
          <w:position w:val="-60"/>
        </w:rPr>
        <w:object w:dxaOrig="1820" w:dyaOrig="980" w14:anchorId="2CDBE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90.75pt;height:48.75pt" o:ole="">
            <v:imagedata r:id="rId6" o:title=""/>
          </v:shape>
          <o:OLEObject Type="Embed" ProgID="Equation.DSMT4" ShapeID="_x0000_i1043" DrawAspect="Content" ObjectID="_1615235601" r:id="rId7"/>
        </w:object>
      </w:r>
      <w:r>
        <w:t xml:space="preserve">  </w:t>
      </w:r>
      <w:r>
        <w:tab/>
      </w:r>
      <w:r>
        <w:tab/>
      </w:r>
      <w:r>
        <w:tab/>
      </w:r>
      <w:r>
        <w:tab/>
      </w:r>
      <w:r>
        <w:tab/>
      </w:r>
      <w:r>
        <w:tab/>
      </w:r>
      <w:r>
        <w:tab/>
      </w:r>
      <w:r>
        <w:tab/>
      </w:r>
      <w:r>
        <w:tab/>
        <w:t>(S1)</w:t>
      </w:r>
    </w:p>
    <w:p w14:paraId="5BE6DEB4" w14:textId="77777777" w:rsidR="006D6D13" w:rsidRDefault="006D6D13" w:rsidP="006D6D13">
      <w:pPr>
        <w:snapToGrid w:val="0"/>
        <w:spacing w:line="480" w:lineRule="auto"/>
        <w:jc w:val="both"/>
        <w:rPr>
          <w:noProof/>
        </w:rPr>
      </w:pPr>
      <w:r>
        <w:t>w</w:t>
      </w:r>
      <w:r w:rsidRPr="003801E3">
        <w:t xml:space="preserve">here </w:t>
      </w:r>
      <w:proofErr w:type="spellStart"/>
      <w:r w:rsidRPr="00166F24">
        <w:rPr>
          <w:i/>
        </w:rPr>
        <w:t>h</w:t>
      </w:r>
      <w:r w:rsidRPr="00166F24">
        <w:rPr>
          <w:i/>
          <w:vertAlign w:val="subscript"/>
        </w:rPr>
        <w:t>h</w:t>
      </w:r>
      <w:proofErr w:type="spellEnd"/>
      <w:r w:rsidRPr="003801E3">
        <w:t xml:space="preserve"> and </w:t>
      </w:r>
      <w:proofErr w:type="spellStart"/>
      <w:r w:rsidRPr="00166F24">
        <w:rPr>
          <w:i/>
        </w:rPr>
        <w:t>h</w:t>
      </w:r>
      <w:r w:rsidRPr="00166F24">
        <w:rPr>
          <w:i/>
          <w:vertAlign w:val="subscript"/>
        </w:rPr>
        <w:t>c</w:t>
      </w:r>
      <w:proofErr w:type="spellEnd"/>
      <w:r w:rsidRPr="003801E3">
        <w:t xml:space="preserve"> are the interior and exterior </w:t>
      </w:r>
      <w:r>
        <w:t xml:space="preserve">heat </w:t>
      </w:r>
      <w:r w:rsidRPr="003801E3">
        <w:t xml:space="preserve">film coefficients respectively, and </w:t>
      </w:r>
      <w:r>
        <w:rPr>
          <w:i/>
        </w:rPr>
        <w:t>U</w:t>
      </w:r>
      <w:r w:rsidRPr="00166F24">
        <w:rPr>
          <w:i/>
          <w:vertAlign w:val="subscript"/>
        </w:rPr>
        <w:t>L</w:t>
      </w:r>
      <w:r w:rsidRPr="003801E3">
        <w:t xml:space="preserve"> is the </w:t>
      </w:r>
      <w:r w:rsidRPr="00224BFA">
        <w:t>heat transfer coefficient</w:t>
      </w:r>
      <w:r>
        <w:t xml:space="preserve"> </w:t>
      </w:r>
      <w:r w:rsidRPr="003801E3">
        <w:t xml:space="preserve">of the windowpane assembly alone. </w:t>
      </w:r>
      <w:proofErr w:type="spellStart"/>
      <w:r w:rsidRPr="00166F24">
        <w:rPr>
          <w:i/>
        </w:rPr>
        <w:t>h</w:t>
      </w:r>
      <w:r w:rsidRPr="00166F24">
        <w:rPr>
          <w:i/>
          <w:vertAlign w:val="subscript"/>
        </w:rPr>
        <w:t>h</w:t>
      </w:r>
      <w:proofErr w:type="spellEnd"/>
      <w:r w:rsidRPr="003801E3">
        <w:t xml:space="preserve"> can be calculat</w:t>
      </w:r>
      <w:r>
        <w:t>ed using the following equation</w:t>
      </w:r>
      <w:r w:rsidRPr="003801E3">
        <w:t>:</w:t>
      </w:r>
      <w:r w:rsidRPr="003801E3">
        <w:rPr>
          <w:noProof/>
        </w:rPr>
        <w:t xml:space="preserve"> </w:t>
      </w:r>
    </w:p>
    <w:p w14:paraId="42FA8E6F" w14:textId="77777777" w:rsidR="006D6D13" w:rsidRPr="003801E3" w:rsidRDefault="006D6D13" w:rsidP="006D6D13">
      <w:pPr>
        <w:snapToGrid w:val="0"/>
        <w:spacing w:line="480" w:lineRule="auto"/>
        <w:jc w:val="both"/>
        <w:rPr>
          <w:noProof/>
        </w:rPr>
      </w:pPr>
      <w:r w:rsidRPr="00587B88">
        <w:rPr>
          <w:noProof/>
          <w:position w:val="-34"/>
        </w:rPr>
        <w:object w:dxaOrig="3860" w:dyaOrig="820" w14:anchorId="0B1E35D2">
          <v:shape id="_x0000_i1044" type="#_x0000_t75" style="width:192.75pt;height:41.25pt" o:ole="">
            <v:imagedata r:id="rId8" o:title=""/>
          </v:shape>
          <o:OLEObject Type="Embed" ProgID="Equation.DSMT4" ShapeID="_x0000_i1044" DrawAspect="Content" ObjectID="_1615235602" r:id="rId9"/>
        </w:object>
      </w:r>
      <w:r>
        <w:rPr>
          <w:noProof/>
        </w:rPr>
        <w:tab/>
      </w:r>
      <w:r>
        <w:rPr>
          <w:noProof/>
        </w:rPr>
        <w:tab/>
      </w:r>
      <w:r>
        <w:rPr>
          <w:noProof/>
        </w:rPr>
        <w:tab/>
      </w:r>
      <w:r>
        <w:rPr>
          <w:noProof/>
        </w:rPr>
        <w:tab/>
      </w:r>
      <w:r>
        <w:rPr>
          <w:noProof/>
        </w:rPr>
        <w:tab/>
      </w:r>
      <w:r>
        <w:rPr>
          <w:noProof/>
        </w:rPr>
        <w:tab/>
        <w:t>(S2)</w:t>
      </w:r>
    </w:p>
    <w:p w14:paraId="21371982" w14:textId="77777777" w:rsidR="006D6D13" w:rsidRPr="003801E3" w:rsidRDefault="006D6D13" w:rsidP="006D6D13">
      <w:pPr>
        <w:snapToGrid w:val="0"/>
        <w:spacing w:line="480" w:lineRule="auto"/>
        <w:jc w:val="both"/>
      </w:pPr>
      <w:r>
        <w:lastRenderedPageBreak/>
        <w:t>w</w:t>
      </w:r>
      <w:r w:rsidRPr="003801E3">
        <w:t xml:space="preserve">here </w:t>
      </w:r>
      <w:r>
        <w:rPr>
          <w:i/>
        </w:rPr>
        <w:t>L</w:t>
      </w:r>
      <w:r w:rsidRPr="003801E3">
        <w:t xml:space="preserve"> is the total height of a window</w:t>
      </w:r>
      <w:r>
        <w:t xml:space="preserve">; </w:t>
      </w:r>
      <w:r w:rsidRPr="00166F24">
        <w:rPr>
          <w:i/>
        </w:rPr>
        <w:t>σ</w:t>
      </w:r>
      <w:r w:rsidRPr="003801E3">
        <w:t xml:space="preserve"> </w:t>
      </w:r>
      <w:r>
        <w:t xml:space="preserve">is </w:t>
      </w:r>
      <w:r w:rsidRPr="003801E3">
        <w:t>the Stefan–Boltzmann constant (5.67×10</w:t>
      </w:r>
      <w:r w:rsidRPr="006E17B4">
        <w:rPr>
          <w:vertAlign w:val="superscript"/>
        </w:rPr>
        <w:t>−8</w:t>
      </w:r>
      <w:r w:rsidRPr="003801E3">
        <w:t xml:space="preserve"> W</w:t>
      </w:r>
      <w:r>
        <w:t xml:space="preserve"> </w:t>
      </w:r>
      <w:r w:rsidRPr="003801E3">
        <w:t>m</w:t>
      </w:r>
      <w:r w:rsidRPr="006E17B4">
        <w:rPr>
          <w:vertAlign w:val="superscript"/>
        </w:rPr>
        <w:t>-</w:t>
      </w:r>
      <w:r w:rsidRPr="003801E3">
        <w:rPr>
          <w:vertAlign w:val="superscript"/>
        </w:rPr>
        <w:t>2</w:t>
      </w:r>
      <w:r>
        <w:t xml:space="preserve"> </w:t>
      </w:r>
      <w:r w:rsidRPr="003801E3">
        <w:t>K</w:t>
      </w:r>
      <w:r w:rsidRPr="006E17B4">
        <w:rPr>
          <w:vertAlign w:val="superscript"/>
        </w:rPr>
        <w:t>-</w:t>
      </w:r>
      <w:r w:rsidRPr="003801E3">
        <w:rPr>
          <w:vertAlign w:val="superscript"/>
        </w:rPr>
        <w:t>4</w:t>
      </w:r>
      <w:r w:rsidRPr="003801E3">
        <w:t>)</w:t>
      </w:r>
      <w:r>
        <w:t>;</w:t>
      </w:r>
      <w:r w:rsidRPr="003801E3">
        <w:t xml:space="preserve"> </w:t>
      </w:r>
      <w:r w:rsidRPr="00166F24">
        <w:rPr>
          <w:i/>
        </w:rPr>
        <w:t>e</w:t>
      </w:r>
      <w:r w:rsidRPr="003801E3">
        <w:t xml:space="preserve"> is emissivity</w:t>
      </w:r>
      <w:r>
        <w:t>, and</w:t>
      </w:r>
      <w:r w:rsidRPr="003801E3">
        <w:t xml:space="preserve"> </w:t>
      </w:r>
      <w:proofErr w:type="spellStart"/>
      <w:r w:rsidRPr="00166F24">
        <w:rPr>
          <w:i/>
        </w:rPr>
        <w:t>T</w:t>
      </w:r>
      <w:r>
        <w:rPr>
          <w:i/>
          <w:vertAlign w:val="subscript"/>
        </w:rPr>
        <w:t>g</w:t>
      </w:r>
      <w:proofErr w:type="spellEnd"/>
      <w:r w:rsidRPr="003801E3">
        <w:t xml:space="preserve"> and </w:t>
      </w:r>
      <w:r w:rsidRPr="00166F24">
        <w:rPr>
          <w:i/>
        </w:rPr>
        <w:t>T</w:t>
      </w:r>
      <w:r w:rsidRPr="00166F24">
        <w:rPr>
          <w:i/>
          <w:vertAlign w:val="subscript"/>
        </w:rPr>
        <w:t>h</w:t>
      </w:r>
      <w:r w:rsidRPr="003801E3">
        <w:t xml:space="preserve"> are the window inner surface temperature and indoor air temperature (K) respectively.</w:t>
      </w:r>
    </w:p>
    <w:p w14:paraId="59DA5A41" w14:textId="77777777" w:rsidR="006D6D13" w:rsidRDefault="006D6D13" w:rsidP="006D6D13">
      <w:pPr>
        <w:snapToGrid w:val="0"/>
        <w:spacing w:line="480" w:lineRule="auto"/>
        <w:ind w:firstLine="720"/>
        <w:jc w:val="both"/>
      </w:pPr>
      <w:r>
        <w:t>F</w:t>
      </w:r>
      <w:r w:rsidRPr="00476E56">
        <w:t xml:space="preserve">or buildings with 1 </w:t>
      </w:r>
      <w:proofErr w:type="spellStart"/>
      <w:r w:rsidRPr="00476E56">
        <w:t>storey</w:t>
      </w:r>
      <w:proofErr w:type="spellEnd"/>
      <w:r>
        <w:t>, and the windows on windward side, t</w:t>
      </w:r>
      <w:r w:rsidRPr="003801E3">
        <w:t xml:space="preserve">he outside heat film coefficient </w:t>
      </w:r>
      <w:proofErr w:type="spellStart"/>
      <w:r w:rsidRPr="00166F24">
        <w:rPr>
          <w:i/>
        </w:rPr>
        <w:t>h</w:t>
      </w:r>
      <w:r w:rsidRPr="00166F24">
        <w:rPr>
          <w:i/>
          <w:vertAlign w:val="subscript"/>
        </w:rPr>
        <w:t>c</w:t>
      </w:r>
      <w:proofErr w:type="spellEnd"/>
      <w:r w:rsidRPr="003801E3">
        <w:t xml:space="preserve"> </w:t>
      </w:r>
      <w:r>
        <w:t>can be</w:t>
      </w:r>
      <w:r w:rsidRPr="003801E3">
        <w:t xml:space="preserve"> calculated through the wind speed</w:t>
      </w:r>
      <w:r>
        <w:t xml:space="preserve">, </w:t>
      </w:r>
      <w:r w:rsidRPr="00476E56">
        <w:rPr>
          <w:i/>
        </w:rPr>
        <w:t>v</w:t>
      </w:r>
      <w:r w:rsidRPr="003801E3">
        <w:t xml:space="preserve"> by </w:t>
      </w:r>
      <w:proofErr w:type="spellStart"/>
      <w:r w:rsidRPr="00AE6AE6">
        <w:t>MoWiTT</w:t>
      </w:r>
      <w:proofErr w:type="spellEnd"/>
      <w:r>
        <w:t xml:space="preserve"> </w:t>
      </w:r>
      <w:r>
        <w:rPr>
          <w:rFonts w:eastAsiaTheme="minorEastAsia"/>
          <w:lang w:eastAsia="zh-CN"/>
        </w:rPr>
        <w:t>(</w:t>
      </w:r>
      <w:r w:rsidRPr="00D33DC3">
        <w:rPr>
          <w:rFonts w:eastAsiaTheme="minorEastAsia"/>
          <w:lang w:eastAsia="zh-CN"/>
        </w:rPr>
        <w:t>Mobile Window Thermal Te</w:t>
      </w:r>
      <w:r>
        <w:rPr>
          <w:rFonts w:eastAsiaTheme="minorEastAsia"/>
          <w:lang w:eastAsia="zh-CN"/>
        </w:rPr>
        <w:t>st)</w:t>
      </w:r>
      <w:r w:rsidRPr="00AE6AE6">
        <w:t xml:space="preserve"> model</w:t>
      </w:r>
      <w:r w:rsidRPr="00305A9D">
        <w:rPr>
          <w:vertAlign w:val="superscript"/>
        </w:rPr>
        <w:t xml:space="preserve"> </w:t>
      </w:r>
      <w:sdt>
        <w:sdtPr>
          <w:rPr>
            <w:vertAlign w:val="superscript"/>
          </w:rPr>
          <w:id w:val="657113332"/>
          <w:citation/>
        </w:sdtPr>
        <w:sdtContent>
          <w:r w:rsidRPr="00EA472C">
            <w:rPr>
              <w:vertAlign w:val="superscript"/>
            </w:rPr>
            <w:fldChar w:fldCharType="begin"/>
          </w:r>
          <w:r w:rsidRPr="00EA472C">
            <w:rPr>
              <w:vertAlign w:val="superscript"/>
            </w:rPr>
            <w:instrText xml:space="preserve"> CITATION Lok71 \l 1033 </w:instrText>
          </w:r>
          <w:r w:rsidRPr="00EA472C">
            <w:rPr>
              <w:vertAlign w:val="superscript"/>
            </w:rPr>
            <w:fldChar w:fldCharType="separate"/>
          </w:r>
          <w:r w:rsidRPr="00EE4FD4">
            <w:rPr>
              <w:noProof/>
            </w:rPr>
            <w:t>[23]</w:t>
          </w:r>
          <w:r w:rsidRPr="00EA472C">
            <w:rPr>
              <w:vertAlign w:val="superscript"/>
            </w:rPr>
            <w:fldChar w:fldCharType="end"/>
          </w:r>
        </w:sdtContent>
      </w:sdt>
      <w:r w:rsidRPr="003801E3">
        <w:t>:</w:t>
      </w:r>
    </w:p>
    <w:p w14:paraId="28C55B23" w14:textId="77777777" w:rsidR="006D6D13" w:rsidRPr="003801E3" w:rsidRDefault="006D6D13" w:rsidP="006D6D13">
      <w:pPr>
        <w:snapToGrid w:val="0"/>
        <w:spacing w:line="480" w:lineRule="auto"/>
        <w:jc w:val="both"/>
      </w:pPr>
      <w:r w:rsidRPr="00AE6AE6">
        <w:rPr>
          <w:position w:val="-24"/>
        </w:rPr>
        <w:object w:dxaOrig="4220" w:dyaOrig="680" w14:anchorId="21036EB7">
          <v:shape id="_x0000_i1045" type="#_x0000_t75" style="width:211.5pt;height:33.75pt" o:ole="">
            <v:imagedata r:id="rId10" o:title=""/>
          </v:shape>
          <o:OLEObject Type="Embed" ProgID="Equation.DSMT4" ShapeID="_x0000_i1045" DrawAspect="Content" ObjectID="_1615235603" r:id="rId11"/>
        </w:object>
      </w:r>
      <w:r>
        <w:tab/>
      </w:r>
      <w:r>
        <w:tab/>
      </w:r>
      <w:r>
        <w:tab/>
      </w:r>
      <w:r>
        <w:tab/>
      </w:r>
      <w:r>
        <w:tab/>
      </w:r>
      <w:r>
        <w:tab/>
        <w:t>(S3)</w:t>
      </w:r>
    </w:p>
    <w:p w14:paraId="36461A4B" w14:textId="77777777" w:rsidR="006D6D13" w:rsidRDefault="006D6D13" w:rsidP="006D6D13">
      <w:pPr>
        <w:snapToGrid w:val="0"/>
        <w:spacing w:line="480" w:lineRule="auto"/>
        <w:jc w:val="both"/>
      </w:pPr>
      <w:r>
        <w:t xml:space="preserve">Assuming </w:t>
      </w:r>
      <w:r w:rsidRPr="004B57A7">
        <w:t>neglecting edge and radiation effects</w:t>
      </w:r>
      <w:r>
        <w:t xml:space="preserve">, </w:t>
      </w:r>
      <w:r w:rsidRPr="004B57A7">
        <w:rPr>
          <w:i/>
        </w:rPr>
        <w:t>U</w:t>
      </w:r>
      <w:r w:rsidRPr="004B57A7">
        <w:rPr>
          <w:i/>
          <w:vertAlign w:val="subscript"/>
        </w:rPr>
        <w:t>L</w:t>
      </w:r>
      <w:r w:rsidRPr="004B57A7">
        <w:t xml:space="preserve"> can be derived</w:t>
      </w:r>
      <w:r>
        <w:t xml:space="preserve"> by following equations</w:t>
      </w:r>
      <w:sdt>
        <w:sdtPr>
          <w:id w:val="-1789347344"/>
          <w:citation/>
        </w:sdtPr>
        <w:sdtContent>
          <w:r>
            <w:fldChar w:fldCharType="begin"/>
          </w:r>
          <w:r>
            <w:instrText xml:space="preserve"> CITATION Var12 \l 1033 </w:instrText>
          </w:r>
          <w:r>
            <w:fldChar w:fldCharType="separate"/>
          </w:r>
          <w:r>
            <w:rPr>
              <w:noProof/>
            </w:rPr>
            <w:t xml:space="preserve"> </w:t>
          </w:r>
          <w:r w:rsidRPr="00EE4FD4">
            <w:rPr>
              <w:noProof/>
            </w:rPr>
            <w:t>[24]</w:t>
          </w:r>
          <w:r>
            <w:fldChar w:fldCharType="end"/>
          </w:r>
        </w:sdtContent>
      </w:sdt>
      <w:r>
        <w:t>:</w:t>
      </w:r>
    </w:p>
    <w:p w14:paraId="3A6B7B26" w14:textId="77777777" w:rsidR="006D6D13" w:rsidRDefault="006D6D13" w:rsidP="006D6D13">
      <w:pPr>
        <w:snapToGrid w:val="0"/>
        <w:spacing w:line="480" w:lineRule="auto"/>
        <w:ind w:left="720" w:hanging="720"/>
        <w:jc w:val="both"/>
      </w:pPr>
      <w:r w:rsidRPr="004B57A7">
        <w:t xml:space="preserve">Heat lost through the window assembly = </w:t>
      </w:r>
      <w:r w:rsidRPr="004B57A7">
        <w:rPr>
          <w:position w:val="-16"/>
        </w:rPr>
        <w:object w:dxaOrig="2079" w:dyaOrig="440" w14:anchorId="1BBB2984">
          <v:shape id="_x0000_i1046" type="#_x0000_t75" style="width:104.25pt;height:21.75pt" o:ole="">
            <v:imagedata r:id="rId12" o:title=""/>
          </v:shape>
          <o:OLEObject Type="Embed" ProgID="Equation.DSMT4" ShapeID="_x0000_i1046" DrawAspect="Content" ObjectID="_1615235604" r:id="rId13"/>
        </w:object>
      </w:r>
      <w:r>
        <w:tab/>
      </w:r>
      <w:r>
        <w:tab/>
      </w:r>
      <w:r>
        <w:tab/>
        <w:t>(S4)</w:t>
      </w:r>
    </w:p>
    <w:p w14:paraId="48603AB8" w14:textId="77777777" w:rsidR="006D6D13" w:rsidRDefault="006D6D13" w:rsidP="006D6D13">
      <w:pPr>
        <w:snapToGrid w:val="0"/>
        <w:spacing w:line="480" w:lineRule="auto"/>
        <w:ind w:left="720" w:hanging="720"/>
        <w:jc w:val="both"/>
      </w:pPr>
      <w:r>
        <w:t xml:space="preserve">where </w:t>
      </w:r>
      <w:proofErr w:type="spellStart"/>
      <w:proofErr w:type="gramStart"/>
      <w:r w:rsidRPr="00D82BDC">
        <w:rPr>
          <w:i/>
        </w:rPr>
        <w:t>T</w:t>
      </w:r>
      <w:r w:rsidRPr="00D82BDC">
        <w:rPr>
          <w:i/>
          <w:vertAlign w:val="subscript"/>
        </w:rPr>
        <w:t>g,o</w:t>
      </w:r>
      <w:proofErr w:type="spellEnd"/>
      <w:proofErr w:type="gramEnd"/>
      <w:r>
        <w:t xml:space="preserve"> is the outside surface temperature of the window.</w:t>
      </w:r>
    </w:p>
    <w:p w14:paraId="2EB97D7C" w14:textId="77777777" w:rsidR="006D6D13" w:rsidRDefault="006D6D13" w:rsidP="006D6D13">
      <w:pPr>
        <w:snapToGrid w:val="0"/>
        <w:spacing w:line="480" w:lineRule="auto"/>
        <w:ind w:left="720" w:hanging="720"/>
        <w:jc w:val="both"/>
      </w:pPr>
      <w:r>
        <w:t>H</w:t>
      </w:r>
      <w:r w:rsidRPr="004B57A7">
        <w:t xml:space="preserve">eat lost from the room to the </w:t>
      </w:r>
      <w:r>
        <w:t>window indoor</w:t>
      </w:r>
      <w:r w:rsidRPr="004B57A7">
        <w:t xml:space="preserve"> surface</w:t>
      </w:r>
      <w:r>
        <w:t xml:space="preserve"> = </w:t>
      </w:r>
      <w:r w:rsidRPr="004B57A7">
        <w:rPr>
          <w:position w:val="-16"/>
        </w:rPr>
        <w:object w:dxaOrig="1800" w:dyaOrig="440" w14:anchorId="763467EB">
          <v:shape id="_x0000_i1047" type="#_x0000_t75" style="width:90pt;height:21.75pt" o:ole="">
            <v:imagedata r:id="rId14" o:title=""/>
          </v:shape>
          <o:OLEObject Type="Embed" ProgID="Equation.DSMT4" ShapeID="_x0000_i1047" DrawAspect="Content" ObjectID="_1615235605" r:id="rId15"/>
        </w:object>
      </w:r>
      <w:r>
        <w:tab/>
        <w:t>(S5)</w:t>
      </w:r>
    </w:p>
    <w:p w14:paraId="1D0FD351" w14:textId="77777777" w:rsidR="006D6D13" w:rsidRDefault="006D6D13" w:rsidP="006D6D13">
      <w:pPr>
        <w:snapToGrid w:val="0"/>
        <w:spacing w:line="480" w:lineRule="auto"/>
        <w:ind w:left="720" w:hanging="720"/>
        <w:jc w:val="both"/>
      </w:pPr>
      <w:r>
        <w:t>T</w:t>
      </w:r>
      <w:r w:rsidRPr="004B57A7">
        <w:t xml:space="preserve">hese two heat loss rates </w:t>
      </w:r>
      <w:r w:rsidRPr="00CE29EC">
        <w:rPr>
          <w:b/>
        </w:rPr>
        <w:t xml:space="preserve">Equations (S4) </w:t>
      </w:r>
      <w:r w:rsidRPr="00CE29EC">
        <w:t>and</w:t>
      </w:r>
      <w:r w:rsidRPr="00CE29EC">
        <w:rPr>
          <w:b/>
        </w:rPr>
        <w:t xml:space="preserve"> (S5)</w:t>
      </w:r>
      <w:r w:rsidRPr="004B57A7">
        <w:t xml:space="preserve"> must be equal</w:t>
      </w:r>
      <w:r>
        <w:t>:</w:t>
      </w:r>
    </w:p>
    <w:p w14:paraId="032A9908" w14:textId="77777777" w:rsidR="006D6D13" w:rsidRDefault="006D6D13" w:rsidP="006D6D13">
      <w:pPr>
        <w:snapToGrid w:val="0"/>
        <w:spacing w:line="480" w:lineRule="auto"/>
        <w:ind w:left="720" w:hanging="720"/>
        <w:jc w:val="both"/>
      </w:pPr>
      <w:r w:rsidRPr="004B57A7">
        <w:rPr>
          <w:position w:val="-16"/>
        </w:rPr>
        <w:object w:dxaOrig="4099" w:dyaOrig="440" w14:anchorId="5383A0B3">
          <v:shape id="_x0000_i1048" type="#_x0000_t75" style="width:204.75pt;height:21.75pt" o:ole="">
            <v:imagedata r:id="rId16" o:title=""/>
          </v:shape>
          <o:OLEObject Type="Embed" ProgID="Equation.DSMT4" ShapeID="_x0000_i1048" DrawAspect="Content" ObjectID="_1615235606" r:id="rId17"/>
        </w:object>
      </w:r>
      <w:r>
        <w:tab/>
      </w:r>
      <w:r>
        <w:tab/>
      </w:r>
      <w:r>
        <w:tab/>
      </w:r>
      <w:r>
        <w:tab/>
      </w:r>
      <w:r>
        <w:tab/>
      </w:r>
      <w:r>
        <w:tab/>
        <w:t>(S6)</w:t>
      </w:r>
    </w:p>
    <w:p w14:paraId="143D69C7" w14:textId="77777777" w:rsidR="006D6D13" w:rsidRDefault="006D6D13" w:rsidP="006D6D13">
      <w:pPr>
        <w:snapToGrid w:val="0"/>
        <w:spacing w:line="480" w:lineRule="auto"/>
        <w:ind w:left="720" w:hanging="720"/>
        <w:jc w:val="both"/>
      </w:pPr>
      <w:r>
        <w:t xml:space="preserve">Then, we have </w:t>
      </w:r>
      <w:r w:rsidRPr="004B57A7">
        <w:rPr>
          <w:position w:val="-36"/>
        </w:rPr>
        <w:object w:dxaOrig="2160" w:dyaOrig="840" w14:anchorId="7BB8D674">
          <v:shape id="_x0000_i1049" type="#_x0000_t75" style="width:108pt;height:42pt" o:ole="">
            <v:imagedata r:id="rId18" o:title=""/>
          </v:shape>
          <o:OLEObject Type="Embed" ProgID="Equation.DSMT4" ShapeID="_x0000_i1049" DrawAspect="Content" ObjectID="_1615235607" r:id="rId19"/>
        </w:object>
      </w:r>
      <w:r>
        <w:tab/>
      </w:r>
      <w:r>
        <w:tab/>
      </w:r>
      <w:r>
        <w:tab/>
      </w:r>
      <w:r>
        <w:tab/>
      </w:r>
      <w:r>
        <w:tab/>
      </w:r>
      <w:r>
        <w:tab/>
        <w:t>(S7)</w:t>
      </w:r>
    </w:p>
    <w:p w14:paraId="130FAEAC" w14:textId="77777777" w:rsidR="006D6D13" w:rsidRDefault="006D6D13" w:rsidP="006D6D13">
      <w:pPr>
        <w:snapToGrid w:val="0"/>
        <w:spacing w:line="480" w:lineRule="auto"/>
        <w:ind w:left="720" w:hanging="720"/>
        <w:jc w:val="both"/>
      </w:pPr>
      <w:r>
        <w:t xml:space="preserve">and </w:t>
      </w:r>
      <w:r w:rsidRPr="004B57A7">
        <w:rPr>
          <w:position w:val="-36"/>
        </w:rPr>
        <w:object w:dxaOrig="2580" w:dyaOrig="840" w14:anchorId="7D0821C3">
          <v:shape id="_x0000_i1050" type="#_x0000_t75" style="width:129pt;height:42pt" o:ole="">
            <v:imagedata r:id="rId20" o:title=""/>
          </v:shape>
          <o:OLEObject Type="Embed" ProgID="Equation.DSMT4" ShapeID="_x0000_i1050" DrawAspect="Content" ObjectID="_1615235608" r:id="rId21"/>
        </w:object>
      </w:r>
      <w:r>
        <w:tab/>
      </w:r>
      <w:r>
        <w:tab/>
      </w:r>
      <w:r>
        <w:tab/>
      </w:r>
      <w:r>
        <w:tab/>
      </w:r>
      <w:r>
        <w:tab/>
      </w:r>
      <w:r>
        <w:tab/>
      </w:r>
      <w:r>
        <w:tab/>
        <w:t>(S8)</w:t>
      </w:r>
    </w:p>
    <w:p w14:paraId="5BACA984" w14:textId="77777777" w:rsidR="006D6D13" w:rsidRDefault="006D6D13" w:rsidP="006D6D13">
      <w:pPr>
        <w:snapToGrid w:val="0"/>
        <w:spacing w:line="480" w:lineRule="auto"/>
        <w:ind w:left="720" w:hanging="720"/>
        <w:jc w:val="both"/>
      </w:pPr>
      <w:r w:rsidRPr="003801E3">
        <w:t xml:space="preserve">According </w:t>
      </w:r>
      <w:r w:rsidRPr="003801E3">
        <w:rPr>
          <w:b/>
        </w:rPr>
        <w:t>Equation</w:t>
      </w:r>
      <w:r w:rsidRPr="003801E3">
        <w:t xml:space="preserve"> </w:t>
      </w:r>
      <w:r w:rsidRPr="003801E3">
        <w:rPr>
          <w:b/>
        </w:rPr>
        <w:t>(S1)</w:t>
      </w:r>
      <w:r w:rsidRPr="003801E3">
        <w:t>,</w:t>
      </w:r>
      <w:r w:rsidRPr="003801E3">
        <w:rPr>
          <w:b/>
        </w:rPr>
        <w:t xml:space="preserve"> (S2)</w:t>
      </w:r>
      <w:r>
        <w:rPr>
          <w:b/>
        </w:rPr>
        <w:t>,</w:t>
      </w:r>
      <w:r w:rsidRPr="003801E3">
        <w:rPr>
          <w:b/>
        </w:rPr>
        <w:t xml:space="preserve"> </w:t>
      </w:r>
      <w:r>
        <w:rPr>
          <w:b/>
        </w:rPr>
        <w:t xml:space="preserve">(S3) </w:t>
      </w:r>
      <w:r w:rsidRPr="003801E3">
        <w:t>and</w:t>
      </w:r>
      <w:r w:rsidRPr="003801E3">
        <w:rPr>
          <w:b/>
        </w:rPr>
        <w:t xml:space="preserve"> (S</w:t>
      </w:r>
      <w:r>
        <w:rPr>
          <w:b/>
        </w:rPr>
        <w:t>8</w:t>
      </w:r>
      <w:r w:rsidRPr="003801E3">
        <w:rPr>
          <w:b/>
        </w:rPr>
        <w:t>)</w:t>
      </w:r>
      <w:r w:rsidRPr="003801E3">
        <w:t>, U-factor can be expressed as:</w:t>
      </w:r>
    </w:p>
    <w:p w14:paraId="09F00D2A" w14:textId="77777777" w:rsidR="006D6D13" w:rsidRPr="003801E3" w:rsidRDefault="006D6D13" w:rsidP="006D6D13">
      <w:pPr>
        <w:snapToGrid w:val="0"/>
        <w:spacing w:line="480" w:lineRule="auto"/>
        <w:ind w:left="720" w:hanging="720"/>
        <w:jc w:val="both"/>
      </w:pPr>
      <w:r w:rsidRPr="00D82BDC">
        <w:rPr>
          <w:position w:val="-112"/>
        </w:rPr>
        <w:object w:dxaOrig="9100" w:dyaOrig="1500" w14:anchorId="3C043F55">
          <v:shape id="_x0000_i1051" type="#_x0000_t75" style="width:423.75pt;height:69.75pt" o:ole="">
            <v:imagedata r:id="rId22" o:title=""/>
          </v:shape>
          <o:OLEObject Type="Embed" ProgID="Equation.DSMT4" ShapeID="_x0000_i1051" DrawAspect="Content" ObjectID="_1615235609" r:id="rId23"/>
        </w:object>
      </w:r>
      <w:r>
        <w:t>(S9)</w:t>
      </w:r>
    </w:p>
    <w:p w14:paraId="5935C06D" w14:textId="77777777" w:rsidR="006D6D13" w:rsidRPr="00327C22" w:rsidRDefault="006D6D13" w:rsidP="006D6D13">
      <w:pPr>
        <w:snapToGrid w:val="0"/>
        <w:spacing w:line="480" w:lineRule="auto"/>
        <w:ind w:firstLine="708"/>
        <w:jc w:val="both"/>
      </w:pPr>
      <w:bookmarkStart w:id="3" w:name="_Hlk496119043"/>
      <w:r>
        <w:t xml:space="preserve">The NFRC standardized environmental conditions for U-factor calculations: the indoor air temperature, </w:t>
      </w:r>
      <w:r>
        <w:rPr>
          <w:i/>
        </w:rPr>
        <w:t>T</w:t>
      </w:r>
      <w:r>
        <w:rPr>
          <w:i/>
          <w:vertAlign w:val="subscript"/>
        </w:rPr>
        <w:t xml:space="preserve">h </w:t>
      </w:r>
      <w:r>
        <w:t xml:space="preserve">= 294.27 K (21.11 </w:t>
      </w:r>
      <w:proofErr w:type="spellStart"/>
      <w:r>
        <w:rPr>
          <w:vertAlign w:val="superscript"/>
        </w:rPr>
        <w:t>o</w:t>
      </w:r>
      <w:r>
        <w:t>C</w:t>
      </w:r>
      <w:proofErr w:type="spellEnd"/>
      <w:r>
        <w:t xml:space="preserve">); the </w:t>
      </w:r>
      <w:r w:rsidRPr="00CE29EC">
        <w:t>outside surface temperature of the window</w:t>
      </w:r>
      <w:r>
        <w:t xml:space="preserve">, </w:t>
      </w:r>
      <w:proofErr w:type="spellStart"/>
      <w:r w:rsidRPr="00D82BDC">
        <w:rPr>
          <w:i/>
        </w:rPr>
        <w:t>T</w:t>
      </w:r>
      <w:r w:rsidRPr="00D82BDC">
        <w:rPr>
          <w:i/>
          <w:vertAlign w:val="subscript"/>
        </w:rPr>
        <w:t>g,o</w:t>
      </w:r>
      <w:proofErr w:type="spellEnd"/>
      <w:r w:rsidRPr="00CE29EC">
        <w:t xml:space="preserve"> </w:t>
      </w:r>
      <w:r>
        <w:t xml:space="preserve">= 255.38 K (-17.78 </w:t>
      </w:r>
      <w:proofErr w:type="spellStart"/>
      <w:r>
        <w:rPr>
          <w:vertAlign w:val="superscript"/>
        </w:rPr>
        <w:t>o</w:t>
      </w:r>
      <w:r>
        <w:t>C</w:t>
      </w:r>
      <w:proofErr w:type="spellEnd"/>
      <w:r>
        <w:t xml:space="preserve">);  wind speed, </w:t>
      </w:r>
      <w:r>
        <w:rPr>
          <w:i/>
        </w:rPr>
        <w:t>v</w:t>
      </w:r>
      <w:r>
        <w:t xml:space="preserve"> = 3.42 m s</w:t>
      </w:r>
      <w:r>
        <w:rPr>
          <w:vertAlign w:val="superscript"/>
        </w:rPr>
        <w:t>-1</w:t>
      </w:r>
      <w:r>
        <w:t xml:space="preserve">; and window height, </w:t>
      </w:r>
      <w:r>
        <w:rPr>
          <w:i/>
        </w:rPr>
        <w:t>L</w:t>
      </w:r>
      <w:r>
        <w:t xml:space="preserve"> = 1.524 m.</w:t>
      </w:r>
      <w:bookmarkEnd w:id="3"/>
      <w:r>
        <w:t xml:space="preserve"> Assuming </w:t>
      </w:r>
      <w:r>
        <w:lastRenderedPageBreak/>
        <w:t xml:space="preserve">the original interior temperature is 5 </w:t>
      </w:r>
      <w:proofErr w:type="spellStart"/>
      <w:r>
        <w:rPr>
          <w:vertAlign w:val="superscript"/>
        </w:rPr>
        <w:t>o</w:t>
      </w:r>
      <w:r>
        <w:t>C</w:t>
      </w:r>
      <w:proofErr w:type="spellEnd"/>
      <w:r>
        <w:t xml:space="preserve">, </w:t>
      </w:r>
      <w:proofErr w:type="spellStart"/>
      <w:r>
        <w:rPr>
          <w:i/>
        </w:rPr>
        <w:t>T</w:t>
      </w:r>
      <w:r>
        <w:rPr>
          <w:i/>
          <w:vertAlign w:val="subscript"/>
        </w:rPr>
        <w:t>g</w:t>
      </w:r>
      <w:proofErr w:type="spellEnd"/>
      <w:r>
        <w:t xml:space="preserve"> will be (278.16+</w:t>
      </w:r>
      <w:r>
        <w:rPr>
          <w:i/>
        </w:rPr>
        <w:t>ΔT</w:t>
      </w:r>
      <w:r>
        <w:rPr>
          <w:i/>
          <w:vertAlign w:val="subscript"/>
        </w:rPr>
        <w:t>g</w:t>
      </w:r>
      <w:r>
        <w:t xml:space="preserve">) K. 1.8 mm Tungsten </w:t>
      </w:r>
      <w:proofErr w:type="spellStart"/>
      <w:r>
        <w:t>Diselenide</w:t>
      </w:r>
      <w:proofErr w:type="spellEnd"/>
      <w:r>
        <w:t xml:space="preserve"> (WSe</w:t>
      </w:r>
      <w:r>
        <w:rPr>
          <w:vertAlign w:val="subscript"/>
        </w:rPr>
        <w:t>2</w:t>
      </w:r>
      <w:r>
        <w:t xml:space="preserve">) is selected as the possible dense solid insulating material, and </w:t>
      </w:r>
      <w:r>
        <w:rPr>
          <w:i/>
        </w:rPr>
        <w:t xml:space="preserve">e </w:t>
      </w:r>
      <w:r>
        <w:t xml:space="preserve">= 0.90 for a common single-pane window. These parameters are applied in </w:t>
      </w:r>
      <w:r w:rsidRPr="00305A9D">
        <w:rPr>
          <w:b/>
        </w:rPr>
        <w:t>Equation (S</w:t>
      </w:r>
      <w:r>
        <w:rPr>
          <w:b/>
        </w:rPr>
        <w:t>9</w:t>
      </w:r>
      <w:r w:rsidRPr="00305A9D">
        <w:rPr>
          <w:b/>
        </w:rPr>
        <w:t>)</w:t>
      </w:r>
      <w:r>
        <w:t xml:space="preserve"> to calculate U-factors for each sample</w:t>
      </w:r>
      <w:r w:rsidRPr="003801E3">
        <w:t>.</w:t>
      </w:r>
    </w:p>
    <w:p w14:paraId="22608CCE" w14:textId="77777777" w:rsidR="000A04AF" w:rsidRPr="006D6D13" w:rsidRDefault="00541E5B" w:rsidP="006D6D13"/>
    <w:sectPr w:rsidR="000A04AF" w:rsidRPr="006D6D13">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2BF53" w14:textId="77777777" w:rsidR="00541E5B" w:rsidRDefault="00541E5B" w:rsidP="00B7157C">
      <w:r>
        <w:separator/>
      </w:r>
    </w:p>
  </w:endnote>
  <w:endnote w:type="continuationSeparator" w:id="0">
    <w:p w14:paraId="324157A0" w14:textId="77777777" w:rsidR="00541E5B" w:rsidRDefault="00541E5B" w:rsidP="00B7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64EDB" w14:textId="77777777" w:rsidR="00807E1F" w:rsidRDefault="00C1658E">
    <w:pPr>
      <w:pStyle w:val="Footer"/>
      <w:jc w:val="center"/>
    </w:pPr>
    <w:r>
      <w:fldChar w:fldCharType="begin"/>
    </w:r>
    <w:r>
      <w:instrText>PAGE   \* MERGEFORMAT</w:instrText>
    </w:r>
    <w:r>
      <w:fldChar w:fldCharType="separate"/>
    </w:r>
    <w:r>
      <w:rPr>
        <w:noProof/>
      </w:rPr>
      <w:t>12</w:t>
    </w:r>
    <w:r>
      <w:fldChar w:fldCharType="end"/>
    </w:r>
  </w:p>
  <w:p w14:paraId="37AC17CD" w14:textId="77777777" w:rsidR="00807E1F" w:rsidRDefault="00541E5B" w:rsidP="0088145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1FDBD" w14:textId="77777777" w:rsidR="00541E5B" w:rsidRDefault="00541E5B" w:rsidP="00B7157C">
      <w:r>
        <w:separator/>
      </w:r>
    </w:p>
  </w:footnote>
  <w:footnote w:type="continuationSeparator" w:id="0">
    <w:p w14:paraId="54BC0EF4" w14:textId="77777777" w:rsidR="00541E5B" w:rsidRDefault="00541E5B" w:rsidP="00B71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2F353" w14:textId="77777777" w:rsidR="00807E1F" w:rsidRPr="009B44CC" w:rsidRDefault="00C1658E" w:rsidP="009B44CC">
    <w:pPr>
      <w:pStyle w:val="Header"/>
      <w:tabs>
        <w:tab w:val="left" w:pos="5003"/>
      </w:tabs>
      <w:jc w:val="right"/>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CDE"/>
    <w:rsid w:val="00052CDE"/>
    <w:rsid w:val="000F43A9"/>
    <w:rsid w:val="002B7AE7"/>
    <w:rsid w:val="003013C5"/>
    <w:rsid w:val="0042364E"/>
    <w:rsid w:val="00433B6E"/>
    <w:rsid w:val="004753C4"/>
    <w:rsid w:val="00495D0B"/>
    <w:rsid w:val="0053381E"/>
    <w:rsid w:val="00541E5B"/>
    <w:rsid w:val="00624F99"/>
    <w:rsid w:val="006C4304"/>
    <w:rsid w:val="006D6D13"/>
    <w:rsid w:val="007827D4"/>
    <w:rsid w:val="007C4DAD"/>
    <w:rsid w:val="00893867"/>
    <w:rsid w:val="008D05D1"/>
    <w:rsid w:val="009667E2"/>
    <w:rsid w:val="00A93D3F"/>
    <w:rsid w:val="00AB5FB5"/>
    <w:rsid w:val="00AF2B6A"/>
    <w:rsid w:val="00B268BF"/>
    <w:rsid w:val="00B7157C"/>
    <w:rsid w:val="00B87B26"/>
    <w:rsid w:val="00BF122A"/>
    <w:rsid w:val="00C16511"/>
    <w:rsid w:val="00C1658E"/>
    <w:rsid w:val="00E11674"/>
    <w:rsid w:val="00E25A21"/>
    <w:rsid w:val="00E301B8"/>
    <w:rsid w:val="00F7735D"/>
    <w:rsid w:val="00F97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07C46A-C4B2-422F-B5B9-D5400661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57C"/>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7157C"/>
    <w:pPr>
      <w:tabs>
        <w:tab w:val="center" w:pos="4320"/>
        <w:tab w:val="right" w:pos="8640"/>
      </w:tabs>
    </w:pPr>
    <w:rPr>
      <w:rFonts w:asciiTheme="minorHAnsi" w:eastAsiaTheme="minorEastAsia" w:hAnsiTheme="minorHAnsi" w:cstheme="minorBidi"/>
      <w:sz w:val="22"/>
      <w:szCs w:val="22"/>
      <w:lang w:eastAsia="zh-CN"/>
    </w:rPr>
  </w:style>
  <w:style w:type="character" w:customStyle="1" w:styleId="HeaderChar">
    <w:name w:val="Header Char"/>
    <w:basedOn w:val="DefaultParagraphFont"/>
    <w:link w:val="Header"/>
    <w:rsid w:val="00B7157C"/>
  </w:style>
  <w:style w:type="paragraph" w:styleId="Footer">
    <w:name w:val="footer"/>
    <w:basedOn w:val="Normal"/>
    <w:link w:val="FooterChar"/>
    <w:uiPriority w:val="99"/>
    <w:unhideWhenUsed/>
    <w:rsid w:val="00B7157C"/>
    <w:pPr>
      <w:tabs>
        <w:tab w:val="center" w:pos="4320"/>
        <w:tab w:val="right" w:pos="8640"/>
      </w:tabs>
    </w:pPr>
    <w:rPr>
      <w:rFonts w:asciiTheme="minorHAnsi" w:eastAsiaTheme="minorEastAsia" w:hAnsiTheme="minorHAnsi" w:cstheme="minorBidi"/>
      <w:sz w:val="22"/>
      <w:szCs w:val="22"/>
      <w:lang w:eastAsia="zh-CN"/>
    </w:rPr>
  </w:style>
  <w:style w:type="character" w:customStyle="1" w:styleId="FooterChar">
    <w:name w:val="Footer Char"/>
    <w:basedOn w:val="DefaultParagraphFont"/>
    <w:link w:val="Footer"/>
    <w:uiPriority w:val="99"/>
    <w:rsid w:val="00B7157C"/>
  </w:style>
  <w:style w:type="paragraph" w:customStyle="1" w:styleId="AuthorsFull">
    <w:name w:val="Authors Full"/>
    <w:basedOn w:val="Normal"/>
    <w:rsid w:val="00B7157C"/>
    <w:rPr>
      <w:i/>
    </w:rPr>
  </w:style>
  <w:style w:type="paragraph" w:customStyle="1" w:styleId="Tableofcontents">
    <w:name w:val="Table of contents"/>
    <w:basedOn w:val="Normal"/>
    <w:autoRedefine/>
    <w:rsid w:val="00B7157C"/>
    <w:rPr>
      <w:b/>
      <w:color w:val="000000"/>
      <w:szCs w:val="32"/>
    </w:rPr>
  </w:style>
  <w:style w:type="paragraph" w:customStyle="1" w:styleId="Title2">
    <w:name w:val="Title2"/>
    <w:basedOn w:val="Normal"/>
    <w:rsid w:val="00B7157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698</Words>
  <Characters>3982</Characters>
  <Application>Microsoft Office Word</Application>
  <DocSecurity>0</DocSecurity>
  <Lines>33</Lines>
  <Paragraphs>9</Paragraphs>
  <ScaleCrop>false</ScaleCrop>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dc:creator>
  <cp:keywords/>
  <dc:description/>
  <cp:lastModifiedBy>Lucas</cp:lastModifiedBy>
  <cp:revision>4</cp:revision>
  <dcterms:created xsi:type="dcterms:W3CDTF">2019-03-28T03:43:00Z</dcterms:created>
  <dcterms:modified xsi:type="dcterms:W3CDTF">2019-03-28T03:46:00Z</dcterms:modified>
</cp:coreProperties>
</file>