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F2F3" w14:textId="1E23A5C1" w:rsidR="00700CBF" w:rsidRPr="001F7C6A" w:rsidRDefault="00700CBF" w:rsidP="00700CBF">
      <w:pPr>
        <w:rPr>
          <w:rFonts w:ascii="Times New Roman" w:hAnsi="Times New Roman" w:cs="Times New Roman"/>
          <w:b/>
          <w:sz w:val="28"/>
          <w:szCs w:val="28"/>
        </w:rPr>
      </w:pPr>
      <w:r>
        <w:rPr>
          <w:rFonts w:ascii="Times New Roman" w:hAnsi="Times New Roman" w:cs="Times New Roman"/>
          <w:b/>
          <w:sz w:val="28"/>
          <w:szCs w:val="28"/>
        </w:rPr>
        <w:t>Supplementary</w:t>
      </w:r>
      <w:r w:rsidRPr="001F7C6A">
        <w:rPr>
          <w:rFonts w:ascii="Times New Roman" w:hAnsi="Times New Roman" w:cs="Times New Roman"/>
          <w:b/>
          <w:sz w:val="28"/>
          <w:szCs w:val="28"/>
        </w:rPr>
        <w:t xml:space="preserve"> </w:t>
      </w:r>
      <w:r w:rsidR="007D098E">
        <w:rPr>
          <w:rFonts w:ascii="Times New Roman" w:hAnsi="Times New Roman" w:cs="Times New Roman"/>
          <w:b/>
          <w:sz w:val="28"/>
          <w:szCs w:val="28"/>
        </w:rPr>
        <w:t>Material</w:t>
      </w:r>
    </w:p>
    <w:p w14:paraId="62E73F59" w14:textId="77777777" w:rsidR="00700CBF" w:rsidRPr="001F7C6A" w:rsidRDefault="00700CBF" w:rsidP="00700CBF">
      <w:pPr>
        <w:rPr>
          <w:rFonts w:ascii="Times New Roman" w:hAnsi="Times New Roman" w:cs="Times New Roman"/>
          <w:sz w:val="28"/>
          <w:szCs w:val="28"/>
        </w:rPr>
      </w:pPr>
    </w:p>
    <w:p w14:paraId="5C7628D3" w14:textId="77777777" w:rsidR="00700CBF" w:rsidRDefault="00700CBF" w:rsidP="00700CBF">
      <w:pPr>
        <w:jc w:val="both"/>
        <w:rPr>
          <w:rFonts w:ascii="Times New Roman" w:hAnsi="Times New Roman" w:cs="Times New Roman"/>
          <w:b/>
          <w:sz w:val="28"/>
          <w:szCs w:val="28"/>
        </w:rPr>
      </w:pPr>
      <w:r>
        <w:rPr>
          <w:rFonts w:ascii="Times New Roman" w:hAnsi="Times New Roman" w:cs="Times New Roman"/>
          <w:b/>
          <w:sz w:val="28"/>
          <w:szCs w:val="28"/>
        </w:rPr>
        <w:t xml:space="preserve">Bicarbonate Reduction with Semiconductor Photocatalysts: Study of Effect of Positive Hole scavenger </w:t>
      </w:r>
    </w:p>
    <w:p w14:paraId="3C090B48" w14:textId="77777777" w:rsidR="00700CBF" w:rsidRPr="001F7C6A" w:rsidRDefault="00700CBF" w:rsidP="00700CBF">
      <w:pPr>
        <w:rPr>
          <w:rFonts w:ascii="Times New Roman" w:hAnsi="Times New Roman" w:cs="Times New Roman"/>
          <w:sz w:val="28"/>
          <w:szCs w:val="28"/>
        </w:rPr>
      </w:pPr>
    </w:p>
    <w:p w14:paraId="4202A0D3" w14:textId="77777777" w:rsidR="00700CBF" w:rsidRDefault="00700CBF" w:rsidP="00700CBF">
      <w:pPr>
        <w:rPr>
          <w:rFonts w:ascii="Times New Roman" w:hAnsi="Times New Roman" w:cs="Times New Roman"/>
        </w:rPr>
      </w:pPr>
      <w:r>
        <w:rPr>
          <w:rFonts w:ascii="Times New Roman" w:hAnsi="Times New Roman" w:cs="Times New Roman"/>
        </w:rPr>
        <w:t>Hanqing Pan, Michael D. Heagy*</w:t>
      </w:r>
    </w:p>
    <w:p w14:paraId="79E0860E" w14:textId="77777777" w:rsidR="00700CBF" w:rsidRDefault="00700CBF" w:rsidP="00700CBF">
      <w:pPr>
        <w:rPr>
          <w:rFonts w:ascii="Times New Roman" w:hAnsi="Times New Roman" w:cs="Times New Roman"/>
        </w:rPr>
      </w:pPr>
    </w:p>
    <w:p w14:paraId="3583CB43" w14:textId="51D1456B" w:rsidR="00700CBF" w:rsidRDefault="00700CBF" w:rsidP="00700CBF">
      <w:pPr>
        <w:spacing w:after="200"/>
        <w:jc w:val="both"/>
        <w:rPr>
          <w:rFonts w:ascii="Times New Roman" w:hAnsi="Times New Roman" w:cs="Times New Roman"/>
          <w:lang w:eastAsia="zh-CN"/>
        </w:rPr>
      </w:pPr>
      <w:r w:rsidRPr="003B5918">
        <w:rPr>
          <w:rFonts w:ascii="Times New Roman" w:hAnsi="Times New Roman" w:cs="Times New Roman"/>
          <w:lang w:eastAsia="zh-CN"/>
        </w:rPr>
        <w:t>Department of Chemistry, New Mexico Institute of Mining and Technology</w:t>
      </w:r>
      <w:r w:rsidR="007D098E">
        <w:rPr>
          <w:rFonts w:ascii="Times New Roman" w:hAnsi="Times New Roman" w:cs="Times New Roman"/>
          <w:lang w:eastAsia="zh-CN"/>
        </w:rPr>
        <w:t>, 801 Leroy Place, Socorro, NM 87801, USA</w:t>
      </w:r>
    </w:p>
    <w:p w14:paraId="1C198CB4" w14:textId="77777777" w:rsidR="00700CBF" w:rsidRDefault="00700CBF" w:rsidP="00700CBF">
      <w:pPr>
        <w:rPr>
          <w:rFonts w:ascii="Times New Roman" w:hAnsi="Times New Roman" w:cs="Times New Roman"/>
        </w:rPr>
      </w:pPr>
      <w:r>
        <w:rPr>
          <w:rFonts w:ascii="Times New Roman" w:hAnsi="Times New Roman" w:cs="Times New Roman"/>
        </w:rPr>
        <w:t xml:space="preserve">e-mail: </w:t>
      </w:r>
      <w:hyperlink r:id="rId6" w:history="1">
        <w:r w:rsidRPr="00571290">
          <w:rPr>
            <w:rStyle w:val="Hyperlink"/>
            <w:rFonts w:ascii="Times New Roman" w:hAnsi="Times New Roman" w:cs="Times New Roman"/>
          </w:rPr>
          <w:t>michael.heagy@nmt.edu*</w:t>
        </w:r>
      </w:hyperlink>
    </w:p>
    <w:p w14:paraId="1B37942F" w14:textId="77777777" w:rsidR="00700CBF" w:rsidRDefault="00700CBF" w:rsidP="00700CBF">
      <w:pPr>
        <w:rPr>
          <w:rFonts w:ascii="Times New Roman" w:hAnsi="Times New Roman" w:cs="Times New Roman"/>
        </w:rPr>
      </w:pPr>
    </w:p>
    <w:p w14:paraId="3E3C8ACB" w14:textId="77777777" w:rsidR="00700CBF" w:rsidRDefault="00700CBF" w:rsidP="00700CBF">
      <w:pPr>
        <w:rPr>
          <w:rFonts w:ascii="Times New Roman" w:hAnsi="Times New Roman" w:cs="Times New Roman"/>
        </w:rPr>
      </w:pPr>
    </w:p>
    <w:p w14:paraId="33A55EAB" w14:textId="77777777" w:rsidR="00700CBF" w:rsidRDefault="00700CBF" w:rsidP="006B15B0">
      <w:pPr>
        <w:jc w:val="both"/>
        <w:rPr>
          <w:rFonts w:ascii="Times New Roman" w:hAnsi="Times New Roman" w:cs="Times New Roman"/>
        </w:rPr>
      </w:pPr>
      <w:r>
        <w:rPr>
          <w:rFonts w:ascii="Times New Roman" w:hAnsi="Times New Roman" w:cs="Times New Roman"/>
        </w:rPr>
        <w:t xml:space="preserve">Table of contents </w:t>
      </w:r>
    </w:p>
    <w:p w14:paraId="6A2DA68D" w14:textId="77777777" w:rsidR="00700CBF" w:rsidRDefault="00700CBF" w:rsidP="006B15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45B66A8" w14:textId="77777777" w:rsidR="000D10A9" w:rsidRDefault="000D10A9" w:rsidP="006B15B0">
      <w:pPr>
        <w:spacing w:line="480" w:lineRule="auto"/>
        <w:jc w:val="both"/>
        <w:rPr>
          <w:rFonts w:ascii="Times New Roman" w:hAnsi="Times New Roman" w:cs="Times New Roman"/>
        </w:rPr>
      </w:pPr>
      <w:r>
        <w:rPr>
          <w:rFonts w:ascii="Times New Roman" w:hAnsi="Times New Roman" w:cs="Times New Roman"/>
        </w:rPr>
        <w:t>Experimental procedures………………………………………………………………</w:t>
      </w:r>
      <w:r w:rsidR="005C1C71">
        <w:rPr>
          <w:rFonts w:ascii="Times New Roman" w:hAnsi="Times New Roman" w:cs="Times New Roman"/>
        </w:rPr>
        <w:t>.</w:t>
      </w:r>
      <w:r>
        <w:rPr>
          <w:rFonts w:ascii="Times New Roman" w:hAnsi="Times New Roman" w:cs="Times New Roman"/>
        </w:rPr>
        <w:t>…</w:t>
      </w:r>
      <w:r w:rsidR="005C1C71">
        <w:rPr>
          <w:rFonts w:ascii="Times New Roman" w:hAnsi="Times New Roman" w:cs="Times New Roman"/>
        </w:rPr>
        <w:t>2-3</w:t>
      </w:r>
    </w:p>
    <w:p w14:paraId="717E2966" w14:textId="77777777" w:rsidR="00700CBF" w:rsidRDefault="00700CBF" w:rsidP="006B15B0">
      <w:pPr>
        <w:spacing w:line="480" w:lineRule="auto"/>
        <w:jc w:val="both"/>
        <w:rPr>
          <w:rFonts w:ascii="Times New Roman" w:hAnsi="Times New Roman" w:cs="Times New Roman"/>
        </w:rPr>
      </w:pPr>
      <w:r>
        <w:rPr>
          <w:rFonts w:ascii="Times New Roman" w:hAnsi="Times New Roman" w:cs="Times New Roman"/>
        </w:rPr>
        <w:t xml:space="preserve">Figure S1. </w:t>
      </w:r>
      <w:r w:rsidR="00F31B0F">
        <w:rPr>
          <w:rFonts w:ascii="Times New Roman" w:hAnsi="Times New Roman" w:cs="Times New Roman"/>
        </w:rPr>
        <w:t>Band gap energies of TiO</w:t>
      </w:r>
      <w:r w:rsidR="00F31B0F" w:rsidRPr="00BC3907">
        <w:rPr>
          <w:rFonts w:ascii="Times New Roman" w:hAnsi="Times New Roman" w:cs="Times New Roman"/>
          <w:vertAlign w:val="subscript"/>
        </w:rPr>
        <w:t>2</w:t>
      </w:r>
      <w:r w:rsidR="00F31B0F">
        <w:rPr>
          <w:rFonts w:ascii="Times New Roman" w:hAnsi="Times New Roman" w:cs="Times New Roman"/>
        </w:rPr>
        <w:t xml:space="preserve"> and Cu</w:t>
      </w:r>
      <w:r w:rsidR="00F31B0F" w:rsidRPr="00BC3907">
        <w:rPr>
          <w:rFonts w:ascii="Times New Roman" w:hAnsi="Times New Roman" w:cs="Times New Roman"/>
          <w:vertAlign w:val="subscript"/>
        </w:rPr>
        <w:t>2</w:t>
      </w:r>
      <w:r w:rsidR="00F31B0F">
        <w:rPr>
          <w:rFonts w:ascii="Times New Roman" w:hAnsi="Times New Roman" w:cs="Times New Roman"/>
        </w:rPr>
        <w:t>O……</w:t>
      </w:r>
      <w:proofErr w:type="gramStart"/>
      <w:r w:rsidR="00F31B0F">
        <w:rPr>
          <w:rFonts w:ascii="Times New Roman" w:hAnsi="Times New Roman" w:cs="Times New Roman"/>
        </w:rPr>
        <w:t>…..</w:t>
      </w:r>
      <w:proofErr w:type="gramEnd"/>
      <w:r>
        <w:rPr>
          <w:rFonts w:ascii="Times New Roman" w:hAnsi="Times New Roman" w:cs="Times New Roman"/>
        </w:rPr>
        <w:t>……………………………</w:t>
      </w:r>
      <w:r w:rsidR="005C1C71">
        <w:rPr>
          <w:rFonts w:ascii="Times New Roman" w:hAnsi="Times New Roman" w:cs="Times New Roman"/>
        </w:rPr>
        <w:t>.</w:t>
      </w:r>
      <w:r>
        <w:rPr>
          <w:rFonts w:ascii="Times New Roman" w:hAnsi="Times New Roman" w:cs="Times New Roman"/>
        </w:rPr>
        <w:t>….</w:t>
      </w:r>
      <w:r w:rsidR="005C1C71">
        <w:rPr>
          <w:rFonts w:ascii="Times New Roman" w:hAnsi="Times New Roman" w:cs="Times New Roman"/>
        </w:rPr>
        <w:t>3</w:t>
      </w:r>
    </w:p>
    <w:p w14:paraId="10071D54" w14:textId="77777777" w:rsidR="00700CBF" w:rsidRDefault="00700CBF" w:rsidP="006B15B0">
      <w:pPr>
        <w:spacing w:line="480" w:lineRule="auto"/>
        <w:jc w:val="both"/>
        <w:rPr>
          <w:rFonts w:ascii="Times New Roman" w:hAnsi="Times New Roman" w:cs="Times New Roman"/>
        </w:rPr>
      </w:pPr>
      <w:r>
        <w:rPr>
          <w:rFonts w:ascii="Times New Roman" w:hAnsi="Times New Roman" w:cs="Times New Roman"/>
        </w:rPr>
        <w:t xml:space="preserve">Figure S2. </w:t>
      </w:r>
      <w:r w:rsidR="00F31B0F">
        <w:rPr>
          <w:rFonts w:ascii="Times New Roman" w:hAnsi="Times New Roman" w:cs="Times New Roman"/>
        </w:rPr>
        <w:t>SEM images of Cu</w:t>
      </w:r>
      <w:r w:rsidR="00F31B0F" w:rsidRPr="00AB3BD2">
        <w:rPr>
          <w:rFonts w:ascii="Times New Roman" w:hAnsi="Times New Roman" w:cs="Times New Roman"/>
          <w:vertAlign w:val="subscript"/>
        </w:rPr>
        <w:t>2</w:t>
      </w:r>
      <w:r w:rsidR="00F31B0F">
        <w:rPr>
          <w:rFonts w:ascii="Times New Roman" w:hAnsi="Times New Roman" w:cs="Times New Roman"/>
        </w:rPr>
        <w:t>O and TiO</w:t>
      </w:r>
      <w:r w:rsidR="00F31B0F" w:rsidRPr="00AB3BD2">
        <w:rPr>
          <w:rFonts w:ascii="Times New Roman" w:hAnsi="Times New Roman" w:cs="Times New Roman"/>
          <w:vertAlign w:val="subscript"/>
        </w:rPr>
        <w:t>2</w:t>
      </w:r>
      <w:r w:rsidR="00F31B0F">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sidR="005C1C71">
        <w:rPr>
          <w:rFonts w:ascii="Times New Roman" w:hAnsi="Times New Roman" w:cs="Times New Roman"/>
        </w:rPr>
        <w:t>3</w:t>
      </w:r>
    </w:p>
    <w:p w14:paraId="7BFCC8F3" w14:textId="77777777" w:rsidR="00700CBF" w:rsidRDefault="00700CBF" w:rsidP="006B15B0">
      <w:pPr>
        <w:jc w:val="both"/>
        <w:rPr>
          <w:rFonts w:ascii="Times New Roman" w:hAnsi="Times New Roman" w:cs="Times New Roman"/>
        </w:rPr>
      </w:pPr>
      <w:r>
        <w:rPr>
          <w:rFonts w:ascii="Times New Roman" w:hAnsi="Times New Roman" w:cs="Times New Roman"/>
        </w:rPr>
        <w:t xml:space="preserve">Figure S3. </w:t>
      </w:r>
      <w:r w:rsidR="00F31B0F">
        <w:rPr>
          <w:rFonts w:ascii="Times New Roman" w:hAnsi="Times New Roman" w:cs="Times New Roman"/>
        </w:rPr>
        <w:t>Diffuse reflectance spectra of TiO</w:t>
      </w:r>
      <w:r w:rsidR="00F31B0F" w:rsidRPr="00082114">
        <w:rPr>
          <w:rFonts w:ascii="Times New Roman" w:hAnsi="Times New Roman" w:cs="Times New Roman"/>
          <w:vertAlign w:val="subscript"/>
        </w:rPr>
        <w:t>2</w:t>
      </w:r>
      <w:r w:rsidR="00F31B0F">
        <w:rPr>
          <w:rFonts w:ascii="Times New Roman" w:hAnsi="Times New Roman" w:cs="Times New Roman"/>
        </w:rPr>
        <w:t xml:space="preserve"> and Cu</w:t>
      </w:r>
      <w:r w:rsidR="00F31B0F" w:rsidRPr="00082114">
        <w:rPr>
          <w:rFonts w:ascii="Times New Roman" w:hAnsi="Times New Roman" w:cs="Times New Roman"/>
          <w:vertAlign w:val="subscript"/>
        </w:rPr>
        <w:t>2</w:t>
      </w:r>
      <w:r w:rsidR="00F31B0F">
        <w:rPr>
          <w:rFonts w:ascii="Times New Roman" w:hAnsi="Times New Roman" w:cs="Times New Roman"/>
        </w:rPr>
        <w:t xml:space="preserve">O, and </w:t>
      </w:r>
      <w:proofErr w:type="spellStart"/>
      <w:r w:rsidR="00F31B0F">
        <w:rPr>
          <w:rFonts w:ascii="Times New Roman" w:hAnsi="Times New Roman" w:cs="Times New Roman"/>
        </w:rPr>
        <w:t>Kubelka</w:t>
      </w:r>
      <w:proofErr w:type="spellEnd"/>
      <w:r w:rsidR="00F31B0F">
        <w:rPr>
          <w:rFonts w:ascii="Times New Roman" w:hAnsi="Times New Roman" w:cs="Times New Roman"/>
        </w:rPr>
        <w:t>-Munk treated plots……………………………………………</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sidR="005C1C71">
        <w:rPr>
          <w:rFonts w:ascii="Times New Roman" w:hAnsi="Times New Roman" w:cs="Times New Roman"/>
        </w:rPr>
        <w:t>4</w:t>
      </w:r>
    </w:p>
    <w:p w14:paraId="2BB5FD47" w14:textId="77777777" w:rsidR="003B0447" w:rsidRDefault="003B0447" w:rsidP="006B15B0">
      <w:pPr>
        <w:jc w:val="both"/>
        <w:rPr>
          <w:rFonts w:ascii="Times New Roman" w:hAnsi="Times New Roman" w:cs="Times New Roman"/>
        </w:rPr>
      </w:pPr>
    </w:p>
    <w:p w14:paraId="7FC24EF3" w14:textId="77777777" w:rsidR="000D10A9" w:rsidRDefault="000D10A9" w:rsidP="006B15B0">
      <w:pPr>
        <w:jc w:val="both"/>
        <w:rPr>
          <w:rFonts w:ascii="Times New Roman" w:hAnsi="Times New Roman" w:cs="Times New Roman"/>
        </w:rPr>
      </w:pPr>
      <w:r>
        <w:rPr>
          <w:rFonts w:ascii="Times New Roman" w:hAnsi="Times New Roman" w:cs="Times New Roman"/>
        </w:rPr>
        <w:t>Figure S4.</w:t>
      </w:r>
      <w:r w:rsidR="003B0447">
        <w:rPr>
          <w:rFonts w:ascii="Times New Roman" w:hAnsi="Times New Roman" w:cs="Times New Roman"/>
        </w:rPr>
        <w:t xml:space="preserve"> </w:t>
      </w:r>
      <w:r>
        <w:rPr>
          <w:rFonts w:ascii="Times New Roman" w:hAnsi="Times New Roman" w:cs="Times New Roman"/>
        </w:rPr>
        <w:t xml:space="preserve"> </w:t>
      </w:r>
      <w:r w:rsidR="003B0447">
        <w:rPr>
          <w:rFonts w:ascii="Times New Roman" w:hAnsi="Times New Roman" w:cs="Times New Roman"/>
        </w:rPr>
        <w:t>Cyclic voltammogram of Cu</w:t>
      </w:r>
      <w:r w:rsidR="003B0447" w:rsidRPr="00252DE5">
        <w:rPr>
          <w:rFonts w:ascii="Times New Roman" w:hAnsi="Times New Roman" w:cs="Times New Roman"/>
          <w:vertAlign w:val="subscript"/>
        </w:rPr>
        <w:t>2</w:t>
      </w:r>
      <w:r w:rsidR="003B0447">
        <w:rPr>
          <w:rFonts w:ascii="Times New Roman" w:hAnsi="Times New Roman" w:cs="Times New Roman"/>
        </w:rPr>
        <w:t>O and TiO</w:t>
      </w:r>
      <w:r w:rsidR="003B0447" w:rsidRPr="00252DE5">
        <w:rPr>
          <w:rFonts w:ascii="Times New Roman" w:hAnsi="Times New Roman" w:cs="Times New Roman"/>
          <w:vertAlign w:val="subscript"/>
        </w:rPr>
        <w:t>2</w:t>
      </w:r>
      <w:r w:rsidR="003B0447">
        <w:rPr>
          <w:rFonts w:ascii="Times New Roman" w:hAnsi="Times New Roman" w:cs="Times New Roman"/>
        </w:rPr>
        <w:t>………………………………</w:t>
      </w:r>
      <w:proofErr w:type="gramStart"/>
      <w:r w:rsidR="003B0447">
        <w:rPr>
          <w:rFonts w:ascii="Times New Roman" w:hAnsi="Times New Roman" w:cs="Times New Roman"/>
        </w:rPr>
        <w:t>…</w:t>
      </w:r>
      <w:r w:rsidR="005C1C71">
        <w:rPr>
          <w:rFonts w:ascii="Times New Roman" w:hAnsi="Times New Roman" w:cs="Times New Roman"/>
        </w:rPr>
        <w:t>..</w:t>
      </w:r>
      <w:proofErr w:type="gramEnd"/>
      <w:r w:rsidR="003B0447">
        <w:rPr>
          <w:rFonts w:ascii="Times New Roman" w:hAnsi="Times New Roman" w:cs="Times New Roman"/>
        </w:rPr>
        <w:t>…</w:t>
      </w:r>
      <w:r w:rsidR="005C1C71">
        <w:rPr>
          <w:rFonts w:ascii="Times New Roman" w:hAnsi="Times New Roman" w:cs="Times New Roman"/>
        </w:rPr>
        <w:t>4</w:t>
      </w:r>
    </w:p>
    <w:p w14:paraId="5C5BCF64" w14:textId="77777777" w:rsidR="003B0447" w:rsidRDefault="003B0447" w:rsidP="006B15B0">
      <w:pPr>
        <w:jc w:val="both"/>
        <w:rPr>
          <w:rFonts w:ascii="Times New Roman" w:hAnsi="Times New Roman" w:cs="Times New Roman"/>
        </w:rPr>
      </w:pPr>
    </w:p>
    <w:p w14:paraId="25AD777E" w14:textId="3DF26F21" w:rsidR="00B01542" w:rsidRDefault="000D10A9" w:rsidP="006B15B0">
      <w:pPr>
        <w:jc w:val="both"/>
        <w:rPr>
          <w:rFonts w:ascii="Times New Roman" w:hAnsi="Times New Roman" w:cs="Times New Roman"/>
        </w:rPr>
      </w:pPr>
      <w:r>
        <w:rPr>
          <w:rFonts w:ascii="Times New Roman" w:hAnsi="Times New Roman" w:cs="Times New Roman"/>
        </w:rPr>
        <w:t xml:space="preserve">Figure S5. </w:t>
      </w:r>
      <w:r w:rsidR="003B0447">
        <w:rPr>
          <w:rFonts w:ascii="Times New Roman" w:hAnsi="Times New Roman" w:cs="Times New Roman"/>
        </w:rPr>
        <w:t>Formate production in terms of concentration and productivity with TiO</w:t>
      </w:r>
      <w:r w:rsidR="003B0447" w:rsidRPr="00A464D4">
        <w:rPr>
          <w:rFonts w:ascii="Times New Roman" w:hAnsi="Times New Roman" w:cs="Times New Roman"/>
          <w:vertAlign w:val="subscript"/>
        </w:rPr>
        <w:t>2</w:t>
      </w:r>
      <w:r w:rsidR="003B0447">
        <w:rPr>
          <w:rFonts w:ascii="Times New Roman" w:hAnsi="Times New Roman" w:cs="Times New Roman"/>
        </w:rPr>
        <w:t xml:space="preserve"> and Cu</w:t>
      </w:r>
      <w:r w:rsidR="003B0447" w:rsidRPr="00A464D4">
        <w:rPr>
          <w:rFonts w:ascii="Times New Roman" w:hAnsi="Times New Roman" w:cs="Times New Roman"/>
          <w:vertAlign w:val="subscript"/>
        </w:rPr>
        <w:t>2</w:t>
      </w:r>
      <w:r w:rsidR="003B0447">
        <w:rPr>
          <w:rFonts w:ascii="Times New Roman" w:hAnsi="Times New Roman" w:cs="Times New Roman"/>
        </w:rPr>
        <w:t>O with no hole scavenger present………………………………………………………</w:t>
      </w:r>
      <w:r w:rsidR="005C1C71">
        <w:rPr>
          <w:rFonts w:ascii="Times New Roman" w:hAnsi="Times New Roman" w:cs="Times New Roman"/>
        </w:rPr>
        <w:t>.</w:t>
      </w:r>
      <w:r w:rsidR="003B0447">
        <w:rPr>
          <w:rFonts w:ascii="Times New Roman" w:hAnsi="Times New Roman" w:cs="Times New Roman"/>
        </w:rPr>
        <w:t>……</w:t>
      </w:r>
      <w:r w:rsidR="005C1C71">
        <w:rPr>
          <w:rFonts w:ascii="Times New Roman" w:hAnsi="Times New Roman" w:cs="Times New Roman"/>
        </w:rPr>
        <w:t>5</w:t>
      </w:r>
    </w:p>
    <w:p w14:paraId="52808C6E" w14:textId="77777777" w:rsidR="003B0447" w:rsidRDefault="003B0447" w:rsidP="006B15B0">
      <w:pPr>
        <w:jc w:val="both"/>
        <w:rPr>
          <w:rFonts w:ascii="Times New Roman" w:hAnsi="Times New Roman" w:cs="Times New Roman"/>
        </w:rPr>
      </w:pPr>
    </w:p>
    <w:p w14:paraId="28984223" w14:textId="6C2B6C14" w:rsidR="000D10A9" w:rsidRDefault="000D10A9" w:rsidP="006B15B0">
      <w:pPr>
        <w:spacing w:line="480" w:lineRule="auto"/>
        <w:jc w:val="both"/>
        <w:rPr>
          <w:rFonts w:ascii="Times New Roman" w:hAnsi="Times New Roman" w:cs="Times New Roman"/>
        </w:rPr>
      </w:pPr>
      <w:r>
        <w:rPr>
          <w:rFonts w:ascii="Times New Roman" w:hAnsi="Times New Roman" w:cs="Times New Roman"/>
        </w:rPr>
        <w:t xml:space="preserve">Table S1. </w:t>
      </w:r>
      <w:r w:rsidR="005C1C71">
        <w:rPr>
          <w:rFonts w:ascii="Times New Roman" w:hAnsi="Times New Roman" w:cs="Times New Roman"/>
        </w:rPr>
        <w:t>Semiconductor characterization……</w:t>
      </w:r>
      <w:proofErr w:type="gramStart"/>
      <w:r w:rsidR="005C1C71">
        <w:rPr>
          <w:rFonts w:ascii="Times New Roman" w:hAnsi="Times New Roman" w:cs="Times New Roman"/>
        </w:rPr>
        <w:t>…</w:t>
      </w:r>
      <w:r w:rsidR="003403B1">
        <w:rPr>
          <w:rFonts w:ascii="Times New Roman" w:hAnsi="Times New Roman" w:cs="Times New Roman"/>
        </w:rPr>
        <w:t>..</w:t>
      </w:r>
      <w:proofErr w:type="gramEnd"/>
      <w:r w:rsidR="005C1C71">
        <w:rPr>
          <w:rFonts w:ascii="Times New Roman" w:hAnsi="Times New Roman" w:cs="Times New Roman"/>
        </w:rPr>
        <w:t>…………………………………</w:t>
      </w:r>
      <w:r w:rsidR="00724392">
        <w:rPr>
          <w:rFonts w:ascii="Times New Roman" w:hAnsi="Times New Roman" w:cs="Times New Roman"/>
        </w:rPr>
        <w:t>…</w:t>
      </w:r>
      <w:r w:rsidR="005C1C71">
        <w:rPr>
          <w:rFonts w:ascii="Times New Roman" w:hAnsi="Times New Roman" w:cs="Times New Roman"/>
        </w:rPr>
        <w:t>…..</w:t>
      </w:r>
      <w:r w:rsidR="003748B6">
        <w:rPr>
          <w:rFonts w:ascii="Times New Roman" w:hAnsi="Times New Roman" w:cs="Times New Roman"/>
        </w:rPr>
        <w:t>5</w:t>
      </w:r>
    </w:p>
    <w:p w14:paraId="742DFAF3" w14:textId="5076C06B" w:rsidR="000D10A9" w:rsidRDefault="000D10A9" w:rsidP="006B15B0">
      <w:pPr>
        <w:spacing w:line="480" w:lineRule="auto"/>
        <w:jc w:val="both"/>
        <w:rPr>
          <w:rFonts w:ascii="Times New Roman" w:hAnsi="Times New Roman" w:cs="Times New Roman"/>
        </w:rPr>
      </w:pPr>
      <w:r>
        <w:rPr>
          <w:rFonts w:ascii="Times New Roman" w:hAnsi="Times New Roman" w:cs="Times New Roman"/>
        </w:rPr>
        <w:t xml:space="preserve">Table S2. </w:t>
      </w:r>
      <w:r w:rsidR="005C1C71">
        <w:rPr>
          <w:rFonts w:ascii="Times New Roman" w:hAnsi="Times New Roman" w:cs="Times New Roman"/>
        </w:rPr>
        <w:t>Productivities for Cu</w:t>
      </w:r>
      <w:r w:rsidR="005C1C71" w:rsidRPr="009A7629">
        <w:rPr>
          <w:rFonts w:ascii="Times New Roman" w:hAnsi="Times New Roman" w:cs="Times New Roman"/>
          <w:vertAlign w:val="subscript"/>
        </w:rPr>
        <w:t>2</w:t>
      </w:r>
      <w:r w:rsidR="005C1C71">
        <w:rPr>
          <w:rFonts w:ascii="Times New Roman" w:hAnsi="Times New Roman" w:cs="Times New Roman"/>
        </w:rPr>
        <w:t>O and TiO</w:t>
      </w:r>
      <w:r w:rsidR="005C1C71" w:rsidRPr="009A7629">
        <w:rPr>
          <w:rFonts w:ascii="Times New Roman" w:hAnsi="Times New Roman" w:cs="Times New Roman"/>
          <w:vertAlign w:val="subscript"/>
        </w:rPr>
        <w:t>2</w:t>
      </w:r>
      <w:r w:rsidR="005C1C71">
        <w:rPr>
          <w:rFonts w:ascii="Times New Roman" w:hAnsi="Times New Roman" w:cs="Times New Roman"/>
        </w:rPr>
        <w:t xml:space="preserve"> in different hole scavengers…</w:t>
      </w:r>
      <w:r w:rsidR="003403B1">
        <w:rPr>
          <w:rFonts w:ascii="Times New Roman" w:hAnsi="Times New Roman" w:cs="Times New Roman"/>
        </w:rPr>
        <w:t>...</w:t>
      </w:r>
      <w:r w:rsidR="005C1C71">
        <w:rPr>
          <w:rFonts w:ascii="Times New Roman" w:hAnsi="Times New Roman" w:cs="Times New Roman"/>
        </w:rPr>
        <w:t>……….……</w:t>
      </w:r>
      <w:r w:rsidR="003748B6">
        <w:rPr>
          <w:rFonts w:ascii="Times New Roman" w:hAnsi="Times New Roman" w:cs="Times New Roman"/>
        </w:rPr>
        <w:t>5</w:t>
      </w:r>
    </w:p>
    <w:p w14:paraId="5BE5F4C1" w14:textId="77777777" w:rsidR="003C3607" w:rsidRDefault="003C3607" w:rsidP="0046246D">
      <w:pPr>
        <w:jc w:val="both"/>
        <w:rPr>
          <w:rFonts w:ascii="Times New Roman" w:hAnsi="Times New Roman" w:cs="Times New Roman"/>
        </w:rPr>
      </w:pPr>
    </w:p>
    <w:p w14:paraId="2A236F93" w14:textId="77777777" w:rsidR="003C3607" w:rsidRDefault="003C3607" w:rsidP="0046246D">
      <w:pPr>
        <w:jc w:val="both"/>
        <w:rPr>
          <w:rFonts w:ascii="Times New Roman" w:hAnsi="Times New Roman" w:cs="Times New Roman"/>
          <w:b/>
          <w:sz w:val="28"/>
          <w:szCs w:val="28"/>
        </w:rPr>
      </w:pPr>
    </w:p>
    <w:p w14:paraId="3779B5DA" w14:textId="77777777" w:rsidR="00EB019E" w:rsidRDefault="00EB019E" w:rsidP="0046246D">
      <w:pPr>
        <w:jc w:val="both"/>
        <w:rPr>
          <w:rFonts w:ascii="Times New Roman" w:hAnsi="Times New Roman" w:cs="Times New Roman"/>
          <w:b/>
          <w:sz w:val="28"/>
          <w:szCs w:val="28"/>
        </w:rPr>
      </w:pPr>
    </w:p>
    <w:p w14:paraId="31EE58C0" w14:textId="77777777" w:rsidR="00EB019E" w:rsidRDefault="00EB019E" w:rsidP="0046246D">
      <w:pPr>
        <w:jc w:val="both"/>
        <w:rPr>
          <w:rFonts w:ascii="Times New Roman" w:hAnsi="Times New Roman" w:cs="Times New Roman"/>
          <w:b/>
          <w:sz w:val="28"/>
          <w:szCs w:val="28"/>
        </w:rPr>
      </w:pPr>
    </w:p>
    <w:p w14:paraId="77A7282A" w14:textId="77777777" w:rsidR="00EB019E" w:rsidRDefault="00EB019E" w:rsidP="0046246D">
      <w:pPr>
        <w:jc w:val="both"/>
        <w:rPr>
          <w:rFonts w:ascii="Times New Roman" w:hAnsi="Times New Roman" w:cs="Times New Roman"/>
          <w:b/>
          <w:sz w:val="28"/>
          <w:szCs w:val="28"/>
        </w:rPr>
      </w:pPr>
    </w:p>
    <w:p w14:paraId="01B59FDC" w14:textId="77777777" w:rsidR="00EB019E" w:rsidRDefault="00EB019E" w:rsidP="0046246D">
      <w:pPr>
        <w:jc w:val="both"/>
        <w:rPr>
          <w:rFonts w:ascii="Times New Roman" w:hAnsi="Times New Roman" w:cs="Times New Roman"/>
          <w:b/>
          <w:sz w:val="28"/>
          <w:szCs w:val="28"/>
        </w:rPr>
      </w:pPr>
    </w:p>
    <w:p w14:paraId="4F7CC2F7" w14:textId="77777777" w:rsidR="00EB019E" w:rsidRDefault="00EB019E" w:rsidP="0046246D">
      <w:pPr>
        <w:jc w:val="both"/>
        <w:rPr>
          <w:rFonts w:ascii="Times New Roman" w:hAnsi="Times New Roman" w:cs="Times New Roman"/>
          <w:b/>
          <w:sz w:val="28"/>
          <w:szCs w:val="28"/>
        </w:rPr>
      </w:pPr>
    </w:p>
    <w:p w14:paraId="23B55F4D" w14:textId="77777777" w:rsidR="00EB019E" w:rsidRDefault="00EB019E" w:rsidP="0046246D">
      <w:pPr>
        <w:jc w:val="both"/>
        <w:rPr>
          <w:rFonts w:ascii="Times New Roman" w:hAnsi="Times New Roman" w:cs="Times New Roman"/>
          <w:b/>
          <w:sz w:val="28"/>
          <w:szCs w:val="28"/>
        </w:rPr>
      </w:pPr>
    </w:p>
    <w:p w14:paraId="60F47443" w14:textId="77777777" w:rsidR="00EB019E" w:rsidRDefault="00EB019E" w:rsidP="0046246D">
      <w:pPr>
        <w:jc w:val="both"/>
        <w:rPr>
          <w:rFonts w:ascii="Times New Roman" w:hAnsi="Times New Roman" w:cs="Times New Roman"/>
          <w:b/>
          <w:sz w:val="28"/>
          <w:szCs w:val="28"/>
        </w:rPr>
      </w:pPr>
    </w:p>
    <w:p w14:paraId="7DC42C89" w14:textId="77777777" w:rsidR="00EB019E" w:rsidRDefault="00EB019E" w:rsidP="0046246D">
      <w:pPr>
        <w:jc w:val="both"/>
        <w:rPr>
          <w:rFonts w:ascii="Times New Roman" w:hAnsi="Times New Roman" w:cs="Times New Roman"/>
          <w:b/>
          <w:sz w:val="28"/>
          <w:szCs w:val="28"/>
        </w:rPr>
      </w:pPr>
    </w:p>
    <w:p w14:paraId="54EA5BDD" w14:textId="77777777" w:rsidR="00EB019E" w:rsidRDefault="00EB019E" w:rsidP="0046246D">
      <w:pPr>
        <w:jc w:val="both"/>
        <w:rPr>
          <w:rFonts w:ascii="Times New Roman" w:hAnsi="Times New Roman" w:cs="Times New Roman"/>
          <w:b/>
          <w:sz w:val="28"/>
          <w:szCs w:val="28"/>
        </w:rPr>
      </w:pPr>
    </w:p>
    <w:p w14:paraId="155E3C83" w14:textId="69ED6FE4" w:rsidR="0046246D" w:rsidRPr="002A01B7" w:rsidRDefault="0046246D" w:rsidP="0046246D">
      <w:pPr>
        <w:jc w:val="both"/>
        <w:rPr>
          <w:rFonts w:ascii="Times New Roman" w:hAnsi="Times New Roman" w:cs="Times New Roman"/>
          <w:b/>
          <w:sz w:val="28"/>
          <w:szCs w:val="28"/>
        </w:rPr>
      </w:pPr>
      <w:bookmarkStart w:id="0" w:name="_GoBack"/>
      <w:bookmarkEnd w:id="0"/>
      <w:r w:rsidRPr="002A01B7">
        <w:rPr>
          <w:rFonts w:ascii="Times New Roman" w:hAnsi="Times New Roman" w:cs="Times New Roman"/>
          <w:b/>
          <w:sz w:val="28"/>
          <w:szCs w:val="28"/>
        </w:rPr>
        <w:lastRenderedPageBreak/>
        <w:t xml:space="preserve">Experimental </w:t>
      </w:r>
      <w:r w:rsidR="000D10A9">
        <w:rPr>
          <w:rFonts w:ascii="Times New Roman" w:hAnsi="Times New Roman" w:cs="Times New Roman"/>
          <w:b/>
          <w:sz w:val="28"/>
          <w:szCs w:val="28"/>
        </w:rPr>
        <w:t xml:space="preserve">procedures </w:t>
      </w:r>
    </w:p>
    <w:p w14:paraId="5B44245C" w14:textId="77777777" w:rsidR="0046246D" w:rsidRPr="006C4369" w:rsidRDefault="0046246D" w:rsidP="0046246D">
      <w:pPr>
        <w:jc w:val="both"/>
        <w:rPr>
          <w:rFonts w:ascii="Times New Roman" w:hAnsi="Times New Roman" w:cs="Times New Roman"/>
          <w:u w:val="single"/>
        </w:rPr>
      </w:pPr>
      <w:r w:rsidRPr="006C4369">
        <w:rPr>
          <w:rFonts w:ascii="Times New Roman" w:hAnsi="Times New Roman" w:cs="Times New Roman"/>
          <w:u w:val="single"/>
        </w:rPr>
        <w:t xml:space="preserve">Materials </w:t>
      </w:r>
    </w:p>
    <w:p w14:paraId="6033D528" w14:textId="77777777" w:rsidR="0046246D" w:rsidRDefault="0046246D" w:rsidP="0046246D">
      <w:pPr>
        <w:jc w:val="both"/>
        <w:rPr>
          <w:rFonts w:ascii="Times New Roman" w:hAnsi="Times New Roman" w:cs="Times New Roman"/>
        </w:rPr>
      </w:pPr>
      <w:r>
        <w:rPr>
          <w:rFonts w:ascii="Times New Roman" w:hAnsi="Times New Roman" w:cs="Times New Roman"/>
        </w:rPr>
        <w:t>Nano-particulate TiO</w:t>
      </w:r>
      <w:r w:rsidRPr="00572346">
        <w:rPr>
          <w:rFonts w:ascii="Times New Roman" w:hAnsi="Times New Roman" w:cs="Times New Roman"/>
          <w:vertAlign w:val="subscript"/>
        </w:rPr>
        <w:t>2</w:t>
      </w:r>
      <w:r>
        <w:rPr>
          <w:rFonts w:ascii="Times New Roman" w:hAnsi="Times New Roman" w:cs="Times New Roman"/>
        </w:rPr>
        <w:t xml:space="preserve"> and Cu</w:t>
      </w:r>
      <w:r w:rsidRPr="00572346">
        <w:rPr>
          <w:rFonts w:ascii="Times New Roman" w:hAnsi="Times New Roman" w:cs="Times New Roman"/>
          <w:vertAlign w:val="subscript"/>
        </w:rPr>
        <w:t>2</w:t>
      </w:r>
      <w:r>
        <w:rPr>
          <w:rFonts w:ascii="Times New Roman" w:hAnsi="Times New Roman" w:cs="Times New Roman"/>
        </w:rPr>
        <w:t xml:space="preserve">O, 2-propanol, glycerol, and sodium sulfite were purchased from Sigma-Aldrich. Ethylene glycol, EDTA, and TEA were purchased from Fisher. All chemicals were used without further purification. </w:t>
      </w:r>
    </w:p>
    <w:p w14:paraId="3F854369" w14:textId="77777777" w:rsidR="0046246D" w:rsidRPr="00DE36A5" w:rsidRDefault="0046246D" w:rsidP="0046246D">
      <w:pPr>
        <w:jc w:val="both"/>
        <w:rPr>
          <w:rFonts w:ascii="Times New Roman" w:hAnsi="Times New Roman" w:cs="Times New Roman"/>
        </w:rPr>
      </w:pPr>
    </w:p>
    <w:p w14:paraId="7677F1DA" w14:textId="77777777" w:rsidR="0046246D" w:rsidRDefault="0046246D" w:rsidP="0046246D">
      <w:pPr>
        <w:jc w:val="both"/>
        <w:rPr>
          <w:rFonts w:ascii="Times New Roman" w:hAnsi="Times New Roman" w:cs="Times New Roman"/>
        </w:rPr>
      </w:pPr>
      <w:r>
        <w:rPr>
          <w:rFonts w:ascii="Times New Roman" w:hAnsi="Times New Roman" w:cs="Times New Roman"/>
          <w:b/>
        </w:rPr>
        <w:t xml:space="preserve">UV-Vis spectroscopy. </w:t>
      </w:r>
      <w:r>
        <w:rPr>
          <w:rFonts w:ascii="Times New Roman" w:hAnsi="Times New Roman" w:cs="Times New Roman"/>
        </w:rPr>
        <w:t>UV-Vis spectra of the particles were obtained using a Varian Cary 50 Scan UV-Vis spectrophotometer, with wavelength ranging from 800 to 200 nm. Cu</w:t>
      </w:r>
      <w:r w:rsidRPr="001A6859">
        <w:rPr>
          <w:rFonts w:ascii="Times New Roman" w:hAnsi="Times New Roman" w:cs="Times New Roman"/>
          <w:vertAlign w:val="subscript"/>
        </w:rPr>
        <w:t>2</w:t>
      </w:r>
      <w:r>
        <w:rPr>
          <w:rFonts w:ascii="Times New Roman" w:hAnsi="Times New Roman" w:cs="Times New Roman"/>
        </w:rPr>
        <w:t>O and TiO</w:t>
      </w:r>
      <w:r w:rsidRPr="0061268D">
        <w:rPr>
          <w:rFonts w:ascii="Times New Roman" w:hAnsi="Times New Roman" w:cs="Times New Roman"/>
          <w:vertAlign w:val="subscript"/>
        </w:rPr>
        <w:t>2</w:t>
      </w:r>
      <w:r>
        <w:rPr>
          <w:rFonts w:ascii="Times New Roman" w:hAnsi="Times New Roman" w:cs="Times New Roman"/>
        </w:rPr>
        <w:t xml:space="preserve"> samples were dispersed in milli-Q water. </w:t>
      </w:r>
    </w:p>
    <w:p w14:paraId="728628CF" w14:textId="77777777" w:rsidR="0046246D" w:rsidRPr="001A6859" w:rsidRDefault="0046246D" w:rsidP="0046246D">
      <w:pPr>
        <w:jc w:val="both"/>
        <w:rPr>
          <w:rFonts w:ascii="Times New Roman" w:hAnsi="Times New Roman" w:cs="Times New Roman"/>
        </w:rPr>
      </w:pPr>
    </w:p>
    <w:p w14:paraId="1FD88DB4" w14:textId="77777777" w:rsidR="0046246D" w:rsidRDefault="0046246D" w:rsidP="0046246D">
      <w:pPr>
        <w:jc w:val="both"/>
        <w:rPr>
          <w:rFonts w:ascii="Times New Roman" w:hAnsi="Times New Roman" w:cs="Times New Roman"/>
        </w:rPr>
      </w:pPr>
      <w:r w:rsidRPr="00672D04">
        <w:rPr>
          <w:rFonts w:ascii="Times New Roman" w:hAnsi="Times New Roman" w:cs="Times New Roman"/>
          <w:b/>
        </w:rPr>
        <w:t xml:space="preserve">Size, </w:t>
      </w:r>
      <w:r>
        <w:rPr>
          <w:rFonts w:ascii="Times New Roman" w:hAnsi="Times New Roman" w:cs="Times New Roman"/>
          <w:b/>
        </w:rPr>
        <w:t>crystal structure, and s</w:t>
      </w:r>
      <w:r w:rsidRPr="00672D04">
        <w:rPr>
          <w:rFonts w:ascii="Times New Roman" w:hAnsi="Times New Roman" w:cs="Times New Roman"/>
          <w:b/>
        </w:rPr>
        <w:t>urface area determination</w:t>
      </w:r>
      <w:r>
        <w:rPr>
          <w:rFonts w:ascii="Times New Roman" w:hAnsi="Times New Roman" w:cs="Times New Roman"/>
        </w:rPr>
        <w:t xml:space="preserve">. Dynamic Light Scattering (DLS) was performed using a </w:t>
      </w:r>
      <w:proofErr w:type="spellStart"/>
      <w:r>
        <w:rPr>
          <w:rFonts w:ascii="Times New Roman" w:hAnsi="Times New Roman" w:cs="Times New Roman"/>
        </w:rPr>
        <w:t>Microtrac</w:t>
      </w:r>
      <w:proofErr w:type="spellEnd"/>
      <w:r>
        <w:rPr>
          <w:rFonts w:ascii="Times New Roman" w:hAnsi="Times New Roman" w:cs="Times New Roman"/>
        </w:rPr>
        <w:t xml:space="preserve"> </w:t>
      </w:r>
      <w:proofErr w:type="spellStart"/>
      <w:r>
        <w:rPr>
          <w:rFonts w:ascii="Times New Roman" w:hAnsi="Times New Roman" w:cs="Times New Roman"/>
        </w:rPr>
        <w:t>Zetatrac</w:t>
      </w:r>
      <w:proofErr w:type="spellEnd"/>
      <w:r>
        <w:rPr>
          <w:rFonts w:ascii="Times New Roman" w:hAnsi="Times New Roman" w:cs="Times New Roman"/>
        </w:rPr>
        <w:t xml:space="preserve"> Particle Size Analyzer to obtain the hydrodynamic radius of the particles. Crystal structure information was obtained using a </w:t>
      </w:r>
      <w:proofErr w:type="spellStart"/>
      <w:r>
        <w:rPr>
          <w:rFonts w:ascii="Times New Roman" w:hAnsi="Times New Roman" w:cs="Times New Roman"/>
        </w:rPr>
        <w:t>X’Pert</w:t>
      </w:r>
      <w:proofErr w:type="spellEnd"/>
      <w:r>
        <w:rPr>
          <w:rFonts w:ascii="Times New Roman" w:hAnsi="Times New Roman" w:cs="Times New Roman"/>
        </w:rPr>
        <w:t xml:space="preserve"> Pro X-ray diffraction (XRD) instrument. BET surface area measurements were performed on a Micromeritics ASAP 2020 Surface Area and Porosity Analyzer, and scanning electron microscopy (SEM) was performed using a Hitachi S-4100 scanning electron microscope. </w:t>
      </w:r>
    </w:p>
    <w:p w14:paraId="51C0F9A6" w14:textId="77777777" w:rsidR="0046246D" w:rsidRDefault="0046246D" w:rsidP="0046246D">
      <w:pPr>
        <w:jc w:val="both"/>
        <w:rPr>
          <w:rFonts w:ascii="Times New Roman" w:hAnsi="Times New Roman" w:cs="Times New Roman"/>
        </w:rPr>
      </w:pPr>
    </w:p>
    <w:p w14:paraId="7336252D" w14:textId="77777777" w:rsidR="0046246D" w:rsidRDefault="0046246D" w:rsidP="0046246D">
      <w:pPr>
        <w:jc w:val="both"/>
        <w:rPr>
          <w:rFonts w:ascii="Times New Roman" w:hAnsi="Times New Roman" w:cs="Times New Roman"/>
        </w:rPr>
      </w:pPr>
      <w:r w:rsidRPr="00932EE5">
        <w:rPr>
          <w:rFonts w:ascii="Times New Roman" w:hAnsi="Times New Roman" w:cs="Times New Roman"/>
          <w:b/>
        </w:rPr>
        <w:t>Diffuse reflectance spectroscopy (DRS)</w:t>
      </w:r>
      <w:r>
        <w:rPr>
          <w:rFonts w:ascii="Times New Roman" w:hAnsi="Times New Roman" w:cs="Times New Roman"/>
        </w:rPr>
        <w:t>. The dry Cu</w:t>
      </w:r>
      <w:r w:rsidRPr="00516A62">
        <w:rPr>
          <w:rFonts w:ascii="Times New Roman" w:hAnsi="Times New Roman" w:cs="Times New Roman"/>
          <w:vertAlign w:val="subscript"/>
        </w:rPr>
        <w:t>2</w:t>
      </w:r>
      <w:r>
        <w:rPr>
          <w:rFonts w:ascii="Times New Roman" w:hAnsi="Times New Roman" w:cs="Times New Roman"/>
        </w:rPr>
        <w:t>O and TiO</w:t>
      </w:r>
      <w:r w:rsidRPr="00911953">
        <w:rPr>
          <w:rFonts w:ascii="Times New Roman" w:hAnsi="Times New Roman" w:cs="Times New Roman"/>
          <w:vertAlign w:val="subscript"/>
        </w:rPr>
        <w:t>2</w:t>
      </w:r>
      <w:r>
        <w:rPr>
          <w:rFonts w:ascii="Times New Roman" w:hAnsi="Times New Roman" w:cs="Times New Roman"/>
        </w:rPr>
        <w:t xml:space="preserve"> powders were analyzed by a Thermo Scientific Evolution 260 Bio UV-Vis spectrophotometer with an integrated sphere in order to obtain its band gap. To prepare the sample, 5% of semiconductor and 95% </w:t>
      </w:r>
      <w:proofErr w:type="spellStart"/>
      <w:r>
        <w:rPr>
          <w:rFonts w:ascii="Times New Roman" w:hAnsi="Times New Roman" w:cs="Times New Roman"/>
        </w:rPr>
        <w:t>KBr</w:t>
      </w:r>
      <w:proofErr w:type="spellEnd"/>
      <w:r>
        <w:rPr>
          <w:rFonts w:ascii="Times New Roman" w:hAnsi="Times New Roman" w:cs="Times New Roman"/>
        </w:rPr>
        <w:t xml:space="preserve"> pellets were mixed and ground using a mortar and pestle. Wavelengths were scanned from 800 to 200 nm. The resulting absorbance spectra were treated to a </w:t>
      </w:r>
      <w:proofErr w:type="spellStart"/>
      <w:r>
        <w:rPr>
          <w:rFonts w:ascii="Times New Roman" w:hAnsi="Times New Roman" w:cs="Times New Roman"/>
        </w:rPr>
        <w:t>Kubelka</w:t>
      </w:r>
      <w:proofErr w:type="spellEnd"/>
      <w:r>
        <w:rPr>
          <w:rFonts w:ascii="Times New Roman" w:hAnsi="Times New Roman" w:cs="Times New Roman"/>
        </w:rPr>
        <w:t xml:space="preserve">-Munk function plotted against the energy of the incident light to obtain band gap information. </w:t>
      </w:r>
    </w:p>
    <w:p w14:paraId="7F3D214F" w14:textId="77777777" w:rsidR="0046246D" w:rsidRPr="00E53A42" w:rsidRDefault="0046246D" w:rsidP="0046246D">
      <w:pPr>
        <w:jc w:val="both"/>
        <w:rPr>
          <w:rFonts w:ascii="Times New Roman" w:hAnsi="Times New Roman" w:cs="Times New Roman"/>
        </w:rPr>
      </w:pPr>
    </w:p>
    <w:p w14:paraId="6733DE8A" w14:textId="77777777" w:rsidR="0046246D" w:rsidRDefault="0046246D" w:rsidP="0046246D">
      <w:pPr>
        <w:jc w:val="both"/>
        <w:rPr>
          <w:rFonts w:ascii="Times New Roman" w:hAnsi="Times New Roman" w:cs="Times New Roman"/>
          <w:vertAlign w:val="superscript"/>
        </w:rPr>
      </w:pPr>
      <w:r w:rsidRPr="00672D04">
        <w:rPr>
          <w:rFonts w:ascii="Times New Roman" w:hAnsi="Times New Roman" w:cs="Times New Roman"/>
          <w:b/>
        </w:rPr>
        <w:t>Cyclic voltammetry</w:t>
      </w:r>
      <w:r>
        <w:rPr>
          <w:rFonts w:ascii="Times New Roman" w:hAnsi="Times New Roman" w:cs="Times New Roman"/>
        </w:rPr>
        <w:t xml:space="preserve">. In order to place the band gaps obtained via DRS on an absolute energy scale, cyclic voltammetry was performed using </w:t>
      </w:r>
      <w:proofErr w:type="gramStart"/>
      <w:r>
        <w:rPr>
          <w:rFonts w:ascii="Times New Roman" w:hAnsi="Times New Roman" w:cs="Times New Roman"/>
        </w:rPr>
        <w:t>a</w:t>
      </w:r>
      <w:proofErr w:type="gramEnd"/>
      <w:r>
        <w:rPr>
          <w:rFonts w:ascii="Times New Roman" w:hAnsi="Times New Roman" w:cs="Times New Roman"/>
        </w:rPr>
        <w:t xml:space="preserve"> EDAQ ET014 </w:t>
      </w:r>
      <w:proofErr w:type="spellStart"/>
      <w:r>
        <w:rPr>
          <w:rFonts w:ascii="Times New Roman" w:hAnsi="Times New Roman" w:cs="Times New Roman"/>
        </w:rPr>
        <w:t>Echem</w:t>
      </w:r>
      <w:proofErr w:type="spellEnd"/>
      <w:r>
        <w:rPr>
          <w:rFonts w:ascii="Times New Roman" w:hAnsi="Times New Roman" w:cs="Times New Roman"/>
        </w:rPr>
        <w:t xml:space="preserve"> Electrode kit with an Ag/AgCl reference electrode, platinum wire counter electrode, and a glassy carbon working electrode. The voltage was swept from -1000 to 1000 mV at a rate of 100 mV/s. The electrolyte used was 0.1 M tetraethylammonium tetrafluoroborate (TBABF</w:t>
      </w:r>
      <w:r w:rsidRPr="00A575FF">
        <w:rPr>
          <w:rFonts w:ascii="Times New Roman" w:hAnsi="Times New Roman" w:cs="Times New Roman"/>
          <w:vertAlign w:val="subscript"/>
        </w:rPr>
        <w:t>4</w:t>
      </w:r>
      <w:r>
        <w:rPr>
          <w:rFonts w:ascii="Times New Roman" w:hAnsi="Times New Roman" w:cs="Times New Roman"/>
        </w:rPr>
        <w:t xml:space="preserve">) solution in dry acetonitrile. The procedure for CV was adapted from Fang </w:t>
      </w:r>
      <w:r w:rsidRPr="00630EEC">
        <w:rPr>
          <w:rFonts w:ascii="Times New Roman" w:hAnsi="Times New Roman" w:cs="Times New Roman"/>
          <w:i/>
        </w:rPr>
        <w:t>et. al</w:t>
      </w:r>
      <w:r>
        <w:rPr>
          <w:rFonts w:ascii="Times New Roman" w:hAnsi="Times New Roman" w:cs="Times New Roman"/>
        </w:rPr>
        <w:t xml:space="preserve">. For powder samples, suspensions were made of 1 mg/mL in ethanol and sonicated for one hour to ensure suspension. After sonication, 60 </w:t>
      </w:r>
      <w:proofErr w:type="spellStart"/>
      <w:r>
        <w:rPr>
          <w:rFonts w:ascii="Times New Roman" w:hAnsi="Times New Roman" w:cs="Times New Roman"/>
        </w:rPr>
        <w:t>μL</w:t>
      </w:r>
      <w:proofErr w:type="spellEnd"/>
      <w:r>
        <w:rPr>
          <w:rFonts w:ascii="Times New Roman" w:hAnsi="Times New Roman" w:cs="Times New Roman"/>
        </w:rPr>
        <w:t xml:space="preserve"> of 5% </w:t>
      </w:r>
      <w:proofErr w:type="spellStart"/>
      <w:r>
        <w:rPr>
          <w:rFonts w:ascii="Times New Roman" w:hAnsi="Times New Roman" w:cs="Times New Roman"/>
        </w:rPr>
        <w:t>Nafion</w:t>
      </w:r>
      <w:proofErr w:type="spellEnd"/>
      <w:r>
        <w:rPr>
          <w:rFonts w:ascii="Times New Roman" w:hAnsi="Times New Roman" w:cs="Times New Roman"/>
        </w:rPr>
        <w:t xml:space="preserve"> solution was added to the suspension, and 4.5 </w:t>
      </w:r>
      <w:proofErr w:type="spellStart"/>
      <w:r>
        <w:rPr>
          <w:rFonts w:ascii="Times New Roman" w:hAnsi="Times New Roman" w:cs="Times New Roman"/>
        </w:rPr>
        <w:t>μL</w:t>
      </w:r>
      <w:proofErr w:type="spellEnd"/>
      <w:r>
        <w:rPr>
          <w:rFonts w:ascii="Times New Roman" w:hAnsi="Times New Roman" w:cs="Times New Roman"/>
        </w:rPr>
        <w:t xml:space="preserve"> of the resulting solution was pipette onto a glassy carbon electrode (GCE) and allowed to dry. Several applications of the solution were required to ensure full coverage of the GCE surface.</w:t>
      </w:r>
    </w:p>
    <w:p w14:paraId="4BED444D" w14:textId="77777777" w:rsidR="0046246D" w:rsidRDefault="0046246D" w:rsidP="0046246D">
      <w:pPr>
        <w:jc w:val="both"/>
        <w:rPr>
          <w:rFonts w:ascii="Times New Roman" w:hAnsi="Times New Roman" w:cs="Times New Roman"/>
        </w:rPr>
      </w:pPr>
    </w:p>
    <w:p w14:paraId="68621496" w14:textId="77777777" w:rsidR="0046246D" w:rsidRDefault="0046246D" w:rsidP="0046246D">
      <w:pPr>
        <w:jc w:val="both"/>
        <w:rPr>
          <w:rFonts w:ascii="Times New Roman" w:hAnsi="Times New Roman" w:cs="Times New Roman"/>
        </w:rPr>
      </w:pPr>
      <w:r w:rsidRPr="00672D04">
        <w:rPr>
          <w:rFonts w:ascii="Times New Roman" w:hAnsi="Times New Roman" w:cs="Times New Roman"/>
          <w:b/>
        </w:rPr>
        <w:t>Ion chromatography</w:t>
      </w:r>
      <w:r>
        <w:rPr>
          <w:rFonts w:ascii="Times New Roman" w:hAnsi="Times New Roman" w:cs="Times New Roman"/>
        </w:rPr>
        <w:t xml:space="preserve">. Ion chromatography was performed on a </w:t>
      </w:r>
      <w:proofErr w:type="spellStart"/>
      <w:r>
        <w:rPr>
          <w:rFonts w:ascii="Times New Roman" w:hAnsi="Times New Roman" w:cs="Times New Roman"/>
        </w:rPr>
        <w:t>Dionex</w:t>
      </w:r>
      <w:proofErr w:type="spellEnd"/>
      <w:r>
        <w:rPr>
          <w:rFonts w:ascii="Times New Roman" w:hAnsi="Times New Roman" w:cs="Times New Roman"/>
        </w:rPr>
        <w:t xml:space="preserve"> AS50 IC with a </w:t>
      </w:r>
      <w:proofErr w:type="spellStart"/>
      <w:r>
        <w:rPr>
          <w:rFonts w:ascii="Times New Roman" w:hAnsi="Times New Roman" w:cs="Times New Roman"/>
        </w:rPr>
        <w:t>Dionex</w:t>
      </w:r>
      <w:proofErr w:type="spellEnd"/>
      <w:r>
        <w:rPr>
          <w:rFonts w:ascii="Times New Roman" w:hAnsi="Times New Roman" w:cs="Times New Roman"/>
        </w:rPr>
        <w:t xml:space="preserve"> </w:t>
      </w:r>
      <w:proofErr w:type="spellStart"/>
      <w:r>
        <w:rPr>
          <w:rFonts w:ascii="Times New Roman" w:hAnsi="Times New Roman" w:cs="Times New Roman"/>
        </w:rPr>
        <w:t>IonPac</w:t>
      </w:r>
      <w:proofErr w:type="spellEnd"/>
      <w:r>
        <w:rPr>
          <w:rFonts w:ascii="Times New Roman" w:hAnsi="Times New Roman" w:cs="Times New Roman"/>
        </w:rPr>
        <w:t xml:space="preserve"> ICE-AS6 ion exclusion column and a Thermo Scientific </w:t>
      </w:r>
      <w:proofErr w:type="spellStart"/>
      <w:r>
        <w:rPr>
          <w:rFonts w:ascii="Times New Roman" w:hAnsi="Times New Roman" w:cs="Times New Roman"/>
        </w:rPr>
        <w:t>Dionex</w:t>
      </w:r>
      <w:proofErr w:type="spellEnd"/>
      <w:r>
        <w:rPr>
          <w:rFonts w:ascii="Times New Roman" w:hAnsi="Times New Roman" w:cs="Times New Roman"/>
        </w:rPr>
        <w:t xml:space="preserve"> AMMS-ICE 300 suppressor. The IC instrument is equipped with a </w:t>
      </w:r>
      <w:proofErr w:type="spellStart"/>
      <w:r>
        <w:rPr>
          <w:rFonts w:ascii="Times New Roman" w:hAnsi="Times New Roman" w:cs="Times New Roman"/>
        </w:rPr>
        <w:t>Dionex</w:t>
      </w:r>
      <w:proofErr w:type="spellEnd"/>
      <w:r>
        <w:rPr>
          <w:rFonts w:ascii="Times New Roman" w:hAnsi="Times New Roman" w:cs="Times New Roman"/>
        </w:rPr>
        <w:t xml:space="preserve"> CD25 conductivity detector. Reagents used were 0.4 mM heptafluorobutyric acid as the eluent at a flow rate of 1.2 mL/min and 5 mM tetrabutylammonium hydroxide as the </w:t>
      </w:r>
      <w:proofErr w:type="spellStart"/>
      <w:r>
        <w:rPr>
          <w:rFonts w:ascii="Times New Roman" w:hAnsi="Times New Roman" w:cs="Times New Roman"/>
        </w:rPr>
        <w:t>regenerant</w:t>
      </w:r>
      <w:proofErr w:type="spellEnd"/>
      <w:r>
        <w:rPr>
          <w:rFonts w:ascii="Times New Roman" w:hAnsi="Times New Roman" w:cs="Times New Roman"/>
        </w:rPr>
        <w:t xml:space="preserve">. </w:t>
      </w:r>
    </w:p>
    <w:p w14:paraId="15BCBDCC" w14:textId="77777777" w:rsidR="0046246D" w:rsidRDefault="0046246D" w:rsidP="0046246D">
      <w:pPr>
        <w:jc w:val="both"/>
        <w:rPr>
          <w:rFonts w:ascii="Times New Roman" w:hAnsi="Times New Roman" w:cs="Times New Roman"/>
        </w:rPr>
      </w:pPr>
    </w:p>
    <w:p w14:paraId="04CA05E4" w14:textId="77777777" w:rsidR="0046246D" w:rsidRDefault="0046246D" w:rsidP="0046246D">
      <w:pPr>
        <w:jc w:val="both"/>
        <w:rPr>
          <w:rFonts w:ascii="Times New Roman" w:hAnsi="Times New Roman" w:cs="Times New Roman"/>
        </w:rPr>
      </w:pPr>
      <w:r w:rsidRPr="00932EE5">
        <w:rPr>
          <w:rFonts w:ascii="Times New Roman" w:hAnsi="Times New Roman" w:cs="Times New Roman"/>
          <w:b/>
        </w:rPr>
        <w:t>Photo-experiments</w:t>
      </w:r>
      <w:r>
        <w:rPr>
          <w:rFonts w:ascii="Times New Roman" w:hAnsi="Times New Roman" w:cs="Times New Roman"/>
        </w:rPr>
        <w:t>. Reaction matrix: a buffer made of 0.3 M NaHCO</w:t>
      </w:r>
      <w:r w:rsidRPr="00E420C6">
        <w:rPr>
          <w:rFonts w:ascii="Times New Roman" w:hAnsi="Times New Roman" w:cs="Times New Roman"/>
          <w:vertAlign w:val="subscript"/>
        </w:rPr>
        <w:t>3</w:t>
      </w:r>
      <w:r>
        <w:rPr>
          <w:rFonts w:ascii="Times New Roman" w:hAnsi="Times New Roman" w:cs="Times New Roman"/>
        </w:rPr>
        <w:t xml:space="preserve">, 2 M or 0.1 M hole scavenger, and Milli-Q water. </w:t>
      </w:r>
      <w:r w:rsidR="00702DB0">
        <w:rPr>
          <w:rFonts w:ascii="Times New Roman" w:hAnsi="Times New Roman" w:cs="Times New Roman"/>
        </w:rPr>
        <w:t xml:space="preserve">Hole scavenger concentrations are as follows: </w:t>
      </w:r>
      <w:r w:rsidRPr="00D2629F">
        <w:rPr>
          <w:rFonts w:ascii="Times New Roman" w:hAnsi="Times New Roman" w:cs="Times New Roman"/>
        </w:rPr>
        <w:t xml:space="preserve">IPA, glycerol, ethylene glycol, </w:t>
      </w:r>
      <w:r w:rsidR="00881693">
        <w:rPr>
          <w:rFonts w:ascii="Times New Roman" w:hAnsi="Times New Roman" w:cs="Times New Roman"/>
        </w:rPr>
        <w:t xml:space="preserve">and </w:t>
      </w:r>
      <w:r w:rsidRPr="00D2629F">
        <w:rPr>
          <w:rFonts w:ascii="Times New Roman" w:hAnsi="Times New Roman" w:cs="Times New Roman"/>
        </w:rPr>
        <w:t>TEA were prepared at 2 M, while EDTA and sodium sulfite were prepared at 0.1 M, which are typical values found in lite</w:t>
      </w:r>
      <w:r>
        <w:rPr>
          <w:rFonts w:ascii="Times New Roman" w:hAnsi="Times New Roman" w:cs="Times New Roman"/>
        </w:rPr>
        <w:t>rature</w:t>
      </w:r>
      <w:r w:rsidRPr="00D2629F">
        <w:rPr>
          <w:rFonts w:ascii="Times New Roman" w:hAnsi="Times New Roman" w:cs="Times New Roman"/>
        </w:rPr>
        <w:t>.</w:t>
      </w:r>
      <w:r w:rsidR="00881693">
        <w:rPr>
          <w:rFonts w:ascii="Times New Roman" w:hAnsi="Times New Roman" w:cs="Times New Roman"/>
        </w:rPr>
        <w:t xml:space="preserve"> </w:t>
      </w:r>
      <w:r>
        <w:rPr>
          <w:rFonts w:ascii="Times New Roman" w:hAnsi="Times New Roman" w:cs="Times New Roman"/>
        </w:rPr>
        <w:t>TiO</w:t>
      </w:r>
      <w:r w:rsidRPr="00520FEB">
        <w:rPr>
          <w:rFonts w:ascii="Times New Roman" w:hAnsi="Times New Roman" w:cs="Times New Roman"/>
          <w:vertAlign w:val="subscript"/>
        </w:rPr>
        <w:t>2</w:t>
      </w:r>
      <w:r>
        <w:rPr>
          <w:rFonts w:ascii="Times New Roman" w:hAnsi="Times New Roman" w:cs="Times New Roman"/>
        </w:rPr>
        <w:t xml:space="preserve"> and Cu</w:t>
      </w:r>
      <w:r w:rsidRPr="008F169D">
        <w:rPr>
          <w:rFonts w:ascii="Times New Roman" w:hAnsi="Times New Roman" w:cs="Times New Roman"/>
          <w:vertAlign w:val="subscript"/>
        </w:rPr>
        <w:t>2</w:t>
      </w:r>
      <w:r>
        <w:rPr>
          <w:rFonts w:ascii="Times New Roman" w:hAnsi="Times New Roman" w:cs="Times New Roman"/>
        </w:rPr>
        <w:t>O catalysts were added at a concentration of 0.1 mg/</w:t>
      </w:r>
      <w:proofErr w:type="spellStart"/>
      <w:r>
        <w:rPr>
          <w:rFonts w:ascii="Times New Roman" w:hAnsi="Times New Roman" w:cs="Times New Roman"/>
        </w:rPr>
        <w:t>mL.</w:t>
      </w:r>
      <w:proofErr w:type="spellEnd"/>
      <w:r>
        <w:rPr>
          <w:rFonts w:ascii="Times New Roman" w:hAnsi="Times New Roman" w:cs="Times New Roman"/>
        </w:rPr>
        <w:t xml:space="preserve"> The matrix was transferred in a quartz tube, sealed, and placed under </w:t>
      </w:r>
      <w:r>
        <w:rPr>
          <w:rFonts w:ascii="Times New Roman" w:hAnsi="Times New Roman" w:cs="Times New Roman"/>
        </w:rPr>
        <w:lastRenderedPageBreak/>
        <w:t xml:space="preserve">an ABET Technologies </w:t>
      </w:r>
      <w:proofErr w:type="spellStart"/>
      <w:r>
        <w:rPr>
          <w:rFonts w:ascii="Times New Roman" w:hAnsi="Times New Roman" w:cs="Times New Roman"/>
        </w:rPr>
        <w:t>SunLite</w:t>
      </w:r>
      <w:proofErr w:type="spellEnd"/>
      <w:r>
        <w:rPr>
          <w:rFonts w:ascii="Times New Roman" w:hAnsi="Times New Roman" w:cs="Times New Roman"/>
        </w:rPr>
        <w:t>™ solar simulator with AM 1.5 filter for 8 hours. The light source was a 1000 W xenon arc lamp with an output of 1000 W/m</w:t>
      </w:r>
      <w:r w:rsidRPr="00E40D4B">
        <w:rPr>
          <w:rFonts w:ascii="Times New Roman" w:hAnsi="Times New Roman" w:cs="Times New Roman"/>
          <w:vertAlign w:val="superscript"/>
        </w:rPr>
        <w:t>2</w:t>
      </w:r>
      <w:r>
        <w:rPr>
          <w:rFonts w:ascii="Times New Roman" w:hAnsi="Times New Roman" w:cs="Times New Roman"/>
        </w:rPr>
        <w:t xml:space="preserve">, the equivalent of 1 sun. Aliquots were collected at </w:t>
      </w:r>
      <w:proofErr w:type="gramStart"/>
      <w:r>
        <w:rPr>
          <w:rFonts w:ascii="Times New Roman" w:hAnsi="Times New Roman" w:cs="Times New Roman"/>
        </w:rPr>
        <w:t>two hour</w:t>
      </w:r>
      <w:proofErr w:type="gramEnd"/>
      <w:r>
        <w:rPr>
          <w:rFonts w:ascii="Times New Roman" w:hAnsi="Times New Roman" w:cs="Times New Roman"/>
        </w:rPr>
        <w:t xml:space="preserve"> increments, and formate concentration was quantified by ion chromatography. </w:t>
      </w:r>
    </w:p>
    <w:p w14:paraId="5550B9F1" w14:textId="77777777" w:rsidR="0046246D" w:rsidRDefault="0046246D" w:rsidP="0046246D">
      <w:pPr>
        <w:jc w:val="both"/>
        <w:rPr>
          <w:rFonts w:ascii="Times New Roman" w:hAnsi="Times New Roman" w:cs="Times New Roman"/>
        </w:rPr>
      </w:pPr>
    </w:p>
    <w:p w14:paraId="14FA42A5" w14:textId="77777777" w:rsidR="0046246D" w:rsidRDefault="0046246D" w:rsidP="0046246D">
      <w:pPr>
        <w:jc w:val="both"/>
        <w:rPr>
          <w:rFonts w:ascii="Times New Roman" w:hAnsi="Times New Roman" w:cs="Times New Roman"/>
        </w:rPr>
      </w:pPr>
      <w:r w:rsidRPr="0038091E">
        <w:rPr>
          <w:rFonts w:ascii="Times New Roman" w:hAnsi="Times New Roman" w:cs="Times New Roman"/>
          <w:b/>
        </w:rPr>
        <w:t>Apparent Quantum Efficiency (AQE)</w:t>
      </w:r>
      <w:r>
        <w:rPr>
          <w:rFonts w:ascii="Times New Roman" w:hAnsi="Times New Roman" w:cs="Times New Roman"/>
        </w:rPr>
        <w:t xml:space="preserve">. Using an Ophir Photonics Nova II laser energy meter, the energy output of the solar simulator was measured. This power measurement was converted to moles of photons per second. This photon flux was then used to calculate the apparent quantum efficiency (AQE) of the catalyst using equations (1) and (2). </w:t>
      </w:r>
    </w:p>
    <w:p w14:paraId="5FDB8397" w14:textId="77777777" w:rsidR="005C1C71" w:rsidRDefault="005C1C71" w:rsidP="0046246D">
      <w:pPr>
        <w:jc w:val="both"/>
        <w:rPr>
          <w:rFonts w:ascii="Times New Roman" w:hAnsi="Times New Roman" w:cs="Times New Roman"/>
        </w:rPr>
      </w:pPr>
    </w:p>
    <w:p w14:paraId="035414EC" w14:textId="77777777" w:rsidR="0046246D" w:rsidRPr="0046246D" w:rsidRDefault="0046246D" w:rsidP="0046246D">
      <w:pPr>
        <w:jc w:val="both"/>
      </w:pPr>
      <m:oMathPara>
        <m:oMath>
          <m:r>
            <w:rPr>
              <w:rFonts w:ascii="Cambria Math" w:hAnsi="Cambria Math"/>
            </w:rPr>
            <m:t xml:space="preserve">n mol photons ∙ </m:t>
          </m:r>
          <m:f>
            <m:fPr>
              <m:ctrlPr>
                <w:rPr>
                  <w:rFonts w:ascii="Cambria Math" w:hAnsi="Cambria Math"/>
                  <w:i/>
                </w:rPr>
              </m:ctrlPr>
            </m:fPr>
            <m:num>
              <m:r>
                <w:rPr>
                  <w:rFonts w:ascii="Cambria Math" w:hAnsi="Cambria Math"/>
                </w:rPr>
                <m:t xml:space="preserve">1 mol </m:t>
              </m:r>
              <m:sSup>
                <m:sSupPr>
                  <m:ctrlPr>
                    <w:rPr>
                      <w:rFonts w:ascii="Cambria Math" w:hAnsi="Cambria Math"/>
                      <w:i/>
                    </w:rPr>
                  </m:ctrlPr>
                </m:sSupPr>
                <m:e>
                  <m:r>
                    <w:rPr>
                      <w:rFonts w:ascii="Cambria Math" w:hAnsi="Cambria Math"/>
                    </w:rPr>
                    <m:t>e</m:t>
                  </m:r>
                </m:e>
                <m:sup>
                  <m:r>
                    <w:rPr>
                      <w:rFonts w:ascii="Cambria Math" w:hAnsi="Cambria Math"/>
                    </w:rPr>
                    <m:t>-</m:t>
                  </m:r>
                </m:sup>
              </m:sSup>
            </m:num>
            <m:den>
              <m:r>
                <w:rPr>
                  <w:rFonts w:ascii="Cambria Math" w:hAnsi="Cambria Math"/>
                </w:rPr>
                <m:t xml:space="preserve">mol photons </m:t>
              </m:r>
            </m:den>
          </m:f>
          <m:r>
            <w:rPr>
              <w:rFonts w:ascii="Cambria Math" w:hAnsi="Cambria Math"/>
            </w:rPr>
            <m:t xml:space="preserve"> ∙ </m:t>
          </m:r>
          <m:f>
            <m:fPr>
              <m:ctrlPr>
                <w:rPr>
                  <w:rFonts w:ascii="Cambria Math" w:hAnsi="Cambria Math"/>
                  <w:i/>
                </w:rPr>
              </m:ctrlPr>
            </m:fPr>
            <m:num>
              <m:r>
                <w:rPr>
                  <w:rFonts w:ascii="Cambria Math" w:hAnsi="Cambria Math"/>
                </w:rPr>
                <m:t>mol formate</m:t>
              </m:r>
            </m:num>
            <m:den>
              <m:r>
                <w:rPr>
                  <w:rFonts w:ascii="Cambria Math" w:hAnsi="Cambria Math"/>
                </w:rPr>
                <m:t xml:space="preserve">2 mol </m:t>
              </m:r>
              <m:sSup>
                <m:sSupPr>
                  <m:ctrlPr>
                    <w:rPr>
                      <w:rFonts w:ascii="Cambria Math" w:hAnsi="Cambria Math"/>
                      <w:i/>
                    </w:rPr>
                  </m:ctrlPr>
                </m:sSupPr>
                <m:e>
                  <m:r>
                    <w:rPr>
                      <w:rFonts w:ascii="Cambria Math" w:hAnsi="Cambria Math"/>
                    </w:rPr>
                    <m:t>e</m:t>
                  </m:r>
                </m:e>
                <m:sup>
                  <m:r>
                    <w:rPr>
                      <w:rFonts w:ascii="Cambria Math" w:hAnsi="Cambria Math"/>
                    </w:rPr>
                    <m:t>-</m:t>
                  </m:r>
                </m:sup>
              </m:sSup>
            </m:den>
          </m:f>
          <m:r>
            <w:rPr>
              <w:rFonts w:ascii="Cambria Math" w:hAnsi="Cambria Math"/>
            </w:rPr>
            <m:t xml:space="preserve"> =theoretical          </m:t>
          </m:r>
          <m:d>
            <m:dPr>
              <m:ctrlPr>
                <w:rPr>
                  <w:rFonts w:ascii="Cambria Math" w:hAnsi="Cambria Math"/>
                  <w:i/>
                </w:rPr>
              </m:ctrlPr>
            </m:dPr>
            <m:e>
              <m:r>
                <w:rPr>
                  <w:rFonts w:ascii="Cambria Math" w:hAnsi="Cambria Math"/>
                </w:rPr>
                <m:t>1</m:t>
              </m:r>
            </m:e>
          </m:d>
        </m:oMath>
      </m:oMathPara>
    </w:p>
    <w:p w14:paraId="4BB345C6" w14:textId="77777777" w:rsidR="0046246D" w:rsidRDefault="0046246D" w:rsidP="0046246D">
      <w:pPr>
        <w:jc w:val="both"/>
      </w:pPr>
    </w:p>
    <w:p w14:paraId="3788A4EF" w14:textId="77777777" w:rsidR="0046246D" w:rsidRPr="005C1C71" w:rsidRDefault="00481A51" w:rsidP="0046246D">
      <w:pPr>
        <w:jc w:val="both"/>
      </w:pPr>
      <m:oMathPara>
        <m:oMath>
          <m:f>
            <m:fPr>
              <m:ctrlPr>
                <w:rPr>
                  <w:rFonts w:ascii="Cambria Math" w:hAnsi="Cambria Math"/>
                  <w:i/>
                </w:rPr>
              </m:ctrlPr>
            </m:fPr>
            <m:num>
              <m:r>
                <w:rPr>
                  <w:rFonts w:ascii="Cambria Math" w:hAnsi="Cambria Math"/>
                </w:rPr>
                <m:t>actual mol formate</m:t>
              </m:r>
            </m:num>
            <m:den>
              <m:r>
                <w:rPr>
                  <w:rFonts w:ascii="Cambria Math" w:hAnsi="Cambria Math"/>
                </w:rPr>
                <m:t xml:space="preserve">theoretical mol formate </m:t>
              </m:r>
            </m:den>
          </m:f>
          <m:r>
            <w:rPr>
              <w:rFonts w:ascii="Cambria Math" w:hAnsi="Cambria Math"/>
            </w:rPr>
            <m:t xml:space="preserve"> ∙100 =%AQE         (2) </m:t>
          </m:r>
        </m:oMath>
      </m:oMathPara>
    </w:p>
    <w:p w14:paraId="102C33CD" w14:textId="77777777" w:rsidR="005C1C71" w:rsidRDefault="005C1C71" w:rsidP="0046246D">
      <w:pPr>
        <w:jc w:val="both"/>
      </w:pPr>
    </w:p>
    <w:p w14:paraId="0ACC042F" w14:textId="77777777" w:rsidR="0046246D" w:rsidRDefault="0046246D" w:rsidP="00700CBF">
      <w:pPr>
        <w:spacing w:line="480" w:lineRule="auto"/>
        <w:rPr>
          <w:rFonts w:ascii="Times New Roman" w:hAnsi="Times New Roman" w:cs="Times New Roman"/>
        </w:rPr>
      </w:pPr>
    </w:p>
    <w:p w14:paraId="4FC94834" w14:textId="77777777" w:rsidR="0046246D" w:rsidRDefault="0046246D" w:rsidP="0046246D">
      <w:pPr>
        <w:jc w:val="both"/>
        <w:rPr>
          <w:rFonts w:ascii="Times New Roman" w:hAnsi="Times New Roman" w:cs="Times New Roman"/>
        </w:rPr>
      </w:pPr>
      <w:r>
        <w:object w:dxaOrig="4457" w:dyaOrig="4107" w14:anchorId="228D9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7" o:title=""/>
          </v:shape>
          <o:OLEObject Type="Embed" ProgID="ChemDraw.Document.6.0" ShapeID="_x0000_i1025" DrawAspect="Content" ObjectID="_1594240037" r:id="rId8"/>
        </w:object>
      </w:r>
    </w:p>
    <w:p w14:paraId="77E3D784" w14:textId="77777777" w:rsidR="0046246D" w:rsidRDefault="0046246D" w:rsidP="0046246D">
      <w:pPr>
        <w:jc w:val="both"/>
        <w:rPr>
          <w:rFonts w:ascii="Times New Roman" w:hAnsi="Times New Roman" w:cs="Times New Roman"/>
        </w:rPr>
      </w:pPr>
      <w:r>
        <w:rPr>
          <w:rFonts w:ascii="Times New Roman" w:hAnsi="Times New Roman" w:cs="Times New Roman"/>
        </w:rPr>
        <w:t>F</w:t>
      </w:r>
      <w:r w:rsidR="000D10A9">
        <w:rPr>
          <w:rFonts w:ascii="Times New Roman" w:hAnsi="Times New Roman" w:cs="Times New Roman"/>
        </w:rPr>
        <w:t>igure S1</w:t>
      </w:r>
      <w:r>
        <w:rPr>
          <w:rFonts w:ascii="Times New Roman" w:hAnsi="Times New Roman" w:cs="Times New Roman"/>
        </w:rPr>
        <w:t xml:space="preserve">. </w:t>
      </w:r>
      <w:bookmarkStart w:id="1" w:name="_Hlk514438078"/>
      <w:r>
        <w:rPr>
          <w:rFonts w:ascii="Times New Roman" w:hAnsi="Times New Roman" w:cs="Times New Roman"/>
        </w:rPr>
        <w:t>Band gap energies of TiO</w:t>
      </w:r>
      <w:r w:rsidRPr="00BC3907">
        <w:rPr>
          <w:rFonts w:ascii="Times New Roman" w:hAnsi="Times New Roman" w:cs="Times New Roman"/>
          <w:vertAlign w:val="subscript"/>
        </w:rPr>
        <w:t>2</w:t>
      </w:r>
      <w:r>
        <w:rPr>
          <w:rFonts w:ascii="Times New Roman" w:hAnsi="Times New Roman" w:cs="Times New Roman"/>
        </w:rPr>
        <w:t xml:space="preserve"> and Cu</w:t>
      </w:r>
      <w:r w:rsidRPr="00BC3907">
        <w:rPr>
          <w:rFonts w:ascii="Times New Roman" w:hAnsi="Times New Roman" w:cs="Times New Roman"/>
          <w:vertAlign w:val="subscript"/>
        </w:rPr>
        <w:t>2</w:t>
      </w:r>
      <w:r>
        <w:rPr>
          <w:rFonts w:ascii="Times New Roman" w:hAnsi="Times New Roman" w:cs="Times New Roman"/>
        </w:rPr>
        <w:t xml:space="preserve">O. </w:t>
      </w:r>
    </w:p>
    <w:bookmarkEnd w:id="1"/>
    <w:p w14:paraId="7ACFE0FB" w14:textId="77777777" w:rsidR="000D10A9" w:rsidRPr="0046246D" w:rsidRDefault="000D10A9" w:rsidP="0046246D">
      <w:pPr>
        <w:jc w:val="both"/>
        <w:rPr>
          <w:rFonts w:ascii="Times New Roman" w:hAnsi="Times New Roman" w:cs="Times New Roman"/>
        </w:rPr>
      </w:pPr>
    </w:p>
    <w:p w14:paraId="13F6EB1B" w14:textId="77777777" w:rsidR="0046246D" w:rsidRDefault="0046246D" w:rsidP="0046246D">
      <w:pPr>
        <w:jc w:val="both"/>
        <w:rPr>
          <w:rFonts w:ascii="Times New Roman" w:hAnsi="Times New Roman" w:cs="Times New Roman"/>
        </w:rPr>
      </w:pPr>
      <w:r w:rsidRPr="00252DE5">
        <w:rPr>
          <w:noProof/>
        </w:rPr>
        <w:t xml:space="preserve"> </w:t>
      </w:r>
      <w:r>
        <w:rPr>
          <w:noProof/>
        </w:rPr>
        <w:drawing>
          <wp:inline distT="0" distB="0" distL="0" distR="0" wp14:anchorId="2D817B84" wp14:editId="5B6C4939">
            <wp:extent cx="1905000" cy="1516380"/>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a:stretch>
                      <a:fillRect/>
                    </a:stretch>
                  </pic:blipFill>
                  <pic:spPr>
                    <a:xfrm>
                      <a:off x="0" y="0"/>
                      <a:ext cx="1905000" cy="1516380"/>
                    </a:xfrm>
                    <a:prstGeom prst="rect">
                      <a:avLst/>
                    </a:prstGeom>
                  </pic:spPr>
                </pic:pic>
              </a:graphicData>
            </a:graphic>
          </wp:inline>
        </w:drawing>
      </w:r>
      <w:r w:rsidRPr="00252DE5">
        <w:rPr>
          <w:noProof/>
        </w:rPr>
        <w:t xml:space="preserve"> </w:t>
      </w:r>
      <w:r>
        <w:rPr>
          <w:noProof/>
        </w:rPr>
        <w:drawing>
          <wp:inline distT="0" distB="0" distL="0" distR="0" wp14:anchorId="6441FA7A" wp14:editId="5233144E">
            <wp:extent cx="2019300" cy="1504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2395" cy="1521785"/>
                    </a:xfrm>
                    <a:prstGeom prst="rect">
                      <a:avLst/>
                    </a:prstGeom>
                  </pic:spPr>
                </pic:pic>
              </a:graphicData>
            </a:graphic>
          </wp:inline>
        </w:drawing>
      </w:r>
    </w:p>
    <w:p w14:paraId="02A63045" w14:textId="77777777" w:rsidR="0046246D" w:rsidRDefault="000D10A9" w:rsidP="0046246D">
      <w:pPr>
        <w:jc w:val="both"/>
        <w:rPr>
          <w:rFonts w:ascii="Times New Roman" w:hAnsi="Times New Roman" w:cs="Times New Roman"/>
        </w:rPr>
      </w:pPr>
      <w:r>
        <w:rPr>
          <w:rFonts w:ascii="Times New Roman" w:hAnsi="Times New Roman" w:cs="Times New Roman"/>
        </w:rPr>
        <w:t>Figure S2</w:t>
      </w:r>
      <w:r w:rsidR="0046246D">
        <w:rPr>
          <w:rFonts w:ascii="Times New Roman" w:hAnsi="Times New Roman" w:cs="Times New Roman"/>
        </w:rPr>
        <w:t xml:space="preserve">. </w:t>
      </w:r>
      <w:bookmarkStart w:id="2" w:name="_Hlk514438144"/>
      <w:r w:rsidR="0046246D">
        <w:rPr>
          <w:rFonts w:ascii="Times New Roman" w:hAnsi="Times New Roman" w:cs="Times New Roman"/>
        </w:rPr>
        <w:t>SEM images of Cu</w:t>
      </w:r>
      <w:r w:rsidR="0046246D" w:rsidRPr="00AB3BD2">
        <w:rPr>
          <w:rFonts w:ascii="Times New Roman" w:hAnsi="Times New Roman" w:cs="Times New Roman"/>
          <w:vertAlign w:val="subscript"/>
        </w:rPr>
        <w:t>2</w:t>
      </w:r>
      <w:r w:rsidR="0046246D">
        <w:rPr>
          <w:rFonts w:ascii="Times New Roman" w:hAnsi="Times New Roman" w:cs="Times New Roman"/>
        </w:rPr>
        <w:t>O and TiO</w:t>
      </w:r>
      <w:r w:rsidR="0046246D" w:rsidRPr="00AB3BD2">
        <w:rPr>
          <w:rFonts w:ascii="Times New Roman" w:hAnsi="Times New Roman" w:cs="Times New Roman"/>
          <w:vertAlign w:val="subscript"/>
        </w:rPr>
        <w:t>2</w:t>
      </w:r>
      <w:r w:rsidR="0046246D">
        <w:rPr>
          <w:rFonts w:ascii="Times New Roman" w:hAnsi="Times New Roman" w:cs="Times New Roman"/>
        </w:rPr>
        <w:t xml:space="preserve">.  </w:t>
      </w:r>
      <w:bookmarkEnd w:id="2"/>
    </w:p>
    <w:p w14:paraId="3C968927" w14:textId="77777777" w:rsidR="0046246D" w:rsidRDefault="0046246D" w:rsidP="0046246D">
      <w:pPr>
        <w:jc w:val="both"/>
        <w:rPr>
          <w:rFonts w:ascii="Times New Roman" w:hAnsi="Times New Roman" w:cs="Times New Roman"/>
        </w:rPr>
      </w:pPr>
      <w:r>
        <w:object w:dxaOrig="6564" w:dyaOrig="5055" w14:anchorId="0C9EC317">
          <v:shape id="_x0000_i1026" type="#_x0000_t75" style="width:233.25pt;height:179.25pt" o:ole="">
            <v:imagedata r:id="rId11" o:title=""/>
          </v:shape>
          <o:OLEObject Type="Embed" ProgID="Origin50.Graph" ShapeID="_x0000_i1026" DrawAspect="Content" ObjectID="_1594240038" r:id="rId12"/>
        </w:object>
      </w:r>
      <w:r>
        <w:object w:dxaOrig="6564" w:dyaOrig="5055" w14:anchorId="41AEF929">
          <v:shape id="_x0000_i1027" type="#_x0000_t75" style="width:230.25pt;height:177.75pt" o:ole="">
            <v:imagedata r:id="rId13" o:title=""/>
          </v:shape>
          <o:OLEObject Type="Embed" ProgID="Origin50.Graph" ShapeID="_x0000_i1027" DrawAspect="Content" ObjectID="_1594240039" r:id="rId14"/>
        </w:object>
      </w:r>
      <w:r>
        <w:object w:dxaOrig="6564" w:dyaOrig="5055" w14:anchorId="70996F63">
          <v:shape id="_x0000_i1028" type="#_x0000_t75" style="width:234pt;height:179.25pt" o:ole="">
            <v:imagedata r:id="rId15" o:title=""/>
          </v:shape>
          <o:OLEObject Type="Embed" ProgID="Origin50.Graph" ShapeID="_x0000_i1028" DrawAspect="Content" ObjectID="_1594240040" r:id="rId16"/>
        </w:object>
      </w:r>
      <w:r>
        <w:object w:dxaOrig="6564" w:dyaOrig="5055" w14:anchorId="49530C78">
          <v:shape id="_x0000_i1029" type="#_x0000_t75" style="width:230.25pt;height:176.25pt" o:ole="">
            <v:imagedata r:id="rId17" o:title=""/>
          </v:shape>
          <o:OLEObject Type="Embed" ProgID="Origin50.Graph" ShapeID="_x0000_i1029" DrawAspect="Content" ObjectID="_1594240041" r:id="rId18"/>
        </w:object>
      </w:r>
    </w:p>
    <w:p w14:paraId="76187EF3" w14:textId="77777777" w:rsidR="0046246D" w:rsidRDefault="0046246D" w:rsidP="0046246D">
      <w:pPr>
        <w:jc w:val="both"/>
        <w:rPr>
          <w:rFonts w:ascii="Times New Roman" w:hAnsi="Times New Roman" w:cs="Times New Roman"/>
        </w:rPr>
      </w:pPr>
      <w:r>
        <w:rPr>
          <w:rFonts w:ascii="Times New Roman" w:hAnsi="Times New Roman" w:cs="Times New Roman"/>
        </w:rPr>
        <w:t>F</w:t>
      </w:r>
      <w:r w:rsidR="000D10A9">
        <w:rPr>
          <w:rFonts w:ascii="Times New Roman" w:hAnsi="Times New Roman" w:cs="Times New Roman"/>
        </w:rPr>
        <w:t>igure</w:t>
      </w:r>
      <w:r>
        <w:rPr>
          <w:rFonts w:ascii="Times New Roman" w:hAnsi="Times New Roman" w:cs="Times New Roman"/>
        </w:rPr>
        <w:t xml:space="preserve"> </w:t>
      </w:r>
      <w:r w:rsidR="000D10A9">
        <w:rPr>
          <w:rFonts w:ascii="Times New Roman" w:hAnsi="Times New Roman" w:cs="Times New Roman"/>
        </w:rPr>
        <w:t>S3</w:t>
      </w:r>
      <w:r>
        <w:rPr>
          <w:rFonts w:ascii="Times New Roman" w:hAnsi="Times New Roman" w:cs="Times New Roman"/>
        </w:rPr>
        <w:t xml:space="preserve">. </w:t>
      </w:r>
      <w:bookmarkStart w:id="3" w:name="_Hlk514438193"/>
      <w:r>
        <w:rPr>
          <w:rFonts w:ascii="Times New Roman" w:hAnsi="Times New Roman" w:cs="Times New Roman"/>
        </w:rPr>
        <w:t>Diffuse reflectance spectra of TiO</w:t>
      </w:r>
      <w:r w:rsidRPr="00082114">
        <w:rPr>
          <w:rFonts w:ascii="Times New Roman" w:hAnsi="Times New Roman" w:cs="Times New Roman"/>
          <w:vertAlign w:val="subscript"/>
        </w:rPr>
        <w:t>2</w:t>
      </w:r>
      <w:r>
        <w:rPr>
          <w:rFonts w:ascii="Times New Roman" w:hAnsi="Times New Roman" w:cs="Times New Roman"/>
        </w:rPr>
        <w:t xml:space="preserve"> and Cu</w:t>
      </w:r>
      <w:r w:rsidRPr="00082114">
        <w:rPr>
          <w:rFonts w:ascii="Times New Roman" w:hAnsi="Times New Roman" w:cs="Times New Roman"/>
          <w:vertAlign w:val="subscript"/>
        </w:rPr>
        <w:t>2</w:t>
      </w:r>
      <w:r>
        <w:rPr>
          <w:rFonts w:ascii="Times New Roman" w:hAnsi="Times New Roman" w:cs="Times New Roman"/>
        </w:rPr>
        <w:t xml:space="preserve">O, and </w:t>
      </w:r>
      <w:proofErr w:type="spellStart"/>
      <w:r>
        <w:rPr>
          <w:rFonts w:ascii="Times New Roman" w:hAnsi="Times New Roman" w:cs="Times New Roman"/>
        </w:rPr>
        <w:t>Kubelka</w:t>
      </w:r>
      <w:proofErr w:type="spellEnd"/>
      <w:r>
        <w:rPr>
          <w:rFonts w:ascii="Times New Roman" w:hAnsi="Times New Roman" w:cs="Times New Roman"/>
        </w:rPr>
        <w:t xml:space="preserve">-Munk treated plots. </w:t>
      </w:r>
    </w:p>
    <w:bookmarkEnd w:id="3"/>
    <w:p w14:paraId="24CB22B2" w14:textId="77777777" w:rsidR="0046246D" w:rsidRDefault="0046246D" w:rsidP="0046246D">
      <w:pPr>
        <w:jc w:val="both"/>
        <w:rPr>
          <w:rFonts w:ascii="Times New Roman" w:hAnsi="Times New Roman" w:cs="Times New Roman"/>
        </w:rPr>
      </w:pPr>
      <w:r>
        <w:object w:dxaOrig="6564" w:dyaOrig="5055" w14:anchorId="121239D4">
          <v:shape id="_x0000_i1030" type="#_x0000_t75" style="width:225.75pt;height:174pt" o:ole="">
            <v:imagedata r:id="rId19" o:title=""/>
          </v:shape>
          <o:OLEObject Type="Embed" ProgID="Origin50.Graph" ShapeID="_x0000_i1030" DrawAspect="Content" ObjectID="_1594240042" r:id="rId20"/>
        </w:object>
      </w:r>
      <w:r>
        <w:object w:dxaOrig="6564" w:dyaOrig="5055" w14:anchorId="60413283">
          <v:shape id="_x0000_i1031" type="#_x0000_t75" style="width:240pt;height:184.5pt" o:ole="">
            <v:imagedata r:id="rId21" o:title=""/>
          </v:shape>
          <o:OLEObject Type="Embed" ProgID="Origin50.Graph" ShapeID="_x0000_i1031" DrawAspect="Content" ObjectID="_1594240043" r:id="rId22"/>
        </w:object>
      </w:r>
    </w:p>
    <w:p w14:paraId="1FFEC83B" w14:textId="1B116E51" w:rsidR="0046246D" w:rsidRDefault="0046246D" w:rsidP="0046246D">
      <w:pPr>
        <w:jc w:val="both"/>
        <w:rPr>
          <w:rFonts w:ascii="Times New Roman" w:hAnsi="Times New Roman" w:cs="Times New Roman"/>
        </w:rPr>
      </w:pPr>
      <w:r>
        <w:rPr>
          <w:rFonts w:ascii="Times New Roman" w:hAnsi="Times New Roman" w:cs="Times New Roman"/>
        </w:rPr>
        <w:t>F</w:t>
      </w:r>
      <w:r w:rsidR="000D10A9">
        <w:rPr>
          <w:rFonts w:ascii="Times New Roman" w:hAnsi="Times New Roman" w:cs="Times New Roman"/>
        </w:rPr>
        <w:t>igure S4</w:t>
      </w:r>
      <w:r>
        <w:rPr>
          <w:rFonts w:ascii="Times New Roman" w:hAnsi="Times New Roman" w:cs="Times New Roman"/>
        </w:rPr>
        <w:t xml:space="preserve">. </w:t>
      </w:r>
      <w:bookmarkStart w:id="4" w:name="_Hlk514438319"/>
      <w:r>
        <w:rPr>
          <w:rFonts w:ascii="Times New Roman" w:hAnsi="Times New Roman" w:cs="Times New Roman"/>
        </w:rPr>
        <w:t>Cyclic voltammogram of Cu</w:t>
      </w:r>
      <w:r w:rsidRPr="00252DE5">
        <w:rPr>
          <w:rFonts w:ascii="Times New Roman" w:hAnsi="Times New Roman" w:cs="Times New Roman"/>
          <w:vertAlign w:val="subscript"/>
        </w:rPr>
        <w:t>2</w:t>
      </w:r>
      <w:r>
        <w:rPr>
          <w:rFonts w:ascii="Times New Roman" w:hAnsi="Times New Roman" w:cs="Times New Roman"/>
        </w:rPr>
        <w:t>O and TiO</w:t>
      </w:r>
      <w:r w:rsidRPr="00252DE5">
        <w:rPr>
          <w:rFonts w:ascii="Times New Roman" w:hAnsi="Times New Roman" w:cs="Times New Roman"/>
          <w:vertAlign w:val="subscript"/>
        </w:rPr>
        <w:t>2</w:t>
      </w:r>
      <w:r>
        <w:rPr>
          <w:rFonts w:ascii="Times New Roman" w:hAnsi="Times New Roman" w:cs="Times New Roman"/>
        </w:rPr>
        <w:t xml:space="preserve">. </w:t>
      </w:r>
    </w:p>
    <w:bookmarkEnd w:id="4"/>
    <w:p w14:paraId="0C543071" w14:textId="77777777" w:rsidR="0046246D" w:rsidRDefault="0046246D" w:rsidP="0046246D">
      <w:pPr>
        <w:jc w:val="both"/>
        <w:rPr>
          <w:rFonts w:ascii="Times New Roman" w:hAnsi="Times New Roman" w:cs="Times New Roman"/>
        </w:rPr>
      </w:pPr>
      <w:r>
        <w:object w:dxaOrig="6564" w:dyaOrig="5055" w14:anchorId="403BA3C8">
          <v:shape id="_x0000_i1032" type="#_x0000_t75" style="width:230.25pt;height:180pt" o:ole="">
            <v:imagedata r:id="rId23" o:title=""/>
          </v:shape>
          <o:OLEObject Type="Embed" ProgID="Origin50.Graph" ShapeID="_x0000_i1032" DrawAspect="Content" ObjectID="_1594240044" r:id="rId24"/>
        </w:object>
      </w:r>
      <w:r>
        <w:object w:dxaOrig="6564" w:dyaOrig="5055" w14:anchorId="4B07017A">
          <v:shape id="_x0000_i1033" type="#_x0000_t75" style="width:237pt;height:182.25pt" o:ole="">
            <v:imagedata r:id="rId25" o:title=""/>
          </v:shape>
          <o:OLEObject Type="Embed" ProgID="Origin50.Graph" ShapeID="_x0000_i1033" DrawAspect="Content" ObjectID="_1594240045" r:id="rId26"/>
        </w:object>
      </w:r>
    </w:p>
    <w:p w14:paraId="3799FDAB" w14:textId="56286452" w:rsidR="00B01542" w:rsidRDefault="0046246D" w:rsidP="00046650">
      <w:pPr>
        <w:jc w:val="both"/>
        <w:rPr>
          <w:rFonts w:ascii="Times New Roman" w:hAnsi="Times New Roman" w:cs="Times New Roman"/>
        </w:rPr>
      </w:pPr>
      <w:r>
        <w:rPr>
          <w:rFonts w:ascii="Times New Roman" w:hAnsi="Times New Roman" w:cs="Times New Roman"/>
        </w:rPr>
        <w:t>F</w:t>
      </w:r>
      <w:r w:rsidR="000D10A9">
        <w:rPr>
          <w:rFonts w:ascii="Times New Roman" w:hAnsi="Times New Roman" w:cs="Times New Roman"/>
        </w:rPr>
        <w:t>igure S5</w:t>
      </w:r>
      <w:r>
        <w:rPr>
          <w:rFonts w:ascii="Times New Roman" w:hAnsi="Times New Roman" w:cs="Times New Roman"/>
        </w:rPr>
        <w:t xml:space="preserve">. </w:t>
      </w:r>
      <w:bookmarkStart w:id="5" w:name="_Hlk514438372"/>
      <w:r>
        <w:rPr>
          <w:rFonts w:ascii="Times New Roman" w:hAnsi="Times New Roman" w:cs="Times New Roman"/>
        </w:rPr>
        <w:t>Formate production in terms of concentration (left) and productivity (right) with TiO</w:t>
      </w:r>
      <w:r w:rsidRPr="00A464D4">
        <w:rPr>
          <w:rFonts w:ascii="Times New Roman" w:hAnsi="Times New Roman" w:cs="Times New Roman"/>
          <w:vertAlign w:val="subscript"/>
        </w:rPr>
        <w:t>2</w:t>
      </w:r>
      <w:r>
        <w:rPr>
          <w:rFonts w:ascii="Times New Roman" w:hAnsi="Times New Roman" w:cs="Times New Roman"/>
        </w:rPr>
        <w:t xml:space="preserve"> and Cu</w:t>
      </w:r>
      <w:r w:rsidRPr="00A464D4">
        <w:rPr>
          <w:rFonts w:ascii="Times New Roman" w:hAnsi="Times New Roman" w:cs="Times New Roman"/>
          <w:vertAlign w:val="subscript"/>
        </w:rPr>
        <w:t>2</w:t>
      </w:r>
      <w:r>
        <w:rPr>
          <w:rFonts w:ascii="Times New Roman" w:hAnsi="Times New Roman" w:cs="Times New Roman"/>
        </w:rPr>
        <w:t xml:space="preserve">O with no hole scavenger present.  </w:t>
      </w:r>
      <w:bookmarkEnd w:id="5"/>
    </w:p>
    <w:p w14:paraId="669D790D" w14:textId="77777777" w:rsidR="003748B6" w:rsidRDefault="003748B6" w:rsidP="00046650">
      <w:pPr>
        <w:jc w:val="both"/>
        <w:rPr>
          <w:rFonts w:ascii="Times New Roman" w:hAnsi="Times New Roman" w:cs="Times New Roman"/>
        </w:rPr>
      </w:pPr>
    </w:p>
    <w:p w14:paraId="7F49E46B" w14:textId="77777777" w:rsidR="00A82438" w:rsidRDefault="00A82438" w:rsidP="0046246D">
      <w:pPr>
        <w:jc w:val="both"/>
        <w:rPr>
          <w:rFonts w:ascii="Times New Roman" w:hAnsi="Times New Roman" w:cs="Times New Roman"/>
        </w:rPr>
      </w:pPr>
    </w:p>
    <w:p w14:paraId="50CCEB75" w14:textId="77777777" w:rsidR="00A82438" w:rsidRDefault="00A82438" w:rsidP="00A82438">
      <w:pPr>
        <w:jc w:val="both"/>
        <w:rPr>
          <w:rFonts w:ascii="Times New Roman" w:hAnsi="Times New Roman" w:cs="Times New Roman"/>
        </w:rPr>
      </w:pPr>
      <w:r>
        <w:rPr>
          <w:rFonts w:ascii="Times New Roman" w:hAnsi="Times New Roman" w:cs="Times New Roman"/>
        </w:rPr>
        <w:t xml:space="preserve">Table </w:t>
      </w:r>
      <w:r w:rsidR="000D10A9">
        <w:rPr>
          <w:rFonts w:ascii="Times New Roman" w:hAnsi="Times New Roman" w:cs="Times New Roman"/>
        </w:rPr>
        <w:t>S</w:t>
      </w:r>
      <w:r>
        <w:rPr>
          <w:rFonts w:ascii="Times New Roman" w:hAnsi="Times New Roman" w:cs="Times New Roman"/>
        </w:rPr>
        <w:t xml:space="preserve">1. Semiconductor characterization. </w:t>
      </w:r>
    </w:p>
    <w:tbl>
      <w:tblPr>
        <w:tblStyle w:val="TableGrid"/>
        <w:tblW w:w="0" w:type="auto"/>
        <w:tblLook w:val="04A0" w:firstRow="1" w:lastRow="0" w:firstColumn="1" w:lastColumn="0" w:noHBand="0" w:noVBand="1"/>
      </w:tblPr>
      <w:tblGrid>
        <w:gridCol w:w="1578"/>
        <w:gridCol w:w="1570"/>
        <w:gridCol w:w="1562"/>
        <w:gridCol w:w="1545"/>
        <w:gridCol w:w="1545"/>
        <w:gridCol w:w="1550"/>
      </w:tblGrid>
      <w:tr w:rsidR="00A82438" w14:paraId="0E507E3B" w14:textId="77777777" w:rsidTr="0083020C">
        <w:tc>
          <w:tcPr>
            <w:tcW w:w="1596" w:type="dxa"/>
          </w:tcPr>
          <w:p w14:paraId="6071DAD1" w14:textId="77777777" w:rsidR="00A82438" w:rsidRDefault="00A82438" w:rsidP="0083020C">
            <w:pPr>
              <w:jc w:val="center"/>
              <w:rPr>
                <w:rFonts w:ascii="Times New Roman" w:hAnsi="Times New Roman" w:cs="Times New Roman"/>
              </w:rPr>
            </w:pPr>
            <w:r>
              <w:rPr>
                <w:rFonts w:ascii="Times New Roman" w:hAnsi="Times New Roman" w:cs="Times New Roman"/>
              </w:rPr>
              <w:t>Particle population</w:t>
            </w:r>
          </w:p>
        </w:tc>
        <w:tc>
          <w:tcPr>
            <w:tcW w:w="1596" w:type="dxa"/>
          </w:tcPr>
          <w:p w14:paraId="0AE472AC" w14:textId="77777777" w:rsidR="00A82438" w:rsidRDefault="00A82438" w:rsidP="0083020C">
            <w:pPr>
              <w:jc w:val="center"/>
              <w:rPr>
                <w:rFonts w:ascii="Times New Roman" w:hAnsi="Times New Roman" w:cs="Times New Roman"/>
              </w:rPr>
            </w:pPr>
            <w:r>
              <w:rPr>
                <w:rFonts w:ascii="Times New Roman" w:hAnsi="Times New Roman" w:cs="Times New Roman"/>
              </w:rPr>
              <w:t>Diameter (nm)</w:t>
            </w:r>
          </w:p>
        </w:tc>
        <w:tc>
          <w:tcPr>
            <w:tcW w:w="1596" w:type="dxa"/>
          </w:tcPr>
          <w:p w14:paraId="790FF5CA" w14:textId="77777777" w:rsidR="00A82438" w:rsidRDefault="00A82438" w:rsidP="0083020C">
            <w:pPr>
              <w:jc w:val="center"/>
              <w:rPr>
                <w:rFonts w:ascii="Times New Roman" w:hAnsi="Times New Roman" w:cs="Times New Roman"/>
              </w:rPr>
            </w:pPr>
            <w:r>
              <w:rPr>
                <w:rFonts w:ascii="Times New Roman" w:hAnsi="Times New Roman" w:cs="Times New Roman"/>
              </w:rPr>
              <w:t>Surface area (m</w:t>
            </w:r>
            <w:r w:rsidRPr="00687E66">
              <w:rPr>
                <w:rFonts w:ascii="Times New Roman" w:hAnsi="Times New Roman" w:cs="Times New Roman"/>
                <w:vertAlign w:val="superscript"/>
              </w:rPr>
              <w:t>2</w:t>
            </w:r>
            <w:r>
              <w:rPr>
                <w:rFonts w:ascii="Times New Roman" w:hAnsi="Times New Roman" w:cs="Times New Roman"/>
              </w:rPr>
              <w:t>/g)</w:t>
            </w:r>
          </w:p>
        </w:tc>
        <w:tc>
          <w:tcPr>
            <w:tcW w:w="1596" w:type="dxa"/>
          </w:tcPr>
          <w:p w14:paraId="74554742" w14:textId="77777777" w:rsidR="00A82438" w:rsidRDefault="00A82438" w:rsidP="0083020C">
            <w:pPr>
              <w:jc w:val="center"/>
              <w:rPr>
                <w:rFonts w:ascii="Times New Roman" w:hAnsi="Times New Roman" w:cs="Times New Roman"/>
              </w:rPr>
            </w:pPr>
            <w:r>
              <w:rPr>
                <w:rFonts w:ascii="Times New Roman" w:hAnsi="Times New Roman" w:cs="Times New Roman"/>
              </w:rPr>
              <w:t>VB</w:t>
            </w:r>
          </w:p>
        </w:tc>
        <w:tc>
          <w:tcPr>
            <w:tcW w:w="1596" w:type="dxa"/>
          </w:tcPr>
          <w:p w14:paraId="069B9901" w14:textId="77777777" w:rsidR="00A82438" w:rsidRDefault="00A82438" w:rsidP="0083020C">
            <w:pPr>
              <w:jc w:val="center"/>
              <w:rPr>
                <w:rFonts w:ascii="Times New Roman" w:hAnsi="Times New Roman" w:cs="Times New Roman"/>
              </w:rPr>
            </w:pPr>
            <w:r>
              <w:rPr>
                <w:rFonts w:ascii="Times New Roman" w:hAnsi="Times New Roman" w:cs="Times New Roman"/>
              </w:rPr>
              <w:t>CB</w:t>
            </w:r>
          </w:p>
        </w:tc>
        <w:tc>
          <w:tcPr>
            <w:tcW w:w="1596" w:type="dxa"/>
          </w:tcPr>
          <w:p w14:paraId="1A496FBE" w14:textId="77777777" w:rsidR="00A82438" w:rsidRDefault="00A82438" w:rsidP="0083020C">
            <w:pPr>
              <w:jc w:val="center"/>
              <w:rPr>
                <w:rFonts w:ascii="Times New Roman" w:hAnsi="Times New Roman" w:cs="Times New Roman"/>
              </w:rPr>
            </w:pPr>
            <w:r>
              <w:rPr>
                <w:rFonts w:ascii="Times New Roman" w:hAnsi="Times New Roman" w:cs="Times New Roman"/>
              </w:rPr>
              <w:t>Band gap</w:t>
            </w:r>
            <w:r>
              <w:rPr>
                <w:rFonts w:ascii="Times New Roman" w:hAnsi="Times New Roman" w:cs="Times New Roman"/>
                <w:vertAlign w:val="superscript"/>
              </w:rPr>
              <w:t>23</w:t>
            </w:r>
            <w:r>
              <w:rPr>
                <w:rFonts w:ascii="Times New Roman" w:hAnsi="Times New Roman" w:cs="Times New Roman"/>
              </w:rPr>
              <w:t xml:space="preserve"> (eV)</w:t>
            </w:r>
          </w:p>
        </w:tc>
      </w:tr>
      <w:tr w:rsidR="00A82438" w14:paraId="21DB8716" w14:textId="77777777" w:rsidTr="0083020C">
        <w:tc>
          <w:tcPr>
            <w:tcW w:w="1596" w:type="dxa"/>
          </w:tcPr>
          <w:p w14:paraId="4107455F" w14:textId="77777777" w:rsidR="00A82438" w:rsidRDefault="00A82438" w:rsidP="0083020C">
            <w:pPr>
              <w:jc w:val="center"/>
              <w:rPr>
                <w:rFonts w:ascii="Times New Roman" w:hAnsi="Times New Roman" w:cs="Times New Roman"/>
              </w:rPr>
            </w:pPr>
            <w:r>
              <w:rPr>
                <w:rFonts w:ascii="Times New Roman" w:hAnsi="Times New Roman" w:cs="Times New Roman"/>
              </w:rPr>
              <w:t>Cu</w:t>
            </w:r>
            <w:r w:rsidRPr="00687E66">
              <w:rPr>
                <w:rFonts w:ascii="Times New Roman" w:hAnsi="Times New Roman" w:cs="Times New Roman"/>
                <w:vertAlign w:val="subscript"/>
              </w:rPr>
              <w:t>2</w:t>
            </w:r>
            <w:r>
              <w:rPr>
                <w:rFonts w:ascii="Times New Roman" w:hAnsi="Times New Roman" w:cs="Times New Roman"/>
              </w:rPr>
              <w:t>O</w:t>
            </w:r>
          </w:p>
        </w:tc>
        <w:tc>
          <w:tcPr>
            <w:tcW w:w="1596" w:type="dxa"/>
          </w:tcPr>
          <w:p w14:paraId="4EFD203B" w14:textId="77777777" w:rsidR="00A82438" w:rsidRDefault="00A82438" w:rsidP="0083020C">
            <w:pPr>
              <w:jc w:val="center"/>
              <w:rPr>
                <w:rFonts w:ascii="Times New Roman" w:hAnsi="Times New Roman" w:cs="Times New Roman"/>
              </w:rPr>
            </w:pPr>
            <w:r>
              <w:rPr>
                <w:rFonts w:ascii="Times New Roman" w:hAnsi="Times New Roman" w:cs="Times New Roman"/>
              </w:rPr>
              <w:t>&lt;350</w:t>
            </w:r>
          </w:p>
        </w:tc>
        <w:tc>
          <w:tcPr>
            <w:tcW w:w="1596" w:type="dxa"/>
          </w:tcPr>
          <w:p w14:paraId="5FCA65A7" w14:textId="77777777" w:rsidR="00A82438" w:rsidRDefault="00A82438" w:rsidP="0083020C">
            <w:pPr>
              <w:jc w:val="center"/>
              <w:rPr>
                <w:rFonts w:ascii="Times New Roman" w:hAnsi="Times New Roman" w:cs="Times New Roman"/>
              </w:rPr>
            </w:pPr>
            <w:r>
              <w:rPr>
                <w:rFonts w:ascii="Times New Roman" w:hAnsi="Times New Roman" w:cs="Times New Roman"/>
              </w:rPr>
              <w:t>6.49</w:t>
            </w:r>
          </w:p>
        </w:tc>
        <w:tc>
          <w:tcPr>
            <w:tcW w:w="1596" w:type="dxa"/>
          </w:tcPr>
          <w:p w14:paraId="72AA98EC" w14:textId="77777777" w:rsidR="00A82438" w:rsidRDefault="00A82438" w:rsidP="0083020C">
            <w:pPr>
              <w:jc w:val="center"/>
              <w:rPr>
                <w:rFonts w:ascii="Times New Roman" w:hAnsi="Times New Roman" w:cs="Times New Roman"/>
              </w:rPr>
            </w:pPr>
            <w:r>
              <w:rPr>
                <w:rFonts w:ascii="Times New Roman" w:hAnsi="Times New Roman" w:cs="Times New Roman"/>
              </w:rPr>
              <w:t>1.3</w:t>
            </w:r>
          </w:p>
        </w:tc>
        <w:tc>
          <w:tcPr>
            <w:tcW w:w="1596" w:type="dxa"/>
          </w:tcPr>
          <w:p w14:paraId="15B98D19" w14:textId="77777777" w:rsidR="00A82438" w:rsidRDefault="00A82438" w:rsidP="0083020C">
            <w:pPr>
              <w:jc w:val="center"/>
              <w:rPr>
                <w:rFonts w:ascii="Times New Roman" w:hAnsi="Times New Roman" w:cs="Times New Roman"/>
              </w:rPr>
            </w:pPr>
            <w:r>
              <w:rPr>
                <w:rFonts w:ascii="Times New Roman" w:hAnsi="Times New Roman" w:cs="Times New Roman"/>
              </w:rPr>
              <w:t>-0.7</w:t>
            </w:r>
          </w:p>
        </w:tc>
        <w:tc>
          <w:tcPr>
            <w:tcW w:w="1596" w:type="dxa"/>
          </w:tcPr>
          <w:p w14:paraId="0A66B933" w14:textId="77777777" w:rsidR="00A82438" w:rsidRDefault="00A82438" w:rsidP="0083020C">
            <w:pPr>
              <w:jc w:val="center"/>
              <w:rPr>
                <w:rFonts w:ascii="Times New Roman" w:hAnsi="Times New Roman" w:cs="Times New Roman"/>
              </w:rPr>
            </w:pPr>
            <w:r>
              <w:rPr>
                <w:rFonts w:ascii="Times New Roman" w:hAnsi="Times New Roman" w:cs="Times New Roman"/>
              </w:rPr>
              <w:t>2.0</w:t>
            </w:r>
          </w:p>
        </w:tc>
      </w:tr>
      <w:tr w:rsidR="00A82438" w14:paraId="6E615F4C" w14:textId="77777777" w:rsidTr="0083020C">
        <w:tc>
          <w:tcPr>
            <w:tcW w:w="1596" w:type="dxa"/>
          </w:tcPr>
          <w:p w14:paraId="7DDA1B40" w14:textId="77777777" w:rsidR="00A82438" w:rsidRDefault="00A82438" w:rsidP="0083020C">
            <w:pPr>
              <w:jc w:val="center"/>
              <w:rPr>
                <w:rFonts w:ascii="Times New Roman" w:hAnsi="Times New Roman" w:cs="Times New Roman"/>
              </w:rPr>
            </w:pPr>
            <w:r>
              <w:rPr>
                <w:rFonts w:ascii="Times New Roman" w:hAnsi="Times New Roman" w:cs="Times New Roman"/>
              </w:rPr>
              <w:t>TiO</w:t>
            </w:r>
            <w:r w:rsidRPr="00687E66">
              <w:rPr>
                <w:rFonts w:ascii="Times New Roman" w:hAnsi="Times New Roman" w:cs="Times New Roman"/>
                <w:vertAlign w:val="subscript"/>
              </w:rPr>
              <w:t>2</w:t>
            </w:r>
          </w:p>
        </w:tc>
        <w:tc>
          <w:tcPr>
            <w:tcW w:w="1596" w:type="dxa"/>
          </w:tcPr>
          <w:p w14:paraId="3354524C" w14:textId="77777777" w:rsidR="00A82438" w:rsidRDefault="00A82438" w:rsidP="0083020C">
            <w:pPr>
              <w:jc w:val="center"/>
              <w:rPr>
                <w:rFonts w:ascii="Times New Roman" w:hAnsi="Times New Roman" w:cs="Times New Roman"/>
              </w:rPr>
            </w:pPr>
            <w:r>
              <w:rPr>
                <w:rFonts w:ascii="Times New Roman" w:hAnsi="Times New Roman" w:cs="Times New Roman"/>
              </w:rPr>
              <w:t>21</w:t>
            </w:r>
          </w:p>
        </w:tc>
        <w:tc>
          <w:tcPr>
            <w:tcW w:w="1596" w:type="dxa"/>
          </w:tcPr>
          <w:p w14:paraId="44E604C0" w14:textId="77777777" w:rsidR="00A82438" w:rsidRDefault="00A82438" w:rsidP="0083020C">
            <w:pPr>
              <w:jc w:val="center"/>
              <w:rPr>
                <w:rFonts w:ascii="Times New Roman" w:hAnsi="Times New Roman" w:cs="Times New Roman"/>
              </w:rPr>
            </w:pPr>
            <w:r>
              <w:rPr>
                <w:rFonts w:ascii="Times New Roman" w:hAnsi="Times New Roman" w:cs="Times New Roman"/>
              </w:rPr>
              <w:t>56.33</w:t>
            </w:r>
          </w:p>
        </w:tc>
        <w:tc>
          <w:tcPr>
            <w:tcW w:w="1596" w:type="dxa"/>
          </w:tcPr>
          <w:p w14:paraId="47511D1B" w14:textId="77777777" w:rsidR="00A82438" w:rsidRDefault="00A82438" w:rsidP="0083020C">
            <w:pPr>
              <w:jc w:val="center"/>
              <w:rPr>
                <w:rFonts w:ascii="Times New Roman" w:hAnsi="Times New Roman" w:cs="Times New Roman"/>
              </w:rPr>
            </w:pPr>
            <w:r>
              <w:rPr>
                <w:rFonts w:ascii="Times New Roman" w:hAnsi="Times New Roman" w:cs="Times New Roman"/>
              </w:rPr>
              <w:t>3.38</w:t>
            </w:r>
          </w:p>
        </w:tc>
        <w:tc>
          <w:tcPr>
            <w:tcW w:w="1596" w:type="dxa"/>
          </w:tcPr>
          <w:p w14:paraId="0DD6691B" w14:textId="77777777" w:rsidR="00A82438" w:rsidRDefault="00A82438" w:rsidP="0083020C">
            <w:pPr>
              <w:jc w:val="center"/>
              <w:rPr>
                <w:rFonts w:ascii="Times New Roman" w:hAnsi="Times New Roman" w:cs="Times New Roman"/>
              </w:rPr>
            </w:pPr>
            <w:r>
              <w:rPr>
                <w:rFonts w:ascii="Times New Roman" w:hAnsi="Times New Roman" w:cs="Times New Roman"/>
              </w:rPr>
              <w:t>0.15</w:t>
            </w:r>
          </w:p>
        </w:tc>
        <w:tc>
          <w:tcPr>
            <w:tcW w:w="1596" w:type="dxa"/>
          </w:tcPr>
          <w:p w14:paraId="758AF18B" w14:textId="77777777" w:rsidR="00A82438" w:rsidRDefault="00A82438" w:rsidP="0083020C">
            <w:pPr>
              <w:jc w:val="center"/>
              <w:rPr>
                <w:rFonts w:ascii="Times New Roman" w:hAnsi="Times New Roman" w:cs="Times New Roman"/>
              </w:rPr>
            </w:pPr>
            <w:r>
              <w:rPr>
                <w:rFonts w:ascii="Times New Roman" w:hAnsi="Times New Roman" w:cs="Times New Roman"/>
              </w:rPr>
              <w:t>3.23</w:t>
            </w:r>
          </w:p>
        </w:tc>
      </w:tr>
    </w:tbl>
    <w:p w14:paraId="2891E5EA" w14:textId="77777777" w:rsidR="00A82438" w:rsidRDefault="00A82438" w:rsidP="00A82438">
      <w:pPr>
        <w:jc w:val="both"/>
        <w:rPr>
          <w:rFonts w:ascii="Times New Roman" w:hAnsi="Times New Roman" w:cs="Times New Roman"/>
        </w:rPr>
      </w:pPr>
    </w:p>
    <w:p w14:paraId="002E0CDE" w14:textId="77777777" w:rsidR="005C1C71" w:rsidRDefault="005C1C71" w:rsidP="00DC70D2">
      <w:pPr>
        <w:jc w:val="both"/>
        <w:rPr>
          <w:rFonts w:ascii="Times New Roman" w:hAnsi="Times New Roman" w:cs="Times New Roman"/>
        </w:rPr>
      </w:pPr>
    </w:p>
    <w:p w14:paraId="01B03F60" w14:textId="77777777" w:rsidR="00DC70D2" w:rsidRDefault="00DC70D2" w:rsidP="00DC70D2">
      <w:pPr>
        <w:jc w:val="both"/>
        <w:rPr>
          <w:rFonts w:ascii="Times New Roman" w:hAnsi="Times New Roman" w:cs="Times New Roman"/>
        </w:rPr>
      </w:pPr>
      <w:r>
        <w:rPr>
          <w:rFonts w:ascii="Times New Roman" w:hAnsi="Times New Roman" w:cs="Times New Roman"/>
        </w:rPr>
        <w:t xml:space="preserve">Table </w:t>
      </w:r>
      <w:r w:rsidR="000D10A9">
        <w:rPr>
          <w:rFonts w:ascii="Times New Roman" w:hAnsi="Times New Roman" w:cs="Times New Roman"/>
        </w:rPr>
        <w:t>S</w:t>
      </w:r>
      <w:r>
        <w:rPr>
          <w:rFonts w:ascii="Times New Roman" w:hAnsi="Times New Roman" w:cs="Times New Roman"/>
        </w:rPr>
        <w:t>2. Productivities for Cu</w:t>
      </w:r>
      <w:r w:rsidRPr="009A7629">
        <w:rPr>
          <w:rFonts w:ascii="Times New Roman" w:hAnsi="Times New Roman" w:cs="Times New Roman"/>
          <w:vertAlign w:val="subscript"/>
        </w:rPr>
        <w:t>2</w:t>
      </w:r>
      <w:r>
        <w:rPr>
          <w:rFonts w:ascii="Times New Roman" w:hAnsi="Times New Roman" w:cs="Times New Roman"/>
        </w:rPr>
        <w:t>O and TiO</w:t>
      </w:r>
      <w:r w:rsidRPr="009A7629">
        <w:rPr>
          <w:rFonts w:ascii="Times New Roman" w:hAnsi="Times New Roman" w:cs="Times New Roman"/>
          <w:vertAlign w:val="subscript"/>
        </w:rPr>
        <w:t>2</w:t>
      </w:r>
      <w:r>
        <w:rPr>
          <w:rFonts w:ascii="Times New Roman" w:hAnsi="Times New Roman" w:cs="Times New Roman"/>
        </w:rPr>
        <w:t xml:space="preserve"> in different hole scavengers (in units of mmol formate/g cat-</w:t>
      </w:r>
      <w:proofErr w:type="spellStart"/>
      <w:proofErr w:type="gramStart"/>
      <w:r>
        <w:rPr>
          <w:rFonts w:ascii="Times New Roman" w:hAnsi="Times New Roman" w:cs="Times New Roman"/>
        </w:rPr>
        <w:t>hr</w:t>
      </w:r>
      <w:proofErr w:type="spellEnd"/>
      <w:r>
        <w:rPr>
          <w:rFonts w:ascii="Times New Roman" w:hAnsi="Times New Roman" w:cs="Times New Roman"/>
        </w:rPr>
        <w:t>)*</w:t>
      </w:r>
      <w:proofErr w:type="gramEnd"/>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06"/>
        <w:gridCol w:w="1652"/>
        <w:gridCol w:w="1330"/>
        <w:gridCol w:w="1331"/>
        <w:gridCol w:w="1323"/>
        <w:gridCol w:w="1399"/>
        <w:gridCol w:w="1409"/>
      </w:tblGrid>
      <w:tr w:rsidR="00DC70D2" w14:paraId="1677CA9B" w14:textId="77777777" w:rsidTr="0083020C">
        <w:tc>
          <w:tcPr>
            <w:tcW w:w="918" w:type="dxa"/>
          </w:tcPr>
          <w:p w14:paraId="617BE51F" w14:textId="77777777" w:rsidR="00DC70D2" w:rsidRDefault="00DC70D2" w:rsidP="0083020C">
            <w:pPr>
              <w:jc w:val="center"/>
              <w:rPr>
                <w:rFonts w:ascii="Times New Roman" w:hAnsi="Times New Roman" w:cs="Times New Roman"/>
              </w:rPr>
            </w:pPr>
          </w:p>
        </w:tc>
        <w:tc>
          <w:tcPr>
            <w:tcW w:w="1710" w:type="dxa"/>
          </w:tcPr>
          <w:p w14:paraId="6911B4A8" w14:textId="77777777" w:rsidR="00DC70D2" w:rsidRDefault="00DC70D2" w:rsidP="0083020C">
            <w:pPr>
              <w:jc w:val="center"/>
              <w:rPr>
                <w:rFonts w:ascii="Times New Roman" w:hAnsi="Times New Roman" w:cs="Times New Roman"/>
              </w:rPr>
            </w:pPr>
            <w:r>
              <w:rPr>
                <w:rFonts w:ascii="Times New Roman" w:hAnsi="Times New Roman" w:cs="Times New Roman"/>
              </w:rPr>
              <w:t>IPA</w:t>
            </w:r>
          </w:p>
        </w:tc>
        <w:tc>
          <w:tcPr>
            <w:tcW w:w="1350" w:type="dxa"/>
          </w:tcPr>
          <w:p w14:paraId="674C8C36" w14:textId="77777777" w:rsidR="00DC70D2" w:rsidRDefault="00DC70D2" w:rsidP="0083020C">
            <w:pPr>
              <w:jc w:val="center"/>
              <w:rPr>
                <w:rFonts w:ascii="Times New Roman" w:hAnsi="Times New Roman" w:cs="Times New Roman"/>
              </w:rPr>
            </w:pPr>
            <w:r>
              <w:rPr>
                <w:rFonts w:ascii="Times New Roman" w:hAnsi="Times New Roman" w:cs="Times New Roman"/>
              </w:rPr>
              <w:t>Glycerol</w:t>
            </w:r>
          </w:p>
        </w:tc>
        <w:tc>
          <w:tcPr>
            <w:tcW w:w="1350" w:type="dxa"/>
          </w:tcPr>
          <w:p w14:paraId="7EABE521" w14:textId="77777777" w:rsidR="00DC70D2" w:rsidRDefault="00DC70D2" w:rsidP="0083020C">
            <w:pPr>
              <w:jc w:val="center"/>
              <w:rPr>
                <w:rFonts w:ascii="Times New Roman" w:hAnsi="Times New Roman" w:cs="Times New Roman"/>
              </w:rPr>
            </w:pPr>
            <w:r>
              <w:rPr>
                <w:rFonts w:ascii="Times New Roman" w:hAnsi="Times New Roman" w:cs="Times New Roman"/>
              </w:rPr>
              <w:t>Ethylene glycol</w:t>
            </w:r>
          </w:p>
        </w:tc>
        <w:tc>
          <w:tcPr>
            <w:tcW w:w="1350" w:type="dxa"/>
          </w:tcPr>
          <w:p w14:paraId="23822A50" w14:textId="77777777" w:rsidR="00DC70D2" w:rsidRDefault="00DC70D2" w:rsidP="0083020C">
            <w:pPr>
              <w:jc w:val="center"/>
              <w:rPr>
                <w:rFonts w:ascii="Times New Roman" w:hAnsi="Times New Roman" w:cs="Times New Roman"/>
              </w:rPr>
            </w:pPr>
            <w:r>
              <w:rPr>
                <w:rFonts w:ascii="Times New Roman" w:hAnsi="Times New Roman" w:cs="Times New Roman"/>
              </w:rPr>
              <w:t>Sodium sulfite</w:t>
            </w:r>
          </w:p>
        </w:tc>
        <w:tc>
          <w:tcPr>
            <w:tcW w:w="1440" w:type="dxa"/>
          </w:tcPr>
          <w:p w14:paraId="539DF456" w14:textId="77777777" w:rsidR="00DC70D2" w:rsidRDefault="00DC70D2" w:rsidP="0083020C">
            <w:pPr>
              <w:jc w:val="center"/>
              <w:rPr>
                <w:rFonts w:ascii="Times New Roman" w:hAnsi="Times New Roman" w:cs="Times New Roman"/>
              </w:rPr>
            </w:pPr>
            <w:r>
              <w:rPr>
                <w:rFonts w:ascii="Times New Roman" w:hAnsi="Times New Roman" w:cs="Times New Roman"/>
              </w:rPr>
              <w:t>EDTA</w:t>
            </w:r>
          </w:p>
        </w:tc>
        <w:tc>
          <w:tcPr>
            <w:tcW w:w="1458" w:type="dxa"/>
          </w:tcPr>
          <w:p w14:paraId="6DB366B3" w14:textId="77777777" w:rsidR="00DC70D2" w:rsidRDefault="00DC70D2" w:rsidP="0083020C">
            <w:pPr>
              <w:jc w:val="center"/>
              <w:rPr>
                <w:rFonts w:ascii="Times New Roman" w:hAnsi="Times New Roman" w:cs="Times New Roman"/>
              </w:rPr>
            </w:pPr>
            <w:r>
              <w:rPr>
                <w:rFonts w:ascii="Times New Roman" w:hAnsi="Times New Roman" w:cs="Times New Roman"/>
              </w:rPr>
              <w:t>TEA</w:t>
            </w:r>
          </w:p>
        </w:tc>
      </w:tr>
      <w:tr w:rsidR="00DC70D2" w14:paraId="3574C882" w14:textId="77777777" w:rsidTr="0083020C">
        <w:tc>
          <w:tcPr>
            <w:tcW w:w="918" w:type="dxa"/>
          </w:tcPr>
          <w:p w14:paraId="0CA44D3D" w14:textId="77777777" w:rsidR="00DC70D2" w:rsidRDefault="00DC70D2" w:rsidP="0083020C">
            <w:pPr>
              <w:jc w:val="center"/>
              <w:rPr>
                <w:rFonts w:ascii="Times New Roman" w:hAnsi="Times New Roman" w:cs="Times New Roman"/>
              </w:rPr>
            </w:pPr>
            <w:r>
              <w:rPr>
                <w:rFonts w:ascii="Times New Roman" w:hAnsi="Times New Roman" w:cs="Times New Roman"/>
              </w:rPr>
              <w:t>Cu</w:t>
            </w:r>
            <w:r w:rsidRPr="000320CC">
              <w:rPr>
                <w:rFonts w:ascii="Times New Roman" w:hAnsi="Times New Roman" w:cs="Times New Roman"/>
                <w:vertAlign w:val="subscript"/>
              </w:rPr>
              <w:t>2</w:t>
            </w:r>
            <w:r>
              <w:rPr>
                <w:rFonts w:ascii="Times New Roman" w:hAnsi="Times New Roman" w:cs="Times New Roman"/>
              </w:rPr>
              <w:t>O</w:t>
            </w:r>
          </w:p>
        </w:tc>
        <w:tc>
          <w:tcPr>
            <w:tcW w:w="1710" w:type="dxa"/>
          </w:tcPr>
          <w:p w14:paraId="1633E817" w14:textId="77777777" w:rsidR="00DC70D2" w:rsidRDefault="00DC70D2" w:rsidP="0083020C">
            <w:pPr>
              <w:jc w:val="center"/>
              <w:rPr>
                <w:rFonts w:ascii="Times New Roman" w:hAnsi="Times New Roman" w:cs="Times New Roman"/>
              </w:rPr>
            </w:pPr>
            <w:r>
              <w:rPr>
                <w:rFonts w:ascii="Times New Roman" w:hAnsi="Times New Roman" w:cs="Times New Roman"/>
              </w:rPr>
              <w:t>0.22 ± 0.0009</w:t>
            </w:r>
          </w:p>
        </w:tc>
        <w:tc>
          <w:tcPr>
            <w:tcW w:w="1350" w:type="dxa"/>
          </w:tcPr>
          <w:p w14:paraId="605B8668" w14:textId="77777777" w:rsidR="00DC70D2" w:rsidRDefault="00DC70D2" w:rsidP="0083020C">
            <w:pPr>
              <w:jc w:val="center"/>
              <w:rPr>
                <w:rFonts w:ascii="Times New Roman" w:hAnsi="Times New Roman" w:cs="Times New Roman"/>
              </w:rPr>
            </w:pPr>
            <w:r>
              <w:rPr>
                <w:rFonts w:ascii="Times New Roman" w:hAnsi="Times New Roman" w:cs="Times New Roman"/>
              </w:rPr>
              <w:t>2.16 ± 0.1</w:t>
            </w:r>
          </w:p>
        </w:tc>
        <w:tc>
          <w:tcPr>
            <w:tcW w:w="1350" w:type="dxa"/>
          </w:tcPr>
          <w:p w14:paraId="32402BA2" w14:textId="77777777" w:rsidR="00DC70D2" w:rsidRDefault="00DC70D2" w:rsidP="0083020C">
            <w:pPr>
              <w:jc w:val="center"/>
              <w:rPr>
                <w:rFonts w:ascii="Times New Roman" w:hAnsi="Times New Roman" w:cs="Times New Roman"/>
              </w:rPr>
            </w:pPr>
            <w:r>
              <w:rPr>
                <w:rFonts w:ascii="Times New Roman" w:hAnsi="Times New Roman" w:cs="Times New Roman"/>
              </w:rPr>
              <w:t>0.56 ± 0.01</w:t>
            </w:r>
          </w:p>
        </w:tc>
        <w:tc>
          <w:tcPr>
            <w:tcW w:w="1350" w:type="dxa"/>
          </w:tcPr>
          <w:p w14:paraId="62D6B63F" w14:textId="77777777" w:rsidR="00DC70D2" w:rsidRDefault="00DC70D2" w:rsidP="0083020C">
            <w:pPr>
              <w:jc w:val="center"/>
              <w:rPr>
                <w:rFonts w:ascii="Times New Roman" w:hAnsi="Times New Roman" w:cs="Times New Roman"/>
              </w:rPr>
            </w:pPr>
            <w:r>
              <w:rPr>
                <w:rFonts w:ascii="Times New Roman" w:hAnsi="Times New Roman" w:cs="Times New Roman"/>
              </w:rPr>
              <w:t>0.62 ± 0.02</w:t>
            </w:r>
          </w:p>
        </w:tc>
        <w:tc>
          <w:tcPr>
            <w:tcW w:w="1440" w:type="dxa"/>
          </w:tcPr>
          <w:p w14:paraId="621A8B44" w14:textId="77777777" w:rsidR="00DC70D2" w:rsidRDefault="00DC70D2" w:rsidP="0083020C">
            <w:pPr>
              <w:jc w:val="center"/>
              <w:rPr>
                <w:rFonts w:ascii="Times New Roman" w:hAnsi="Times New Roman" w:cs="Times New Roman"/>
              </w:rPr>
            </w:pPr>
            <w:r>
              <w:rPr>
                <w:rFonts w:ascii="Times New Roman" w:hAnsi="Times New Roman" w:cs="Times New Roman"/>
              </w:rPr>
              <w:t>0.43 ± 0.008</w:t>
            </w:r>
          </w:p>
        </w:tc>
        <w:tc>
          <w:tcPr>
            <w:tcW w:w="1458" w:type="dxa"/>
          </w:tcPr>
          <w:p w14:paraId="2F5D9DA0" w14:textId="77777777" w:rsidR="00DC70D2" w:rsidRDefault="00DC70D2" w:rsidP="0083020C">
            <w:pPr>
              <w:jc w:val="center"/>
              <w:rPr>
                <w:rFonts w:ascii="Times New Roman" w:hAnsi="Times New Roman" w:cs="Times New Roman"/>
              </w:rPr>
            </w:pPr>
            <w:r>
              <w:rPr>
                <w:rFonts w:ascii="Times New Roman" w:hAnsi="Times New Roman" w:cs="Times New Roman"/>
              </w:rPr>
              <w:t>0.51 ± 0.003</w:t>
            </w:r>
          </w:p>
        </w:tc>
      </w:tr>
      <w:tr w:rsidR="00DC70D2" w14:paraId="550E7ED9" w14:textId="77777777" w:rsidTr="0083020C">
        <w:tc>
          <w:tcPr>
            <w:tcW w:w="918" w:type="dxa"/>
          </w:tcPr>
          <w:p w14:paraId="5C3D04B5" w14:textId="77777777" w:rsidR="00DC70D2" w:rsidRDefault="00DC70D2" w:rsidP="0083020C">
            <w:pPr>
              <w:jc w:val="center"/>
              <w:rPr>
                <w:rFonts w:ascii="Times New Roman" w:hAnsi="Times New Roman" w:cs="Times New Roman"/>
              </w:rPr>
            </w:pPr>
            <w:r>
              <w:rPr>
                <w:rFonts w:ascii="Times New Roman" w:hAnsi="Times New Roman" w:cs="Times New Roman"/>
              </w:rPr>
              <w:t>TiO</w:t>
            </w:r>
            <w:r w:rsidRPr="000320CC">
              <w:rPr>
                <w:rFonts w:ascii="Times New Roman" w:hAnsi="Times New Roman" w:cs="Times New Roman"/>
                <w:vertAlign w:val="subscript"/>
              </w:rPr>
              <w:t>2</w:t>
            </w:r>
          </w:p>
        </w:tc>
        <w:tc>
          <w:tcPr>
            <w:tcW w:w="1710" w:type="dxa"/>
          </w:tcPr>
          <w:p w14:paraId="2BEA79A8" w14:textId="77777777" w:rsidR="00DC70D2" w:rsidRDefault="00DC70D2" w:rsidP="0083020C">
            <w:pPr>
              <w:jc w:val="center"/>
              <w:rPr>
                <w:rFonts w:ascii="Times New Roman" w:hAnsi="Times New Roman" w:cs="Times New Roman"/>
              </w:rPr>
            </w:pPr>
            <w:r>
              <w:rPr>
                <w:rFonts w:ascii="Times New Roman" w:hAnsi="Times New Roman" w:cs="Times New Roman"/>
              </w:rPr>
              <w:t>0.06 ± 0.0003</w:t>
            </w:r>
          </w:p>
        </w:tc>
        <w:tc>
          <w:tcPr>
            <w:tcW w:w="1350" w:type="dxa"/>
          </w:tcPr>
          <w:p w14:paraId="5D49FD11" w14:textId="77777777" w:rsidR="00DC70D2" w:rsidRDefault="00DC70D2" w:rsidP="0083020C">
            <w:pPr>
              <w:jc w:val="center"/>
              <w:rPr>
                <w:rFonts w:ascii="Times New Roman" w:hAnsi="Times New Roman" w:cs="Times New Roman"/>
              </w:rPr>
            </w:pPr>
            <w:r>
              <w:rPr>
                <w:rFonts w:ascii="Times New Roman" w:hAnsi="Times New Roman" w:cs="Times New Roman"/>
              </w:rPr>
              <w:t>2.52 ± 0.2</w:t>
            </w:r>
          </w:p>
        </w:tc>
        <w:tc>
          <w:tcPr>
            <w:tcW w:w="1350" w:type="dxa"/>
          </w:tcPr>
          <w:p w14:paraId="7A7E699C" w14:textId="77777777" w:rsidR="00DC70D2" w:rsidRDefault="00DC70D2" w:rsidP="0083020C">
            <w:pPr>
              <w:jc w:val="center"/>
              <w:rPr>
                <w:rFonts w:ascii="Times New Roman" w:hAnsi="Times New Roman" w:cs="Times New Roman"/>
              </w:rPr>
            </w:pPr>
            <w:r>
              <w:rPr>
                <w:rFonts w:ascii="Times New Roman" w:hAnsi="Times New Roman" w:cs="Times New Roman"/>
              </w:rPr>
              <w:t>1.22 ± 0.09</w:t>
            </w:r>
          </w:p>
        </w:tc>
        <w:tc>
          <w:tcPr>
            <w:tcW w:w="1350" w:type="dxa"/>
          </w:tcPr>
          <w:p w14:paraId="5EA69036" w14:textId="77777777" w:rsidR="00DC70D2" w:rsidRDefault="00DC70D2" w:rsidP="0083020C">
            <w:pPr>
              <w:jc w:val="center"/>
              <w:rPr>
                <w:rFonts w:ascii="Times New Roman" w:hAnsi="Times New Roman" w:cs="Times New Roman"/>
              </w:rPr>
            </w:pPr>
            <w:r>
              <w:rPr>
                <w:rFonts w:ascii="Times New Roman" w:hAnsi="Times New Roman" w:cs="Times New Roman"/>
              </w:rPr>
              <w:t>------</w:t>
            </w:r>
          </w:p>
        </w:tc>
        <w:tc>
          <w:tcPr>
            <w:tcW w:w="1440" w:type="dxa"/>
          </w:tcPr>
          <w:p w14:paraId="36F76247" w14:textId="77777777" w:rsidR="00DC70D2" w:rsidRDefault="00DC70D2" w:rsidP="0083020C">
            <w:pPr>
              <w:jc w:val="center"/>
              <w:rPr>
                <w:rFonts w:ascii="Times New Roman" w:hAnsi="Times New Roman" w:cs="Times New Roman"/>
              </w:rPr>
            </w:pPr>
            <w:r>
              <w:rPr>
                <w:rFonts w:ascii="Times New Roman" w:hAnsi="Times New Roman" w:cs="Times New Roman"/>
              </w:rPr>
              <w:t>0.11 ± 0.003</w:t>
            </w:r>
          </w:p>
        </w:tc>
        <w:tc>
          <w:tcPr>
            <w:tcW w:w="1458" w:type="dxa"/>
          </w:tcPr>
          <w:p w14:paraId="4B81FE88" w14:textId="77777777" w:rsidR="00DC70D2" w:rsidRDefault="00DC70D2" w:rsidP="0083020C">
            <w:pPr>
              <w:jc w:val="center"/>
              <w:rPr>
                <w:rFonts w:ascii="Times New Roman" w:hAnsi="Times New Roman" w:cs="Times New Roman"/>
              </w:rPr>
            </w:pPr>
            <w:r>
              <w:rPr>
                <w:rFonts w:ascii="Times New Roman" w:hAnsi="Times New Roman" w:cs="Times New Roman"/>
              </w:rPr>
              <w:t>0.43 ± 0.02</w:t>
            </w:r>
          </w:p>
        </w:tc>
      </w:tr>
    </w:tbl>
    <w:p w14:paraId="282523B3" w14:textId="77777777" w:rsidR="00DC70D2" w:rsidRDefault="00DC70D2" w:rsidP="00DC70D2">
      <w:pPr>
        <w:jc w:val="both"/>
        <w:rPr>
          <w:rFonts w:ascii="Times New Roman" w:hAnsi="Times New Roman" w:cs="Times New Roman"/>
        </w:rPr>
      </w:pPr>
      <w:r>
        <w:rPr>
          <w:rFonts w:ascii="Times New Roman" w:hAnsi="Times New Roman" w:cs="Times New Roman"/>
        </w:rPr>
        <w:t xml:space="preserve">*All reported values are from triplicate measurements. Dashed lines </w:t>
      </w:r>
      <w:proofErr w:type="gramStart"/>
      <w:r>
        <w:rPr>
          <w:rFonts w:ascii="Times New Roman" w:hAnsi="Times New Roman" w:cs="Times New Roman"/>
        </w:rPr>
        <w:t>signifies</w:t>
      </w:r>
      <w:proofErr w:type="gramEnd"/>
      <w:r>
        <w:rPr>
          <w:rFonts w:ascii="Times New Roman" w:hAnsi="Times New Roman" w:cs="Times New Roman"/>
        </w:rPr>
        <w:t xml:space="preserve"> no formate was produced. </w:t>
      </w:r>
    </w:p>
    <w:p w14:paraId="33D74DD7" w14:textId="77777777" w:rsidR="00A82438" w:rsidRDefault="00A82438" w:rsidP="00A82438">
      <w:pPr>
        <w:jc w:val="both"/>
        <w:rPr>
          <w:rFonts w:ascii="Times New Roman" w:hAnsi="Times New Roman" w:cs="Times New Roman"/>
        </w:rPr>
      </w:pPr>
    </w:p>
    <w:p w14:paraId="65D1F357" w14:textId="77777777" w:rsidR="00A82438" w:rsidRDefault="00A82438" w:rsidP="0046246D">
      <w:pPr>
        <w:jc w:val="both"/>
        <w:rPr>
          <w:rFonts w:ascii="Times New Roman" w:hAnsi="Times New Roman" w:cs="Times New Roman"/>
        </w:rPr>
      </w:pPr>
    </w:p>
    <w:p w14:paraId="42714053" w14:textId="77777777" w:rsidR="0046246D" w:rsidRDefault="0046246D" w:rsidP="0046246D">
      <w:pPr>
        <w:jc w:val="both"/>
        <w:rPr>
          <w:rFonts w:ascii="Times New Roman" w:hAnsi="Times New Roman" w:cs="Times New Roman"/>
        </w:rPr>
      </w:pPr>
    </w:p>
    <w:p w14:paraId="0DBD8353" w14:textId="77777777" w:rsidR="0046246D" w:rsidRDefault="0046246D" w:rsidP="00700CBF">
      <w:pPr>
        <w:spacing w:line="480" w:lineRule="auto"/>
        <w:rPr>
          <w:rFonts w:ascii="Times New Roman" w:hAnsi="Times New Roman" w:cs="Times New Roman"/>
        </w:rPr>
      </w:pPr>
    </w:p>
    <w:p w14:paraId="3A63D275" w14:textId="77777777" w:rsidR="009C6485" w:rsidRDefault="009C6485"/>
    <w:sectPr w:rsidR="009C648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901D" w14:textId="77777777" w:rsidR="00481A51" w:rsidRDefault="00481A51" w:rsidP="002749E5">
      <w:r>
        <w:separator/>
      </w:r>
    </w:p>
  </w:endnote>
  <w:endnote w:type="continuationSeparator" w:id="0">
    <w:p w14:paraId="458BDE83" w14:textId="77777777" w:rsidR="00481A51" w:rsidRDefault="00481A51" w:rsidP="0027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113404"/>
      <w:docPartObj>
        <w:docPartGallery w:val="Page Numbers (Bottom of Page)"/>
        <w:docPartUnique/>
      </w:docPartObj>
    </w:sdtPr>
    <w:sdtEndPr>
      <w:rPr>
        <w:noProof/>
      </w:rPr>
    </w:sdtEndPr>
    <w:sdtContent>
      <w:p w14:paraId="2C94BC9A" w14:textId="77777777" w:rsidR="002749E5" w:rsidRDefault="002749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429AC" w14:textId="77777777" w:rsidR="002749E5" w:rsidRDefault="0027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0E21" w14:textId="77777777" w:rsidR="00481A51" w:rsidRDefault="00481A51" w:rsidP="002749E5">
      <w:r>
        <w:separator/>
      </w:r>
    </w:p>
  </w:footnote>
  <w:footnote w:type="continuationSeparator" w:id="0">
    <w:p w14:paraId="76B7623A" w14:textId="77777777" w:rsidR="00481A51" w:rsidRDefault="00481A51" w:rsidP="00274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BF"/>
    <w:rsid w:val="00046650"/>
    <w:rsid w:val="000D10A9"/>
    <w:rsid w:val="002749E5"/>
    <w:rsid w:val="003403B1"/>
    <w:rsid w:val="003748B6"/>
    <w:rsid w:val="00395162"/>
    <w:rsid w:val="003B0447"/>
    <w:rsid w:val="003C3607"/>
    <w:rsid w:val="00432DB1"/>
    <w:rsid w:val="0046246D"/>
    <w:rsid w:val="00481A51"/>
    <w:rsid w:val="005C1C71"/>
    <w:rsid w:val="006B15B0"/>
    <w:rsid w:val="00700CBF"/>
    <w:rsid w:val="00702DB0"/>
    <w:rsid w:val="00724392"/>
    <w:rsid w:val="007D098E"/>
    <w:rsid w:val="00881693"/>
    <w:rsid w:val="009C6485"/>
    <w:rsid w:val="00A82438"/>
    <w:rsid w:val="00B01542"/>
    <w:rsid w:val="00DA450E"/>
    <w:rsid w:val="00DC70D2"/>
    <w:rsid w:val="00EB019E"/>
    <w:rsid w:val="00F3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7A76"/>
  <w15:chartTrackingRefBased/>
  <w15:docId w15:val="{26852620-0841-46CD-BA9C-7EB08FC2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C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BF"/>
    <w:rPr>
      <w:color w:val="0563C1" w:themeColor="hyperlink"/>
      <w:u w:val="single"/>
    </w:rPr>
  </w:style>
  <w:style w:type="paragraph" w:styleId="Header">
    <w:name w:val="header"/>
    <w:basedOn w:val="Normal"/>
    <w:link w:val="HeaderChar"/>
    <w:uiPriority w:val="99"/>
    <w:unhideWhenUsed/>
    <w:rsid w:val="002749E5"/>
    <w:pPr>
      <w:tabs>
        <w:tab w:val="center" w:pos="4680"/>
        <w:tab w:val="right" w:pos="9360"/>
      </w:tabs>
    </w:pPr>
  </w:style>
  <w:style w:type="character" w:customStyle="1" w:styleId="HeaderChar">
    <w:name w:val="Header Char"/>
    <w:basedOn w:val="DefaultParagraphFont"/>
    <w:link w:val="Header"/>
    <w:uiPriority w:val="99"/>
    <w:rsid w:val="002749E5"/>
    <w:rPr>
      <w:rFonts w:eastAsiaTheme="minorEastAsia"/>
      <w:sz w:val="24"/>
      <w:szCs w:val="24"/>
    </w:rPr>
  </w:style>
  <w:style w:type="paragraph" w:styleId="Footer">
    <w:name w:val="footer"/>
    <w:basedOn w:val="Normal"/>
    <w:link w:val="FooterChar"/>
    <w:uiPriority w:val="99"/>
    <w:unhideWhenUsed/>
    <w:rsid w:val="002749E5"/>
    <w:pPr>
      <w:tabs>
        <w:tab w:val="center" w:pos="4680"/>
        <w:tab w:val="right" w:pos="9360"/>
      </w:tabs>
    </w:pPr>
  </w:style>
  <w:style w:type="character" w:customStyle="1" w:styleId="FooterChar">
    <w:name w:val="Footer Char"/>
    <w:basedOn w:val="DefaultParagraphFont"/>
    <w:link w:val="Footer"/>
    <w:uiPriority w:val="99"/>
    <w:rsid w:val="002749E5"/>
    <w:rPr>
      <w:rFonts w:eastAsiaTheme="minorEastAsia"/>
      <w:sz w:val="24"/>
      <w:szCs w:val="24"/>
    </w:rPr>
  </w:style>
  <w:style w:type="table" w:styleId="TableGrid">
    <w:name w:val="Table Grid"/>
    <w:basedOn w:val="TableNormal"/>
    <w:uiPriority w:val="59"/>
    <w:rsid w:val="00A8243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image" Target="media/image9.emf"/><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ichael.heagy@nmt.edu*" TargetMode="External"/><Relationship Id="rId11" Type="http://schemas.openxmlformats.org/officeDocument/2006/relationships/image" Target="media/image4.emf"/><Relationship Id="rId24" Type="http://schemas.openxmlformats.org/officeDocument/2006/relationships/oleObject" Target="embeddings/oleObject8.bin"/><Relationship Id="rId5"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Hanqing Pan</dc:creator>
  <cp:keywords/>
  <dc:description/>
  <cp:lastModifiedBy>Hanqing Pan</cp:lastModifiedBy>
  <cp:revision>16</cp:revision>
  <dcterms:created xsi:type="dcterms:W3CDTF">2018-05-18T23:52:00Z</dcterms:created>
  <dcterms:modified xsi:type="dcterms:W3CDTF">2018-07-28T05:40:00Z</dcterms:modified>
</cp:coreProperties>
</file>