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D02C" w14:textId="22A0F58C" w:rsidR="0034347A" w:rsidRDefault="00911993" w:rsidP="0034347A">
      <w:pPr>
        <w:widowControl w:val="0"/>
        <w:spacing w:after="240" w:line="480" w:lineRule="auto"/>
        <w:jc w:val="center"/>
        <w:rPr>
          <w:rFonts w:ascii="Times New Roman" w:eastAsia="SimSun" w:hAnsi="Times New Roman" w:cs="Times New Roman"/>
          <w:b/>
          <w:kern w:val="2"/>
          <w:sz w:val="40"/>
          <w:szCs w:val="40"/>
          <w:lang w:val="en-US"/>
        </w:rPr>
      </w:pPr>
      <w:r w:rsidRPr="00911993">
        <w:rPr>
          <w:rFonts w:ascii="Times New Roman" w:eastAsia="SimSun" w:hAnsi="Times New Roman" w:cs="Times New Roman"/>
          <w:b/>
          <w:kern w:val="2"/>
          <w:sz w:val="40"/>
          <w:szCs w:val="40"/>
          <w:lang w:val="en-US"/>
        </w:rPr>
        <w:t>Supplementary Material</w:t>
      </w:r>
    </w:p>
    <w:p w14:paraId="0FAFF8AF" w14:textId="7D617316" w:rsidR="00143F39" w:rsidRDefault="00143F39" w:rsidP="006133AD">
      <w:pPr>
        <w:keepNext/>
        <w:keepLines/>
        <w:spacing w:before="240" w:after="240" w:line="480" w:lineRule="auto"/>
        <w:outlineLvl w:val="0"/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</w:pPr>
      <w:bookmarkStart w:id="0" w:name="_Toc508332064"/>
      <w:r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 xml:space="preserve">Direct Visualization of Nano and </w:t>
      </w:r>
      <w:r w:rsidR="00AC2C65"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>Microscale</w:t>
      </w:r>
      <w:r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 xml:space="preserve"> Polymer Morphologies in As-</w:t>
      </w:r>
      <w:r w:rsidR="00425E65"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 xml:space="preserve">Prepared </w:t>
      </w:r>
      <w:r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 xml:space="preserve">and Dialyzed </w:t>
      </w:r>
      <w:r w:rsidRPr="00105F10"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>Polyampholyte Hydrogel</w:t>
      </w:r>
      <w:bookmarkEnd w:id="0"/>
      <w:r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  <w:t>s by Electron Microscopy Techniques</w:t>
      </w:r>
    </w:p>
    <w:p w14:paraId="01DAC88A" w14:textId="77777777" w:rsidR="0061479C" w:rsidRDefault="0061479C" w:rsidP="0061479C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4"/>
          <w:lang w:val="en-US" w:eastAsia="en-US"/>
        </w:rPr>
      </w:pPr>
    </w:p>
    <w:p w14:paraId="414BFF1E" w14:textId="4B6AB2A5" w:rsidR="0061479C" w:rsidRDefault="0061479C" w:rsidP="0061479C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>Xinda Li</w:t>
      </w: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>, Hemant Charaya</w:t>
      </w: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, </w:t>
      </w:r>
      <w:r w:rsidRPr="000455A7">
        <w:rPr>
          <w:rFonts w:ascii="Times New Roman" w:eastAsia="Batang" w:hAnsi="Times New Roman" w:cs="Times New Roman"/>
          <w:sz w:val="24"/>
          <w:szCs w:val="24"/>
          <w:lang w:val="en-US" w:eastAsia="en-US"/>
        </w:rPr>
        <w:t>Thuy Nguyen Thanh Tran</w:t>
      </w: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1</w:t>
      </w:r>
      <w:r w:rsidRPr="000455A7">
        <w:rPr>
          <w:rFonts w:ascii="Times New Roman" w:eastAsia="Batang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Byeongdu Lee</w:t>
      </w: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>, Jae</w:t>
      </w:r>
      <w:r w:rsidR="007817FA">
        <w:rPr>
          <w:rFonts w:ascii="Times New Roman" w:eastAsia="Batang" w:hAnsi="Times New Roman" w:cs="Times New Roman"/>
          <w:sz w:val="24"/>
          <w:szCs w:val="24"/>
          <w:lang w:val="en-US" w:eastAsia="en-US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>Young Cho</w:t>
      </w: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3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>, Hyun-Joong Chung</w:t>
      </w: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1,*</w:t>
      </w:r>
    </w:p>
    <w:p w14:paraId="1B870974" w14:textId="77777777" w:rsidR="0061479C" w:rsidRDefault="0061479C" w:rsidP="0061479C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</w:p>
    <w:p w14:paraId="268272AC" w14:textId="77777777" w:rsidR="0061479C" w:rsidRDefault="0061479C" w:rsidP="0061479C">
      <w:pPr>
        <w:keepNext/>
        <w:keepLines/>
        <w:spacing w:before="240" w:after="240" w:line="480" w:lineRule="auto"/>
        <w:outlineLvl w:val="0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1</w:t>
      </w:r>
      <w:r w:rsidRPr="00267446">
        <w:rPr>
          <w:rFonts w:ascii="Times New Roman" w:eastAsia="Batang" w:hAnsi="Times New Roman" w:cs="Times New Roman"/>
          <w:sz w:val="24"/>
          <w:szCs w:val="24"/>
          <w:lang w:val="en-US" w:eastAsia="en-US"/>
        </w:rPr>
        <w:t>Department of Chemical and Materials Engineering, University of Alberta, Edmonton, Alberta T6G 1H9, Canada</w:t>
      </w:r>
    </w:p>
    <w:p w14:paraId="7575E78E" w14:textId="77777777" w:rsidR="0061479C" w:rsidRDefault="0061479C" w:rsidP="0061479C">
      <w:pPr>
        <w:keepNext/>
        <w:keepLines/>
        <w:spacing w:before="240" w:after="240" w:line="480" w:lineRule="auto"/>
        <w:outlineLvl w:val="0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267446">
        <w:rPr>
          <w:rFonts w:ascii="Times New Roman" w:eastAsia="Batang" w:hAnsi="Times New Roman" w:cs="Times New Roman"/>
          <w:sz w:val="24"/>
          <w:szCs w:val="24"/>
          <w:lang w:val="en-US" w:eastAsia="en-US"/>
        </w:rPr>
        <w:t>Advanced Photon Source, Argonne National Laboratory, Argonne, Illinois 60439, United States</w:t>
      </w:r>
    </w:p>
    <w:p w14:paraId="39898C73" w14:textId="77777777" w:rsidR="007817FA" w:rsidRDefault="0061479C" w:rsidP="0061479C">
      <w:pPr>
        <w:keepNext/>
        <w:keepLines/>
        <w:spacing w:before="240" w:after="240" w:line="480" w:lineRule="auto"/>
        <w:outlineLvl w:val="0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r w:rsidRPr="00267446">
        <w:rPr>
          <w:rFonts w:ascii="Times New Roman" w:eastAsia="Batang" w:hAnsi="Times New Roman" w:cs="Times New Roman"/>
          <w:sz w:val="24"/>
          <w:szCs w:val="24"/>
          <w:vertAlign w:val="superscript"/>
          <w:lang w:val="en-US" w:eastAsia="en-US"/>
        </w:rPr>
        <w:t>3</w:t>
      </w:r>
      <w:r w:rsidR="007817FA" w:rsidRPr="007817FA">
        <w:rPr>
          <w:rFonts w:ascii="Times New Roman" w:eastAsia="Batang" w:hAnsi="Times New Roman" w:cs="Times New Roman"/>
          <w:sz w:val="24"/>
          <w:szCs w:val="24"/>
          <w:lang w:val="en-US" w:eastAsia="en-US"/>
        </w:rPr>
        <w:t>National Research Council of Canada (NRC), 11421 Saskatchewan Drive NW, Edmonton, Alberta T6G 2M9, Canada</w:t>
      </w:r>
    </w:p>
    <w:p w14:paraId="286F01ED" w14:textId="6119E596" w:rsidR="0061479C" w:rsidRDefault="0061479C" w:rsidP="0061479C">
      <w:pPr>
        <w:keepNext/>
        <w:keepLines/>
        <w:spacing w:before="240" w:after="240" w:line="480" w:lineRule="auto"/>
        <w:outlineLvl w:val="0"/>
        <w:rPr>
          <w:rFonts w:ascii="Times New Roman" w:eastAsia="Batang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* </w:t>
      </w:r>
      <w:r w:rsidRPr="00267446"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Address all correspondence to 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>Hyun-Joong Chung</w:t>
      </w:r>
      <w:r w:rsidRPr="00267446"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at</w:t>
      </w:r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</w:t>
      </w:r>
      <w:hyperlink r:id="rId7" w:history="1">
        <w:r w:rsidRPr="0098607E">
          <w:rPr>
            <w:rStyle w:val="a3"/>
            <w:rFonts w:ascii="Times New Roman" w:eastAsia="Batang" w:hAnsi="Times New Roman" w:cs="Times New Roman"/>
            <w:sz w:val="24"/>
            <w:szCs w:val="24"/>
            <w:lang w:val="en-US" w:eastAsia="en-US"/>
          </w:rPr>
          <w:t>chung.hj13@ualbrerta.ca</w:t>
        </w:r>
      </w:hyperlink>
      <w:r>
        <w:rPr>
          <w:rFonts w:ascii="Times New Roman" w:eastAsia="Batang" w:hAnsi="Times New Roman" w:cs="Times New Roman"/>
          <w:sz w:val="24"/>
          <w:szCs w:val="24"/>
          <w:lang w:val="en-US" w:eastAsia="en-US"/>
        </w:rPr>
        <w:t xml:space="preserve"> </w:t>
      </w:r>
    </w:p>
    <w:p w14:paraId="0E75465D" w14:textId="45A9A8E1" w:rsidR="0061479C" w:rsidRDefault="0061479C">
      <w:pPr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br w:type="page"/>
      </w:r>
    </w:p>
    <w:p w14:paraId="40FB7973" w14:textId="6B19BE02" w:rsidR="0053281F" w:rsidRPr="00C658FB" w:rsidRDefault="0053281F" w:rsidP="00532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FB">
        <w:rPr>
          <w:rFonts w:ascii="Times New Roman" w:hAnsi="Times New Roman" w:cs="Times New Roman"/>
          <w:b/>
          <w:bCs/>
          <w:i/>
          <w:sz w:val="24"/>
        </w:rPr>
        <w:lastRenderedPageBreak/>
        <w:t>Polyampholyte Hydrogel Synthesis.</w:t>
      </w:r>
      <w:r w:rsidRPr="00C658FB">
        <w:rPr>
          <w:rFonts w:ascii="Times New Roman" w:hAnsi="Times New Roman" w:cs="Times New Roman"/>
          <w:sz w:val="24"/>
          <w:szCs w:val="24"/>
        </w:rPr>
        <w:tab/>
        <w:t xml:space="preserve">The protocol of polyampholyte synthesis was described in previous </w:t>
      </w:r>
      <w:proofErr w:type="gramStart"/>
      <w:r w:rsidRPr="00C658FB">
        <w:rPr>
          <w:rFonts w:ascii="Times New Roman" w:hAnsi="Times New Roman" w:cs="Times New Roman"/>
          <w:sz w:val="24"/>
          <w:szCs w:val="24"/>
        </w:rPr>
        <w:t>works.</w:t>
      </w:r>
      <w:r w:rsidR="00A6740B" w:rsidRPr="00A6740B">
        <w:rPr>
          <w:rFonts w:ascii="Times New Roman" w:hAnsi="Times New Roman" w:cs="Times New Roman" w:hint="eastAsia"/>
          <w:sz w:val="24"/>
          <w:szCs w:val="24"/>
          <w:vertAlign w:val="superscript"/>
        </w:rPr>
        <w:t>S1</w:t>
      </w:r>
      <w:proofErr w:type="gramEnd"/>
      <w:r w:rsidR="00A6740B" w:rsidRPr="00A6740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C658FB">
        <w:rPr>
          <w:rFonts w:ascii="Times New Roman" w:hAnsi="Times New Roman" w:cs="Times New Roman"/>
          <w:sz w:val="24"/>
          <w:szCs w:val="24"/>
        </w:rPr>
        <w:t>Briefly, 1 M Sodium 4-vinylbenzenesulfonate (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NaSS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>) and 1 M [3-(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methacryloylamino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)propyl]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trimethylammonium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chloride (MPTC) with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Irgacure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2959 (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photoinitiator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, </w:t>
      </w:r>
      <w:r w:rsidRPr="00C658FB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0.25 </w:t>
      </w:r>
      <w:proofErr w:type="spellStart"/>
      <w:r w:rsidRPr="00C658FB">
        <w:rPr>
          <w:rFonts w:ascii="Times New Roman" w:hAnsi="Times New Roman" w:cs="Times New Roman"/>
          <w:kern w:val="2"/>
          <w:sz w:val="24"/>
          <w:szCs w:val="24"/>
          <w:lang w:val="en-US"/>
        </w:rPr>
        <w:t>mol</w:t>
      </w:r>
      <w:proofErr w:type="spellEnd"/>
      <w:r w:rsidRPr="00C658FB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%, compared to the total concentration of </w:t>
      </w:r>
      <w:proofErr w:type="spellStart"/>
      <w:r w:rsidRPr="00C658FB">
        <w:rPr>
          <w:rFonts w:ascii="Times New Roman" w:hAnsi="Times New Roman" w:cs="Times New Roman"/>
          <w:kern w:val="2"/>
          <w:sz w:val="24"/>
          <w:szCs w:val="24"/>
          <w:lang w:val="en-US"/>
        </w:rPr>
        <w:t>NaSS</w:t>
      </w:r>
      <w:proofErr w:type="spellEnd"/>
      <w:r w:rsidRPr="00C658FB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and MPTC</w:t>
      </w:r>
      <w:r w:rsidRPr="00C658FB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were dissolved in deionized water to form the precursor solution. In the precursor solution,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concentration is 10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%. Here, sodium and chloride ions in the monomers of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NaSS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and MPTC were accounted into the total concentration. The aqueous precursor solution was injected into the gap between two glass plates separated by a 1 mm thick spacer, followed by polymerization initiated by irradiating the sample with UV light with a lamp-to-sample distance of 5 mm (broadband light with a maximum peak at 365 nm with the intensity of 22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>/cm</w:t>
      </w:r>
      <w:r w:rsidRPr="00C658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Jelight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UVO-Cleaner Model-342, US). The list of prepared samples are in Table 1.</w:t>
      </w:r>
      <w:r w:rsidRPr="00C6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8FB">
        <w:rPr>
          <w:rFonts w:ascii="Times New Roman" w:hAnsi="Times New Roman" w:cs="Times New Roman"/>
          <w:sz w:val="24"/>
          <w:szCs w:val="24"/>
        </w:rPr>
        <w:t>Here, we denote the samples using the code PA-#-</w:t>
      </w:r>
      <w:r w:rsidRPr="00C658FB">
        <w:rPr>
          <w:rFonts w:ascii="Times New Roman" w:hAnsi="Times New Roman" w:cs="Times New Roman"/>
          <w:i/>
          <w:sz w:val="24"/>
          <w:szCs w:val="24"/>
        </w:rPr>
        <w:t>c</w:t>
      </w:r>
      <w:r w:rsidRPr="00C658FB">
        <w:rPr>
          <w:rFonts w:ascii="Times New Roman" w:hAnsi="Times New Roman" w:cs="Times New Roman"/>
          <w:sz w:val="24"/>
          <w:szCs w:val="24"/>
        </w:rPr>
        <w:t xml:space="preserve">, where the # is the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concentration (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%) in the polyampholyte hydrogel, </w:t>
      </w:r>
      <w:r w:rsidRPr="00C658F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C658FB">
        <w:rPr>
          <w:rFonts w:ascii="Times New Roman" w:hAnsi="Times New Roman" w:cs="Times New Roman"/>
          <w:sz w:val="24"/>
          <w:szCs w:val="24"/>
        </w:rPr>
        <w:t xml:space="preserve">is the total monomer concentration (M). The </w:t>
      </w:r>
      <w:proofErr w:type="spellStart"/>
      <w:r w:rsidRPr="00C658F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658FB">
        <w:rPr>
          <w:rFonts w:ascii="Times New Roman" w:hAnsi="Times New Roman" w:cs="Times New Roman"/>
          <w:sz w:val="24"/>
          <w:szCs w:val="24"/>
        </w:rPr>
        <w:t xml:space="preserve"> concentration in the as-prepared hydrogel is calculated as:</w:t>
      </w:r>
    </w:p>
    <w:p w14:paraId="0A6EFEDB" w14:textId="77777777" w:rsidR="0053281F" w:rsidRPr="00C658FB" w:rsidRDefault="00A6740B" w:rsidP="0053281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NaCl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NaCl</m:t>
                </m:r>
              </m:sub>
            </m:sSub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NaCl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+m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water</m:t>
                </m:r>
              </m:sub>
            </m:sSub>
          </m:den>
        </m:f>
        <m:r>
          <w:rPr>
            <w:rFonts w:ascii="Cambria Math" w:eastAsia="SimSun" w:hAnsi="Cambria Math" w:cs="Times New Roman"/>
            <w:sz w:val="24"/>
            <w:szCs w:val="24"/>
          </w:rPr>
          <m:t>×100%</m:t>
        </m:r>
      </m:oMath>
      <w:r w:rsidR="0053281F" w:rsidRPr="00C658FB">
        <w:rPr>
          <w:rFonts w:ascii="Times New Roman" w:hAnsi="Times New Roman" w:cs="Times New Roman"/>
          <w:sz w:val="24"/>
          <w:szCs w:val="24"/>
        </w:rPr>
        <w:tab/>
        <w:t>(1)</w:t>
      </w:r>
    </w:p>
    <w:p w14:paraId="5F33D55F" w14:textId="77777777" w:rsidR="0053281F" w:rsidRDefault="0053281F" w:rsidP="0053281F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F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C658F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NaCl</m:t>
            </m:r>
          </m:sub>
        </m:sSub>
      </m:oMath>
      <w:r w:rsidRPr="00C658FB">
        <w:rPr>
          <w:rFonts w:ascii="Times New Roman" w:hAnsi="Times New Roman" w:cs="Times New Roman"/>
          <w:sz w:val="24"/>
          <w:szCs w:val="24"/>
        </w:rPr>
        <w:t xml:space="preserve"> is the total mass of NaCl, and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water</m:t>
            </m:r>
          </m:sub>
        </m:sSub>
      </m:oMath>
      <w:r w:rsidRPr="00C658FB">
        <w:rPr>
          <w:rFonts w:ascii="Times New Roman" w:hAnsi="Times New Roman" w:cs="Times New Roman"/>
          <w:sz w:val="24"/>
          <w:szCs w:val="24"/>
        </w:rPr>
        <w:t xml:space="preserve"> is the mass of water added in the precursor solution. It is noted that NaSS and MPTC contain sodium and chloride ions, respectively which were accounted in the calculation for the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NaCl</m:t>
            </m:r>
          </m:sub>
        </m:sSub>
      </m:oMath>
      <w:r w:rsidRPr="00C658FB">
        <w:rPr>
          <w:rFonts w:ascii="Times New Roman" w:hAnsi="Times New Roman" w:cs="Times New Roman"/>
          <w:sz w:val="24"/>
          <w:szCs w:val="24"/>
        </w:rPr>
        <w:t xml:space="preserve"> value.</w:t>
      </w:r>
    </w:p>
    <w:p w14:paraId="26E109BB" w14:textId="33AC1120" w:rsidR="00952503" w:rsidRDefault="002F7F48" w:rsidP="0061479C">
      <w:pPr>
        <w:tabs>
          <w:tab w:val="left" w:pos="5775"/>
        </w:tabs>
        <w:spacing w:after="24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116A6">
        <w:rPr>
          <w:rFonts w:ascii="Times New Roman" w:hAnsi="Times New Roman" w:cs="Times New Roman"/>
          <w:b/>
          <w:i/>
          <w:kern w:val="2"/>
          <w:sz w:val="24"/>
          <w:szCs w:val="24"/>
          <w:lang w:val="en-US"/>
        </w:rPr>
        <w:t xml:space="preserve">Small Angle X-Ray Scattering (SAXS) </w:t>
      </w:r>
      <w:r w:rsidRPr="00F116A6">
        <w:rPr>
          <w:rFonts w:ascii="Times New Roman" w:hAnsi="Times New Roman" w:cs="Times New Roman"/>
          <w:b/>
          <w:i/>
          <w:sz w:val="24"/>
          <w:szCs w:val="24"/>
        </w:rPr>
        <w:t>Characterization</w:t>
      </w:r>
      <w:r w:rsidRPr="00F116A6">
        <w:rPr>
          <w:rFonts w:ascii="Times New Roman" w:hAnsi="Times New Roman" w:cs="Times New Roman"/>
          <w:b/>
          <w:i/>
          <w:kern w:val="2"/>
          <w:sz w:val="24"/>
          <w:szCs w:val="24"/>
          <w:lang w:val="en-US"/>
        </w:rPr>
        <w:t>.</w:t>
      </w:r>
      <w:r w:rsidRPr="00F116A6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Pr="00F116A6">
        <w:rPr>
          <w:rFonts w:ascii="Times New Roman" w:hAnsi="Times New Roman" w:cs="Times New Roman"/>
          <w:sz w:val="24"/>
          <w:szCs w:val="24"/>
        </w:rPr>
        <w:t xml:space="preserve">SAXS samples were made by irradiating bees wax sealed glass capillaries (Charles Supper, US) containing a precursor solution with UV. After polymerization, one end of the glass capillary was manually broken and </w:t>
      </w:r>
      <w:r w:rsidR="004F699D" w:rsidRPr="00F116A6">
        <w:rPr>
          <w:rFonts w:ascii="Times New Roman" w:hAnsi="Times New Roman" w:cs="Times New Roman"/>
          <w:sz w:val="24"/>
          <w:szCs w:val="24"/>
        </w:rPr>
        <w:t>dialyzed</w:t>
      </w:r>
      <w:r w:rsidRPr="00F116A6">
        <w:rPr>
          <w:rFonts w:ascii="Times New Roman" w:hAnsi="Times New Roman" w:cs="Times New Roman"/>
          <w:sz w:val="24"/>
          <w:szCs w:val="24"/>
        </w:rPr>
        <w:t xml:space="preserve"> in the 6 M KOH solution</w:t>
      </w:r>
      <w:r w:rsidR="004F699D" w:rsidRPr="00F116A6">
        <w:rPr>
          <w:rFonts w:ascii="Times New Roman" w:hAnsi="Times New Roman" w:cs="Times New Roman"/>
          <w:sz w:val="24"/>
          <w:szCs w:val="24"/>
        </w:rPr>
        <w:t xml:space="preserve"> </w:t>
      </w:r>
      <w:r w:rsidR="004F699D" w:rsidRPr="00F116A6">
        <w:rPr>
          <w:rFonts w:ascii="Times New Roman" w:hAnsi="Times New Roman"/>
          <w:kern w:val="2"/>
          <w:sz w:val="24"/>
          <w:szCs w:val="24"/>
          <w:lang w:val="en-US"/>
        </w:rPr>
        <w:t>for one week to prepare K-PA-10-2.1</w:t>
      </w:r>
      <w:r w:rsidRPr="00F116A6">
        <w:rPr>
          <w:rFonts w:ascii="Times New Roman" w:hAnsi="Times New Roman" w:cs="Times New Roman"/>
          <w:sz w:val="24"/>
          <w:szCs w:val="24"/>
        </w:rPr>
        <w:t xml:space="preserve">. The SAXS experiments were performed with the beamline 12-ID-B of the Advanced Photon Source at the Argonne National Laboratory in the US. The 14 keV X-ray beam was exposed to the 1.5 mm diameter capillary </w:t>
      </w:r>
      <w:r w:rsidRPr="00F116A6">
        <w:rPr>
          <w:rFonts w:ascii="Times New Roman" w:hAnsi="Times New Roman" w:cs="Times New Roman"/>
          <w:sz w:val="24"/>
          <w:szCs w:val="24"/>
        </w:rPr>
        <w:lastRenderedPageBreak/>
        <w:t>sample with an exposure time of typically 0.1 s. Scattered X-ray photons were measured with a Pilatus 2M (Dectris Ltd.) detector located about 2 m downstream of the sample. Ten images per sample were collected and averaged to confirm that no beam damage had occurred and to increase counting statistics. Background scattering from a capillary containing water was subtracted from sample data.</w:t>
      </w:r>
      <w:r w:rsidRPr="00F116A6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 </w:t>
      </w:r>
      <w:r w:rsidR="005E530A" w:rsidRPr="00F116A6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The SAXS data </w:t>
      </w:r>
      <w:r w:rsidR="007D5385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in Figure S1 </w:t>
      </w:r>
      <w:r w:rsidR="005E530A" w:rsidRPr="00F116A6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 xml:space="preserve">was fitted </w:t>
      </w:r>
      <w:r w:rsidR="007D5385">
        <w:rPr>
          <w:rFonts w:ascii="Times New Roman" w:eastAsia="SimSun" w:hAnsi="Times New Roman" w:cs="Times New Roman"/>
          <w:kern w:val="2"/>
          <w:sz w:val="24"/>
          <w:szCs w:val="24"/>
          <w:lang w:val="en-US"/>
        </w:rPr>
        <w:t>using our fitting model developed in our earlier study; details are in the reference</w:t>
      </w:r>
      <w:r w:rsidR="00F72551">
        <w:rPr>
          <w:rFonts w:ascii="Times New Roman" w:hAnsi="Times New Roman" w:cs="Times New Roman"/>
          <w:sz w:val="24"/>
          <w:szCs w:val="24"/>
        </w:rPr>
        <w:t xml:space="preserve"> [</w:t>
      </w:r>
      <w:r w:rsidR="00F72551" w:rsidRPr="00F72551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5E530A" w:rsidRPr="00F116A6">
        <w:rPr>
          <w:rFonts w:ascii="Times New Roman" w:hAnsi="Times New Roman" w:cs="Times New Roman"/>
          <w:sz w:val="24"/>
          <w:szCs w:val="24"/>
        </w:rPr>
        <w:fldChar w:fldCharType="begin"/>
      </w:r>
      <w:r w:rsidR="005E530A" w:rsidRPr="00F116A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&lt;EndNote&gt;&lt;Cite&gt;&lt;Author&gt;Li&lt;/Author&gt;&lt;Year&gt;2018&lt;/Year&gt;&lt;RecNum&gt;91&lt;/RecNum&gt;&lt;DisplayText&gt;&lt;style face="superscript"&gt;1&lt;/style&gt;&lt;/DisplayText&gt;&lt;record&gt;&lt;rec-number&gt;91&lt;/rec-number&gt;&lt;foreign-keys&gt;&lt;key app="EN" db-id="a9fszpsrarr92mewprw5z5sia9wvsfaw0tfe" timestamp="1526128457"&gt;91&lt;/key&gt;&lt;/foreign-keys&gt;&lt;ref-type name="Journal Article"&gt;17&lt;/ref-type&gt;&lt;contributors&gt;&lt;authors&gt;&lt;author&gt;Li, Xinda&lt;/author&gt;&lt;author&gt;Charaya, Hemant&lt;/author&gt;&lt;author&gt;Bernard, Guy M.&lt;/author&gt;&lt;author&gt;Elliott, Janet A. W.&lt;/author&gt;&lt;author&gt;Michaelis, Vladimir K.&lt;/author&gt;&lt;author&gt;Lee, Byeongdu&lt;/author&gt;&lt;author&gt;Chung, Hyun-Joong&lt;/author&gt;&lt;/authors&gt;&lt;/contributors&gt;&lt;titles&gt;&lt;title&gt;Low-Temperature Ionic Conductivity Enhanced by Disrupted Ice Formation in Polyampholyte Hydrogels&lt;/title&gt;&lt;secondary-title&gt;Macromolecules&lt;/secondary-title&gt;&lt;/titles&gt;&lt;periodical&gt;&lt;full-title&gt;Macromolecules&lt;/full-title&gt;&lt;/periodical&gt;&lt;pages&gt;2723-2731&lt;/pages&gt;&lt;volume&gt;51&lt;/volume&gt;&lt;number&gt;7&lt;/number&gt;&lt;dates&gt;&lt;year&gt;2018&lt;/year&gt;&lt;pub-dates&gt;&lt;date&gt;2018/04/10&lt;/date&gt;&lt;/pub-dates&gt;&lt;/dates&gt;&lt;publisher&gt;American Chemical Society&lt;/publisher&gt;&lt;isbn&gt;0024-9297&lt;/isbn&gt;&lt;urls&gt;&lt;related-urls&gt;&lt;url&gt;https://doi.org/10.1021/acs.macromol.7b02498&lt;/url&gt;&lt;/related-urls&gt;&lt;/urls&gt;&lt;electronic-resource-num&gt;10.1021/acs.macromol.7b02498&lt;/electronic-resource-num&gt;&lt;/record&gt;&lt;/Cite&gt;&lt;/EndNote&gt;</w:instrText>
      </w:r>
      <w:r w:rsidR="005E530A" w:rsidRPr="00F116A6">
        <w:rPr>
          <w:rFonts w:ascii="Times New Roman" w:hAnsi="Times New Roman" w:cs="Times New Roman"/>
          <w:sz w:val="24"/>
          <w:szCs w:val="24"/>
        </w:rPr>
        <w:fldChar w:fldCharType="separate"/>
      </w:r>
      <w:r w:rsidR="005E530A" w:rsidRPr="00F116A6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5E530A" w:rsidRPr="00F116A6">
        <w:rPr>
          <w:rFonts w:ascii="Times New Roman" w:hAnsi="Times New Roman" w:cs="Times New Roman"/>
          <w:sz w:val="24"/>
          <w:szCs w:val="24"/>
        </w:rPr>
        <w:fldChar w:fldCharType="end"/>
      </w:r>
      <w:r w:rsidR="00F72551">
        <w:rPr>
          <w:rFonts w:ascii="Times New Roman" w:hAnsi="Times New Roman" w:cs="Times New Roman"/>
          <w:sz w:val="24"/>
          <w:szCs w:val="24"/>
        </w:rPr>
        <w:t>].</w:t>
      </w:r>
      <w:r w:rsidR="00F116A6" w:rsidRPr="00F116A6">
        <w:rPr>
          <w:rFonts w:ascii="Times New Roman" w:hAnsi="Times New Roman" w:cs="Times New Roman"/>
          <w:sz w:val="24"/>
          <w:szCs w:val="24"/>
        </w:rPr>
        <w:t xml:space="preserve"> The fitti</w:t>
      </w:r>
      <w:r w:rsidR="00F116A6">
        <w:rPr>
          <w:rFonts w:ascii="Times New Roman" w:hAnsi="Times New Roman" w:cs="Times New Roman"/>
          <w:sz w:val="24"/>
          <w:szCs w:val="24"/>
        </w:rPr>
        <w:t xml:space="preserve">ng result was shown in Table S1, where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f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p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8C01AC">
        <w:rPr>
          <w:rFonts w:ascii="Times New Roman" w:eastAsia="Malgun Gothic" w:hAnsi="Times New Roman" w:cs="Times New Roman"/>
          <w:sz w:val="24"/>
          <w:szCs w:val="24"/>
          <w:lang w:eastAsia="ko-KR"/>
        </w:rPr>
        <w:t>is</w:t>
      </w:r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number concentration (</w:t>
      </w:r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e.g., </w:t>
      </w:r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molar concentration) of primary particles</w:t>
      </w:r>
      <w:r w:rsidR="00047AD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f</m:t>
            </m:r>
          </m:sub>
        </m:sSub>
      </m:oMath>
      <w:r w:rsidR="00047AD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047AD9">
        <w:rPr>
          <w:rFonts w:ascii="Times New Roman" w:eastAsia="Malgun Gothic" w:hAnsi="Times New Roman" w:cs="Times New Roman"/>
          <w:sz w:val="24"/>
          <w:szCs w:val="24"/>
          <w:lang w:eastAsia="ko-KR"/>
        </w:rPr>
        <w:t>is</w:t>
      </w:r>
      <w:proofErr w:type="gramEnd"/>
      <w:r w:rsidR="00047AD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fractal power-law.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Malgun Gothic" w:hAnsi="Cambria Math" w:cs="Times New Roman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w:rPr>
                    <w:rFonts w:ascii="Cambria Math" w:eastAsia="Malgun Gothic" w:hAnsi="Cambria Math" w:cs="Times New Roman"/>
                    <w:sz w:val="24"/>
                    <w:szCs w:val="24"/>
                    <w:lang w:eastAsia="ko-KR"/>
                  </w:rPr>
                  <m:t>R</m:t>
                </m:r>
              </m:e>
            </m:acc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p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proofErr w:type="gramStart"/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and</w:t>
      </w:r>
      <w:proofErr w:type="gramEnd"/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σ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p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are</w:t>
      </w:r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the mean radius and variance of the external size of the primary particles, respectively.</w:t>
      </w:r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R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g,p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proofErr w:type="gramStart"/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is</w:t>
      </w:r>
      <w:proofErr w:type="gramEnd"/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radius of gyration of the primary particle calculated from</w:t>
      </w:r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Malgun Gothic" w:hAnsi="Cambria Math" w:cs="Times New Roman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w:rPr>
                    <w:rFonts w:ascii="Cambria Math" w:eastAsia="Malgun Gothic" w:hAnsi="Cambria Math" w:cs="Times New Roman"/>
                    <w:sz w:val="24"/>
                    <w:szCs w:val="24"/>
                    <w:lang w:eastAsia="ko-KR"/>
                  </w:rPr>
                  <m:t>R</m:t>
                </m:r>
              </m:e>
            </m:acc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p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and</w:t>
      </w:r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σ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p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.</w:t>
      </w:r>
      <w:r w:rsidR="00F116A6" w:rsidRPr="00F116A6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R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g,c</m:t>
            </m:r>
          </m:sub>
        </m:sSub>
      </m:oMath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proofErr w:type="gramStart"/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>and</w:t>
      </w:r>
      <w:proofErr w:type="gramEnd"/>
      <w:r w:rsidR="00F116A6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m:oMath>
        <m:r>
          <w:rPr>
            <w:rFonts w:ascii="Cambria Math" w:eastAsia="Malgun Gothic" w:hAnsi="Cambria Math" w:cs="Times New Roman"/>
            <w:sz w:val="24"/>
            <w:szCs w:val="24"/>
            <w:lang w:eastAsia="ko-KR"/>
          </w:rPr>
          <m:t>P</m:t>
        </m:r>
      </m:oMath>
      <w:r w:rsidR="00047AD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are radius of gyration and the Porod constant of the cluster, respectively. </w:t>
      </w:r>
      <m:oMath>
        <m:r>
          <w:rPr>
            <w:rFonts w:ascii="Cambria Math" w:eastAsia="Malgun Gothic" w:hAnsi="Cambria Math" w:cs="Times New Roman"/>
            <w:sz w:val="24"/>
            <w:szCs w:val="24"/>
            <w:lang w:eastAsia="ko-KR"/>
          </w:rPr>
          <m:t>v</m:t>
        </m:r>
      </m:oMath>
      <w:r w:rsidR="004F6D47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4F6D47">
        <w:rPr>
          <w:rFonts w:ascii="Times New Roman" w:eastAsia="Malgun Gothic" w:hAnsi="Times New Roman" w:cs="Times New Roman"/>
          <w:sz w:val="24"/>
          <w:szCs w:val="24"/>
          <w:lang w:eastAsia="ko-KR"/>
        </w:rPr>
        <w:t>is</w:t>
      </w:r>
      <w:proofErr w:type="gramEnd"/>
      <w:r w:rsidR="00F116A6" w:rsidRPr="00F116A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volume fraction of the primary particles in a cluster, respectively.</w:t>
      </w:r>
      <w:r w:rsidR="0061479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The </w:t>
      </w:r>
      <w:r w:rsidR="0061479C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R</m:t>
            </m:r>
          </m:e>
          <m:sub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g</m:t>
            </m:r>
            <w:proofErr w:type="gramStart"/>
            <m:r>
              <w:rPr>
                <w:rFonts w:ascii="Cambria Math" w:eastAsia="Malgun Gothic" w:hAnsi="Cambria Math" w:cs="Times New Roman"/>
                <w:sz w:val="24"/>
                <w:szCs w:val="24"/>
                <w:lang w:eastAsia="ko-KR"/>
              </w:rPr>
              <m:t>,p</m:t>
            </m:r>
            <w:proofErr w:type="gramEnd"/>
          </m:sub>
        </m:sSub>
      </m:oMath>
      <w:r w:rsidR="0061479C" w:rsidRPr="00F116A6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 w:rsidR="0061479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value </w:t>
      </w:r>
      <w:r w:rsidR="00BE4B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of PA-10-2.1 </w:t>
      </w:r>
      <w:r w:rsidR="0095250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is different from Reference </w:t>
      </w:r>
      <w:r w:rsidR="00B057A0">
        <w:rPr>
          <w:rFonts w:ascii="Times New Roman" w:eastAsia="Malgun Gothic" w:hAnsi="Times New Roman" w:cs="Times New Roman"/>
          <w:sz w:val="24"/>
          <w:szCs w:val="24"/>
          <w:lang w:eastAsia="ko-KR"/>
        </w:rPr>
        <w:t>[</w:t>
      </w:r>
      <w:r w:rsidR="00B057A0" w:rsidRPr="00F72551">
        <w:rPr>
          <w:rFonts w:ascii="Times New Roman" w:eastAsia="Malgun Gothic" w:hAnsi="Times New Roman" w:cs="Times New Roman"/>
          <w:sz w:val="24"/>
          <w:szCs w:val="24"/>
          <w:vertAlign w:val="superscript"/>
          <w:lang w:eastAsia="ko-KR"/>
        </w:rPr>
        <w:t>S1</w:t>
      </w:r>
      <w:r w:rsidR="00B057A0">
        <w:rPr>
          <w:rFonts w:ascii="Times New Roman" w:eastAsia="Malgun Gothic" w:hAnsi="Times New Roman" w:cs="Times New Roman"/>
          <w:sz w:val="24"/>
          <w:szCs w:val="24"/>
          <w:lang w:eastAsia="ko-KR"/>
        </w:rPr>
        <w:t>]</w:t>
      </w:r>
      <w:r w:rsidR="00952503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="00F725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952503">
        <w:rPr>
          <w:rFonts w:ascii="Times New Roman" w:eastAsia="Malgun Gothic" w:hAnsi="Times New Roman" w:cs="Times New Roman"/>
          <w:sz w:val="24"/>
          <w:szCs w:val="24"/>
          <w:lang w:eastAsia="ko-KR"/>
        </w:rPr>
        <w:t>where we calculated the value assuming solid spheres to emphasize the external size, whereas in the current analysis we used the original formula in</w:t>
      </w:r>
      <w:r w:rsidR="00F725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Reference [</w:t>
      </w:r>
      <w:r w:rsidR="00F72551" w:rsidRPr="00F72551">
        <w:rPr>
          <w:rFonts w:ascii="Times New Roman" w:eastAsia="Malgun Gothic" w:hAnsi="Times New Roman" w:cs="Times New Roman"/>
          <w:sz w:val="24"/>
          <w:szCs w:val="24"/>
          <w:vertAlign w:val="superscript"/>
          <w:lang w:eastAsia="ko-KR"/>
        </w:rPr>
        <w:t>S2</w:t>
      </w:r>
      <w:r w:rsidR="00F72551">
        <w:rPr>
          <w:rFonts w:ascii="Times New Roman" w:eastAsia="Malgun Gothic" w:hAnsi="Times New Roman" w:cs="Times New Roman"/>
          <w:sz w:val="24"/>
          <w:szCs w:val="24"/>
          <w:lang w:eastAsia="ko-KR"/>
        </w:rPr>
        <w:t>]</w:t>
      </w:r>
      <w:r w:rsidR="0095250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taking into account porous nature of the sphere</w:t>
      </w:r>
      <w:r w:rsidR="00F72551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7894E40E" w14:textId="2553222A" w:rsidR="00F116A6" w:rsidRPr="00920B38" w:rsidRDefault="00A6740B" w:rsidP="00920B38">
      <w:pPr>
        <w:tabs>
          <w:tab w:val="left" w:pos="5775"/>
        </w:tabs>
        <w:spacing w:after="240" w:line="36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pict w14:anchorId="2782E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265.2pt">
            <v:imagedata r:id="rId8" o:title="Graph3" croptop="-1362f" cropright="10414f"/>
          </v:shape>
        </w:pict>
      </w:r>
    </w:p>
    <w:p w14:paraId="2FC449EC" w14:textId="77777777" w:rsidR="00920B38" w:rsidRPr="00F116A6" w:rsidRDefault="00920B38" w:rsidP="00920B38">
      <w:pPr>
        <w:jc w:val="both"/>
        <w:rPr>
          <w:rFonts w:cstheme="minorHAnsi"/>
          <w:sz w:val="24"/>
          <w:szCs w:val="24"/>
        </w:rPr>
      </w:pPr>
      <w:r w:rsidRPr="00695E18">
        <w:rPr>
          <w:b/>
          <w:sz w:val="24"/>
          <w:szCs w:val="24"/>
        </w:rPr>
        <w:t>Figure S1</w:t>
      </w:r>
      <w:r w:rsidRPr="00F116A6">
        <w:rPr>
          <w:sz w:val="24"/>
          <w:szCs w:val="24"/>
        </w:rPr>
        <w:t xml:space="preserve"> </w:t>
      </w:r>
      <w:r w:rsidRPr="00F116A6">
        <w:rPr>
          <w:rFonts w:cstheme="minorHAnsi"/>
          <w:sz w:val="24"/>
          <w:szCs w:val="24"/>
        </w:rPr>
        <w:t>SAXS data for PA-10-2.1</w:t>
      </w:r>
      <w:r>
        <w:rPr>
          <w:rFonts w:cstheme="minorHAnsi"/>
          <w:sz w:val="24"/>
          <w:szCs w:val="24"/>
        </w:rPr>
        <w:t xml:space="preserve">, </w:t>
      </w:r>
      <w:r w:rsidRPr="00F116A6">
        <w:rPr>
          <w:rFonts w:cstheme="minorHAnsi"/>
          <w:sz w:val="24"/>
          <w:szCs w:val="24"/>
        </w:rPr>
        <w:t xml:space="preserve">K-PA-10-2.1. Here, the subtracted background </w:t>
      </w:r>
      <w:r>
        <w:rPr>
          <w:rFonts w:cstheme="minorHAnsi"/>
          <w:sz w:val="24"/>
          <w:szCs w:val="24"/>
        </w:rPr>
        <w:t>are the capillaries</w:t>
      </w:r>
      <w:r w:rsidRPr="00F116A6">
        <w:rPr>
          <w:rFonts w:cstheme="minorHAnsi"/>
          <w:sz w:val="24"/>
          <w:szCs w:val="24"/>
        </w:rPr>
        <w:t xml:space="preserve"> filled with </w:t>
      </w:r>
      <w:r>
        <w:rPr>
          <w:rFonts w:cstheme="minorHAnsi"/>
          <w:sz w:val="24"/>
          <w:szCs w:val="24"/>
        </w:rPr>
        <w:t xml:space="preserve">10 wt% NaCl and </w:t>
      </w:r>
      <w:r w:rsidRPr="00F116A6">
        <w:rPr>
          <w:rFonts w:cstheme="minorHAnsi"/>
          <w:sz w:val="24"/>
          <w:szCs w:val="24"/>
        </w:rPr>
        <w:t>6 M KOH solution</w:t>
      </w:r>
      <w:r>
        <w:rPr>
          <w:rFonts w:cstheme="minorHAnsi"/>
          <w:sz w:val="24"/>
          <w:szCs w:val="24"/>
        </w:rPr>
        <w:t xml:space="preserve"> for </w:t>
      </w:r>
      <w:r w:rsidRPr="00F116A6">
        <w:rPr>
          <w:rFonts w:cstheme="minorHAnsi"/>
          <w:sz w:val="24"/>
          <w:szCs w:val="24"/>
        </w:rPr>
        <w:t>PA-10-2.1</w:t>
      </w:r>
      <w:r>
        <w:rPr>
          <w:rFonts w:cstheme="minorHAnsi"/>
          <w:sz w:val="24"/>
          <w:szCs w:val="24"/>
        </w:rPr>
        <w:t xml:space="preserve"> and </w:t>
      </w:r>
      <w:r w:rsidRPr="00F116A6">
        <w:rPr>
          <w:rFonts w:cstheme="minorHAnsi"/>
          <w:sz w:val="24"/>
          <w:szCs w:val="24"/>
        </w:rPr>
        <w:t>K-PA-10-2.1</w:t>
      </w:r>
      <w:r>
        <w:rPr>
          <w:rFonts w:cstheme="minorHAnsi"/>
          <w:sz w:val="24"/>
          <w:szCs w:val="24"/>
        </w:rPr>
        <w:t>, respectively</w:t>
      </w:r>
      <w:r w:rsidRPr="00F116A6">
        <w:rPr>
          <w:rFonts w:cstheme="minorHAnsi"/>
          <w:sz w:val="24"/>
          <w:szCs w:val="24"/>
        </w:rPr>
        <w:t xml:space="preserve">. The red lines are the fits of the experimental data. </w:t>
      </w:r>
    </w:p>
    <w:p w14:paraId="4625CA40" w14:textId="77777777" w:rsidR="00FF17A4" w:rsidRPr="00F116A6" w:rsidRDefault="00FF17A4" w:rsidP="004135EB">
      <w:pPr>
        <w:spacing w:line="360" w:lineRule="auto"/>
        <w:jc w:val="both"/>
        <w:rPr>
          <w:sz w:val="24"/>
          <w:szCs w:val="24"/>
        </w:rPr>
      </w:pPr>
    </w:p>
    <w:p w14:paraId="32CCCA66" w14:textId="3BA04A5D" w:rsidR="008D4217" w:rsidRPr="00F116A6" w:rsidRDefault="008D4217" w:rsidP="004135EB">
      <w:pPr>
        <w:keepNext/>
        <w:spacing w:after="200" w:line="360" w:lineRule="auto"/>
        <w:jc w:val="both"/>
        <w:rPr>
          <w:iCs/>
          <w:sz w:val="24"/>
          <w:szCs w:val="24"/>
        </w:rPr>
      </w:pPr>
      <w:bookmarkStart w:id="1" w:name="_Toc509934254"/>
      <w:r w:rsidRPr="00695E18">
        <w:rPr>
          <w:b/>
          <w:iCs/>
          <w:sz w:val="24"/>
          <w:szCs w:val="24"/>
        </w:rPr>
        <w:t xml:space="preserve">Table </w:t>
      </w:r>
      <w:r w:rsidR="00FF17A4" w:rsidRPr="00695E18">
        <w:rPr>
          <w:b/>
          <w:iCs/>
          <w:sz w:val="24"/>
          <w:szCs w:val="24"/>
        </w:rPr>
        <w:t>S</w:t>
      </w:r>
      <w:r w:rsidRPr="00695E18">
        <w:rPr>
          <w:b/>
          <w:iCs/>
          <w:sz w:val="24"/>
          <w:szCs w:val="24"/>
        </w:rPr>
        <w:t>1</w:t>
      </w:r>
      <w:r w:rsidRPr="00F116A6">
        <w:rPr>
          <w:iCs/>
          <w:sz w:val="24"/>
          <w:szCs w:val="24"/>
        </w:rPr>
        <w:t xml:space="preserve"> Fitting parameters for SAXS result</w:t>
      </w:r>
      <w:bookmarkEnd w:id="1"/>
      <w:r w:rsidR="0082411D">
        <w:rPr>
          <w:iCs/>
          <w:sz w:val="24"/>
          <w:szCs w:val="24"/>
        </w:rPr>
        <w:t>s.</w:t>
      </w:r>
    </w:p>
    <w:tbl>
      <w:tblPr>
        <w:tblStyle w:val="ListTable6Colorful11"/>
        <w:tblW w:w="9215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1560"/>
        <w:gridCol w:w="763"/>
        <w:gridCol w:w="1010"/>
        <w:gridCol w:w="637"/>
        <w:gridCol w:w="850"/>
        <w:gridCol w:w="993"/>
        <w:gridCol w:w="850"/>
        <w:gridCol w:w="851"/>
        <w:gridCol w:w="599"/>
        <w:gridCol w:w="1102"/>
      </w:tblGrid>
      <w:tr w:rsidR="00920B38" w:rsidRPr="00F116A6" w14:paraId="1829040C" w14:textId="77777777" w:rsidTr="004F6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single" w:sz="4" w:space="0" w:color="auto"/>
            </w:tcBorders>
            <w:hideMark/>
          </w:tcPr>
          <w:p w14:paraId="39DAE236" w14:textId="77777777" w:rsidR="00920B38" w:rsidRPr="00F116A6" w:rsidRDefault="00920B38" w:rsidP="00A8281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Sample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2500F8" w14:textId="77777777" w:rsidR="00920B38" w:rsidRPr="00F116A6" w:rsidRDefault="00920B38" w:rsidP="00A82816">
            <w:pPr>
              <w:tabs>
                <w:tab w:val="center" w:pos="1813"/>
                <w:tab w:val="left" w:pos="27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ab/>
              <w:t>Cluster</w:t>
            </w: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ab/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</w:tcBorders>
            <w:hideMark/>
          </w:tcPr>
          <w:p w14:paraId="2FA2EB48" w14:textId="77777777" w:rsidR="00920B38" w:rsidRPr="00F116A6" w:rsidRDefault="00920B38" w:rsidP="00A82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Primary Particle (globule)</w:t>
            </w:r>
          </w:p>
        </w:tc>
      </w:tr>
      <w:tr w:rsidR="00972898" w:rsidRPr="00F116A6" w14:paraId="64D9483E" w14:textId="77777777" w:rsidTr="004F6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88D007F" w14:textId="77777777" w:rsidR="00972898" w:rsidRPr="00F116A6" w:rsidRDefault="00972898" w:rsidP="00A828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458F48F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SimSun" w:hAnsi="Cambria Math" w:cs="Times New Roman"/>
                    <w:color w:val="000000"/>
                    <w:szCs w:val="24"/>
                  </w:rPr>
                  <m:t>f</m:t>
                </m:r>
              </m:oMath>
            </m:oMathPara>
          </w:p>
        </w:tc>
        <w:tc>
          <w:tcPr>
            <w:tcW w:w="1010" w:type="dxa"/>
            <w:tcBorders>
              <w:bottom w:val="single" w:sz="4" w:space="0" w:color="auto"/>
            </w:tcBorders>
            <w:hideMark/>
          </w:tcPr>
          <w:p w14:paraId="73AAE57E" w14:textId="77777777" w:rsidR="00972898" w:rsidRPr="00F116A6" w:rsidRDefault="00A6740B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Malgun Gothic" w:hAnsi="Cambria Math" w:cs="Times New Roman"/>
                      <w:i/>
                      <w:iCs/>
                      <w:color w:val="000000"/>
                      <w:kern w:val="2"/>
                      <w:szCs w:val="24"/>
                    </w:rPr>
                  </m:ctrlPr>
                </m:sSubPr>
                <m:e>
                  <m:r>
                    <w:rPr>
                      <w:rFonts w:ascii="Cambria Math" w:eastAsia="Malgun Gothic" w:hAnsi="Cambria Math" w:cs="Times New Roman"/>
                      <w:color w:val="000000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Malgun Gothic" w:hAnsi="Cambria Math" w:cs="Times New Roman"/>
                      <w:color w:val="000000"/>
                      <w:szCs w:val="24"/>
                    </w:rPr>
                    <m:t>g,c</m:t>
                  </m:r>
                </m:sub>
              </m:sSub>
            </m:oMath>
            <w:r w:rsidR="00972898"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(Å)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hideMark/>
          </w:tcPr>
          <w:p w14:paraId="7E3300EA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SimSun" w:hAnsi="Cambria Math" w:cs="Times New Roman"/>
                    <w:color w:val="000000"/>
                    <w:szCs w:val="24"/>
                  </w:rPr>
                  <m:t>P</m:t>
                </m:r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B331554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>
              <m:r>
                <w:rPr>
                  <w:rFonts w:ascii="Cambria Math" w:eastAsia="SimSun" w:hAnsi="Cambria Math" w:cs="Times New Roman"/>
                  <w:color w:val="000000"/>
                  <w:szCs w:val="24"/>
                </w:rPr>
                <m:t>v</m:t>
              </m:r>
            </m:oMath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(%)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1C61D44" w14:textId="77777777" w:rsidR="00972898" w:rsidRPr="00F116A6" w:rsidRDefault="00A6740B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iCs/>
                      <w:color w:val="000000"/>
                      <w:kern w:val="2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/>
                      <w:szCs w:val="24"/>
                    </w:rPr>
                    <m:t>p</m:t>
                  </m:r>
                </m:sub>
              </m:sSub>
            </m:oMath>
            <w:r w:rsidR="00972898"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(a.u.)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385DAD2B" w14:textId="77777777" w:rsidR="00972898" w:rsidRPr="00F116A6" w:rsidRDefault="00A6740B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kern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p</m:t>
                  </m:r>
                </m:sub>
              </m:sSub>
            </m:oMath>
            <w:r w:rsidR="00972898" w:rsidRPr="00F116A6">
              <w:rPr>
                <w:rFonts w:ascii="Times New Roman" w:eastAsia="Times New Roman" w:hAnsi="Times New Roman" w:cs="Times New Roman"/>
                <w:color w:val="000000"/>
                <w:szCs w:val="24"/>
              </w:rPr>
              <w:t>(Å)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7CC920EF" w14:textId="77777777" w:rsidR="00972898" w:rsidRPr="00F116A6" w:rsidRDefault="00A6740B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iCs/>
                      <w:color w:val="000000"/>
                      <w:kern w:val="2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/>
                      <w:szCs w:val="24"/>
                    </w:rPr>
                    <m:t>p</m:t>
                  </m:r>
                </m:sub>
              </m:sSub>
            </m:oMath>
            <w:r w:rsidR="00972898"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(Å)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hideMark/>
          </w:tcPr>
          <w:p w14:paraId="4B017A9E" w14:textId="77777777" w:rsidR="00972898" w:rsidRPr="00F116A6" w:rsidRDefault="00A6740B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color w:val="000000"/>
                        <w:kern w:val="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102" w:type="dxa"/>
            <w:tcBorders>
              <w:bottom w:val="single" w:sz="4" w:space="0" w:color="auto"/>
            </w:tcBorders>
            <w:hideMark/>
          </w:tcPr>
          <w:p w14:paraId="12C9DABD" w14:textId="77777777" w:rsidR="00972898" w:rsidRPr="00F116A6" w:rsidRDefault="00A6740B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iCs/>
                      <w:color w:val="000000"/>
                      <w:kern w:val="2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/>
                      <w:szCs w:val="24"/>
                    </w:rPr>
                    <m:t>g,p</m:t>
                  </m:r>
                </m:sub>
              </m:sSub>
            </m:oMath>
            <w:r w:rsidR="00972898"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(Å)</w:t>
            </w:r>
          </w:p>
        </w:tc>
      </w:tr>
      <w:tr w:rsidR="00972898" w:rsidRPr="00F116A6" w14:paraId="1908E197" w14:textId="77777777" w:rsidTr="004F6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7EB56C94" w14:textId="77777777" w:rsidR="00972898" w:rsidRPr="00F116A6" w:rsidRDefault="00972898" w:rsidP="00A8281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  <w:lang w:val="en-US"/>
              </w:rPr>
              <w:t>K-PA-10-2.1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111365DA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1.6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14:paraId="303707E1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13.1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14:paraId="4A36189B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6F4254DF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hideMark/>
          </w:tcPr>
          <w:p w14:paraId="5EBECFBE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0.232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14:paraId="5934990B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19.9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14:paraId="51E01FD9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3.7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14:paraId="1E32B468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F116A6">
              <w:rPr>
                <w:rFonts w:ascii="Times New Roman" w:eastAsia="SimSun" w:hAnsi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FFFFFF" w:themeColor="background1"/>
            </w:tcBorders>
            <w:hideMark/>
          </w:tcPr>
          <w:p w14:paraId="1A3FB4D4" w14:textId="49A2EB59" w:rsidR="00972898" w:rsidRPr="00F116A6" w:rsidRDefault="0061479C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9.91</w:t>
            </w:r>
          </w:p>
        </w:tc>
      </w:tr>
      <w:tr w:rsidR="00972898" w:rsidRPr="00F116A6" w14:paraId="1DEAA2F6" w14:textId="77777777" w:rsidTr="004F6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04C316A8" w14:textId="77777777" w:rsidR="00972898" w:rsidRPr="00F116A6" w:rsidRDefault="00972898" w:rsidP="00A82816">
            <w:pPr>
              <w:jc w:val="center"/>
              <w:rPr>
                <w:rFonts w:ascii="Times New Roman" w:eastAsia="SimSun" w:hAnsi="Times New Roman" w:cs="Times New Roman"/>
                <w:color w:val="000000"/>
                <w:szCs w:val="24"/>
                <w:lang w:val="en-US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  <w:lang w:val="en-US"/>
              </w:rPr>
              <w:t>PA-10-2.1</w:t>
            </w:r>
          </w:p>
        </w:tc>
        <w:tc>
          <w:tcPr>
            <w:tcW w:w="763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4B48D25E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1010" w:type="dxa"/>
            <w:tcBorders>
              <w:top w:val="single" w:sz="4" w:space="0" w:color="FFFFFF" w:themeColor="background1"/>
            </w:tcBorders>
          </w:tcPr>
          <w:p w14:paraId="43BB47D9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13.1</w:t>
            </w:r>
          </w:p>
        </w:tc>
        <w:tc>
          <w:tcPr>
            <w:tcW w:w="637" w:type="dxa"/>
            <w:tcBorders>
              <w:top w:val="single" w:sz="4" w:space="0" w:color="FFFFFF" w:themeColor="background1"/>
            </w:tcBorders>
          </w:tcPr>
          <w:p w14:paraId="02C038A9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77CFFB0D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00DF2B85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0.024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0C95424B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18.1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551CFAD5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4.7</w:t>
            </w:r>
          </w:p>
        </w:tc>
        <w:tc>
          <w:tcPr>
            <w:tcW w:w="599" w:type="dxa"/>
            <w:tcBorders>
              <w:top w:val="single" w:sz="4" w:space="0" w:color="FFFFFF" w:themeColor="background1"/>
            </w:tcBorders>
          </w:tcPr>
          <w:p w14:paraId="53CF9C93" w14:textId="77777777" w:rsidR="00972898" w:rsidRPr="00F116A6" w:rsidRDefault="00972898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336B4F">
              <w:rPr>
                <w:rFonts w:ascii="Times New Roman" w:eastAsia="SimSun" w:hAnsi="Times New Roman" w:cs="Times New Roman"/>
                <w:color w:val="000000"/>
                <w:szCs w:val="24"/>
              </w:rPr>
              <w:t>1.8</w:t>
            </w:r>
          </w:p>
        </w:tc>
        <w:tc>
          <w:tcPr>
            <w:tcW w:w="1102" w:type="dxa"/>
            <w:tcBorders>
              <w:top w:val="single" w:sz="4" w:space="0" w:color="FFFFFF" w:themeColor="background1"/>
            </w:tcBorders>
          </w:tcPr>
          <w:p w14:paraId="5EB697CE" w14:textId="019AA1F6" w:rsidR="00972898" w:rsidRDefault="0061479C" w:rsidP="00A82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9.56</w:t>
            </w:r>
          </w:p>
        </w:tc>
      </w:tr>
    </w:tbl>
    <w:p w14:paraId="50A8E658" w14:textId="3D3D13CD" w:rsidR="0012727F" w:rsidRDefault="0012727F">
      <w:pPr>
        <w:rPr>
          <w:sz w:val="24"/>
          <w:szCs w:val="24"/>
        </w:rPr>
      </w:pPr>
    </w:p>
    <w:p w14:paraId="6B2D6228" w14:textId="77777777" w:rsidR="00F814A2" w:rsidRDefault="00F814A2">
      <w:pPr>
        <w:rPr>
          <w:sz w:val="24"/>
          <w:szCs w:val="24"/>
        </w:rPr>
      </w:pPr>
    </w:p>
    <w:p w14:paraId="7A999316" w14:textId="77777777" w:rsidR="0012727F" w:rsidRPr="00816D1A" w:rsidRDefault="0012727F">
      <w:pPr>
        <w:rPr>
          <w:rFonts w:ascii="Times New Roman" w:hAnsi="Times New Roman" w:cs="Times New Roman"/>
          <w:b/>
          <w:sz w:val="24"/>
          <w:szCs w:val="24"/>
        </w:rPr>
      </w:pPr>
      <w:r w:rsidRPr="00816D1A">
        <w:rPr>
          <w:rFonts w:ascii="Times New Roman" w:hAnsi="Times New Roman" w:cs="Times New Roman"/>
          <w:b/>
          <w:sz w:val="24"/>
          <w:szCs w:val="24"/>
        </w:rPr>
        <w:t>References for Supporting Information</w:t>
      </w:r>
    </w:p>
    <w:p w14:paraId="70AC9A04" w14:textId="55B77AB7" w:rsidR="00047AD9" w:rsidRDefault="0061479C" w:rsidP="00047AD9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530A" w:rsidRPr="0012727F">
        <w:rPr>
          <w:rFonts w:ascii="Times New Roman" w:hAnsi="Times New Roman" w:cs="Times New Roman"/>
          <w:sz w:val="24"/>
          <w:szCs w:val="24"/>
        </w:rPr>
        <w:fldChar w:fldCharType="begin"/>
      </w:r>
      <w:r w:rsidR="005E530A" w:rsidRPr="0012727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5E530A" w:rsidRPr="0012727F">
        <w:rPr>
          <w:rFonts w:ascii="Times New Roman" w:hAnsi="Times New Roman" w:cs="Times New Roman"/>
          <w:sz w:val="24"/>
          <w:szCs w:val="24"/>
        </w:rPr>
        <w:fldChar w:fldCharType="separate"/>
      </w:r>
      <w:r w:rsidR="00047AD9" w:rsidRPr="0012727F">
        <w:rPr>
          <w:rFonts w:ascii="Times New Roman" w:hAnsi="Times New Roman" w:cs="Times New Roman"/>
          <w:sz w:val="24"/>
          <w:szCs w:val="24"/>
        </w:rPr>
        <w:t>1.</w:t>
      </w:r>
      <w:r w:rsidR="00047AD9" w:rsidRPr="0012727F">
        <w:rPr>
          <w:rFonts w:ascii="Times New Roman" w:hAnsi="Times New Roman" w:cs="Times New Roman"/>
          <w:sz w:val="24"/>
          <w:szCs w:val="24"/>
        </w:rPr>
        <w:tab/>
      </w:r>
      <w:r w:rsidR="00F72551">
        <w:rPr>
          <w:rFonts w:ascii="Times New Roman" w:hAnsi="Times New Roman" w:cs="Times New Roman"/>
          <w:sz w:val="24"/>
          <w:szCs w:val="24"/>
        </w:rPr>
        <w:t xml:space="preserve">X. </w:t>
      </w:r>
      <w:r w:rsidR="00047AD9" w:rsidRPr="0012727F">
        <w:rPr>
          <w:rFonts w:ascii="Times New Roman" w:hAnsi="Times New Roman" w:cs="Times New Roman"/>
          <w:sz w:val="24"/>
          <w:szCs w:val="24"/>
        </w:rPr>
        <w:t xml:space="preserve">Li, </w:t>
      </w:r>
      <w:r w:rsidR="00F72551">
        <w:rPr>
          <w:rFonts w:ascii="Times New Roman" w:hAnsi="Times New Roman" w:cs="Times New Roman"/>
          <w:sz w:val="24"/>
          <w:szCs w:val="24"/>
        </w:rPr>
        <w:t xml:space="preserve">H. Charaya, G.M. </w:t>
      </w:r>
      <w:r w:rsidR="00047AD9" w:rsidRPr="0012727F">
        <w:rPr>
          <w:rFonts w:ascii="Times New Roman" w:hAnsi="Times New Roman" w:cs="Times New Roman"/>
          <w:sz w:val="24"/>
          <w:szCs w:val="24"/>
        </w:rPr>
        <w:t xml:space="preserve">Bernard, </w:t>
      </w:r>
      <w:r w:rsidR="00F72551">
        <w:rPr>
          <w:rFonts w:ascii="Times New Roman" w:hAnsi="Times New Roman" w:cs="Times New Roman"/>
          <w:sz w:val="24"/>
          <w:szCs w:val="24"/>
        </w:rPr>
        <w:t xml:space="preserve">J.A.W. </w:t>
      </w:r>
      <w:r w:rsidR="00047AD9" w:rsidRPr="0012727F">
        <w:rPr>
          <w:rFonts w:ascii="Times New Roman" w:hAnsi="Times New Roman" w:cs="Times New Roman"/>
          <w:sz w:val="24"/>
          <w:szCs w:val="24"/>
        </w:rPr>
        <w:t xml:space="preserve">Elliott, </w:t>
      </w:r>
      <w:r w:rsidR="00F72551">
        <w:rPr>
          <w:rFonts w:ascii="Times New Roman" w:hAnsi="Times New Roman" w:cs="Times New Roman"/>
          <w:sz w:val="24"/>
          <w:szCs w:val="24"/>
        </w:rPr>
        <w:t xml:space="preserve">V.K. </w:t>
      </w:r>
      <w:r w:rsidR="00047AD9" w:rsidRPr="0012727F">
        <w:rPr>
          <w:rFonts w:ascii="Times New Roman" w:hAnsi="Times New Roman" w:cs="Times New Roman"/>
          <w:sz w:val="24"/>
          <w:szCs w:val="24"/>
        </w:rPr>
        <w:t xml:space="preserve">Michaelis, </w:t>
      </w:r>
      <w:r w:rsidR="00F72551">
        <w:rPr>
          <w:rFonts w:ascii="Times New Roman" w:hAnsi="Times New Roman" w:cs="Times New Roman"/>
          <w:sz w:val="24"/>
          <w:szCs w:val="24"/>
        </w:rPr>
        <w:t xml:space="preserve">B. </w:t>
      </w:r>
      <w:r w:rsidR="00047AD9" w:rsidRPr="0012727F">
        <w:rPr>
          <w:rFonts w:ascii="Times New Roman" w:hAnsi="Times New Roman" w:cs="Times New Roman"/>
          <w:sz w:val="24"/>
          <w:szCs w:val="24"/>
        </w:rPr>
        <w:t xml:space="preserve">Lee, </w:t>
      </w:r>
      <w:r w:rsidR="00F72551">
        <w:rPr>
          <w:rFonts w:ascii="Times New Roman" w:hAnsi="Times New Roman" w:cs="Times New Roman"/>
          <w:sz w:val="24"/>
          <w:szCs w:val="24"/>
        </w:rPr>
        <w:t xml:space="preserve">H-J. </w:t>
      </w:r>
      <w:r w:rsidR="00047AD9" w:rsidRPr="0012727F">
        <w:rPr>
          <w:rFonts w:ascii="Times New Roman" w:hAnsi="Times New Roman" w:cs="Times New Roman"/>
          <w:sz w:val="24"/>
          <w:szCs w:val="24"/>
        </w:rPr>
        <w:t>Chung</w:t>
      </w:r>
      <w:r w:rsidR="00F72551">
        <w:rPr>
          <w:rFonts w:ascii="Times New Roman" w:hAnsi="Times New Roman" w:cs="Times New Roman"/>
          <w:sz w:val="24"/>
          <w:szCs w:val="24"/>
        </w:rPr>
        <w:t>:</w:t>
      </w:r>
      <w:r w:rsidR="00047AD9" w:rsidRPr="0012727F">
        <w:rPr>
          <w:rFonts w:ascii="Times New Roman" w:hAnsi="Times New Roman" w:cs="Times New Roman"/>
          <w:sz w:val="24"/>
          <w:szCs w:val="24"/>
        </w:rPr>
        <w:t xml:space="preserve"> Low-Temperature Ionic Conductivity Enhanced by Disrupted Ice Formation in Polyampholyte Hydrogels. </w:t>
      </w:r>
      <w:r w:rsidR="00047AD9" w:rsidRPr="0012727F">
        <w:rPr>
          <w:rFonts w:ascii="Times New Roman" w:hAnsi="Times New Roman" w:cs="Times New Roman"/>
          <w:i/>
          <w:sz w:val="24"/>
          <w:szCs w:val="24"/>
        </w:rPr>
        <w:t xml:space="preserve">Macromolecules </w:t>
      </w:r>
      <w:r w:rsidR="00F72551">
        <w:rPr>
          <w:rFonts w:ascii="Times New Roman" w:hAnsi="Times New Roman" w:cs="Times New Roman"/>
          <w:b/>
          <w:sz w:val="24"/>
          <w:szCs w:val="24"/>
        </w:rPr>
        <w:t>51</w:t>
      </w:r>
      <w:r w:rsidR="00047AD9" w:rsidRPr="0012727F">
        <w:rPr>
          <w:rFonts w:ascii="Times New Roman" w:hAnsi="Times New Roman" w:cs="Times New Roman"/>
          <w:sz w:val="24"/>
          <w:szCs w:val="24"/>
        </w:rPr>
        <w:t>, 2723-2731</w:t>
      </w:r>
      <w:r w:rsidR="00F72551">
        <w:rPr>
          <w:rFonts w:ascii="Times New Roman" w:hAnsi="Times New Roman" w:cs="Times New Roman"/>
          <w:sz w:val="24"/>
          <w:szCs w:val="24"/>
        </w:rPr>
        <w:t xml:space="preserve"> (2018)</w:t>
      </w:r>
      <w:r w:rsidR="00047AD9" w:rsidRPr="0012727F">
        <w:rPr>
          <w:rFonts w:ascii="Times New Roman" w:hAnsi="Times New Roman" w:cs="Times New Roman"/>
          <w:sz w:val="24"/>
          <w:szCs w:val="24"/>
        </w:rPr>
        <w:t>.</w:t>
      </w:r>
    </w:p>
    <w:p w14:paraId="6FCAD159" w14:textId="33376E16" w:rsidR="00F72551" w:rsidRDefault="00F72551" w:rsidP="00F72551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2727F">
        <w:rPr>
          <w:rFonts w:ascii="Times New Roman" w:hAnsi="Times New Roman" w:cs="Times New Roman"/>
          <w:sz w:val="24"/>
          <w:szCs w:val="24"/>
        </w:rPr>
        <w:fldChar w:fldCharType="begin"/>
      </w:r>
      <w:r w:rsidRPr="0012727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272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</w:t>
      </w:r>
      <w:r w:rsidRPr="0012727F">
        <w:rPr>
          <w:rFonts w:ascii="Times New Roman" w:hAnsi="Times New Roman" w:cs="Times New Roman"/>
          <w:sz w:val="24"/>
          <w:szCs w:val="24"/>
        </w:rPr>
        <w:t>.</w:t>
      </w:r>
      <w:r w:rsidRPr="00127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R. Besselink and J.E. ten Elshof: </w:t>
      </w:r>
      <w:r w:rsidRPr="00F72551">
        <w:rPr>
          <w:rFonts w:ascii="Times New Roman" w:hAnsi="Times New Roman" w:cs="Times New Roman"/>
          <w:sz w:val="24"/>
          <w:szCs w:val="24"/>
        </w:rPr>
        <w:t xml:space="preserve">Mass-fractal </w:t>
      </w:r>
      <w:r>
        <w:rPr>
          <w:rFonts w:ascii="Times New Roman" w:hAnsi="Times New Roman" w:cs="Times New Roman"/>
          <w:sz w:val="24"/>
          <w:szCs w:val="24"/>
        </w:rPr>
        <w:t xml:space="preserve">growth in niobia/silsesquioxane </w:t>
      </w:r>
      <w:r w:rsidRPr="00F72551">
        <w:rPr>
          <w:rFonts w:ascii="Times New Roman" w:hAnsi="Times New Roman" w:cs="Times New Roman"/>
          <w:sz w:val="24"/>
          <w:szCs w:val="24"/>
        </w:rPr>
        <w:t>mixtures: a small-angle X-ray scattering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551">
        <w:rPr>
          <w:rFonts w:ascii="Times New Roman" w:hAnsi="Times New Roman" w:cs="Times New Roman"/>
          <w:i/>
          <w:sz w:val="24"/>
          <w:szCs w:val="24"/>
        </w:rPr>
        <w:t>Journal of Applied Crystallography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51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 1606-1613 (20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14).</w:t>
      </w:r>
    </w:p>
    <w:p w14:paraId="289D825E" w14:textId="2C273B33" w:rsidR="00DD36CB" w:rsidRDefault="00F72551" w:rsidP="00F72551">
      <w:r w:rsidRPr="0012727F">
        <w:rPr>
          <w:rFonts w:ascii="Times New Roman" w:hAnsi="Times New Roman" w:cs="Times New Roman"/>
          <w:sz w:val="24"/>
          <w:szCs w:val="24"/>
        </w:rPr>
        <w:fldChar w:fldCharType="end"/>
      </w:r>
      <w:r w:rsidR="005E530A" w:rsidRPr="0012727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D3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10B0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188"/>
    <w:multiLevelType w:val="hybridMultilevel"/>
    <w:tmpl w:val="284EA480"/>
    <w:lvl w:ilvl="0" w:tplc="B20E6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JC">
    <w15:presenceInfo w15:providerId="None" w15:userId="HJ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fszpsrarr92mewprw5z5sia9wvsfaw0tfe&quot;&gt;water states Copy&lt;record-ids&gt;&lt;item&gt;91&lt;/item&gt;&lt;/record-ids&gt;&lt;/item&gt;&lt;/Libraries&gt;"/>
  </w:docVars>
  <w:rsids>
    <w:rsidRoot w:val="009C0CD6"/>
    <w:rsid w:val="00047AD9"/>
    <w:rsid w:val="000E146F"/>
    <w:rsid w:val="0012727F"/>
    <w:rsid w:val="00143F39"/>
    <w:rsid w:val="002917A8"/>
    <w:rsid w:val="002B6F40"/>
    <w:rsid w:val="002C1EE2"/>
    <w:rsid w:val="002C2877"/>
    <w:rsid w:val="002F7F48"/>
    <w:rsid w:val="0034347A"/>
    <w:rsid w:val="00356050"/>
    <w:rsid w:val="00360F15"/>
    <w:rsid w:val="003A7A02"/>
    <w:rsid w:val="003F0F99"/>
    <w:rsid w:val="004135EB"/>
    <w:rsid w:val="00425E65"/>
    <w:rsid w:val="004F699D"/>
    <w:rsid w:val="004F6D47"/>
    <w:rsid w:val="0053281F"/>
    <w:rsid w:val="005E530A"/>
    <w:rsid w:val="006133AD"/>
    <w:rsid w:val="0061479C"/>
    <w:rsid w:val="00667172"/>
    <w:rsid w:val="006755F1"/>
    <w:rsid w:val="00694EA0"/>
    <w:rsid w:val="00695E18"/>
    <w:rsid w:val="006F15B3"/>
    <w:rsid w:val="007152E6"/>
    <w:rsid w:val="00736E2F"/>
    <w:rsid w:val="007817FA"/>
    <w:rsid w:val="007D5385"/>
    <w:rsid w:val="00816D1A"/>
    <w:rsid w:val="0082411D"/>
    <w:rsid w:val="008C01AC"/>
    <w:rsid w:val="008D4217"/>
    <w:rsid w:val="00911993"/>
    <w:rsid w:val="00920B38"/>
    <w:rsid w:val="00952503"/>
    <w:rsid w:val="00972898"/>
    <w:rsid w:val="009A4FC1"/>
    <w:rsid w:val="009C0CD6"/>
    <w:rsid w:val="009D429B"/>
    <w:rsid w:val="00A30E07"/>
    <w:rsid w:val="00A3593E"/>
    <w:rsid w:val="00A6740B"/>
    <w:rsid w:val="00AC2C65"/>
    <w:rsid w:val="00AD0CAE"/>
    <w:rsid w:val="00AF0BD2"/>
    <w:rsid w:val="00B057A0"/>
    <w:rsid w:val="00BD297F"/>
    <w:rsid w:val="00BE4B73"/>
    <w:rsid w:val="00C658FB"/>
    <w:rsid w:val="00D03DF0"/>
    <w:rsid w:val="00D439DE"/>
    <w:rsid w:val="00DB24F0"/>
    <w:rsid w:val="00DD36CB"/>
    <w:rsid w:val="00EA44EF"/>
    <w:rsid w:val="00EA6458"/>
    <w:rsid w:val="00EB0F0B"/>
    <w:rsid w:val="00EB6644"/>
    <w:rsid w:val="00F116A6"/>
    <w:rsid w:val="00F27687"/>
    <w:rsid w:val="00F560EE"/>
    <w:rsid w:val="00F72551"/>
    <w:rsid w:val="00F814A2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731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6CB"/>
    <w:rPr>
      <w:color w:val="0563C1" w:themeColor="hyperlink"/>
      <w:u w:val="single"/>
    </w:rPr>
  </w:style>
  <w:style w:type="table" w:customStyle="1" w:styleId="ListTable6Colorful11">
    <w:name w:val="List Table 6 Colorful11"/>
    <w:basedOn w:val="a1"/>
    <w:uiPriority w:val="51"/>
    <w:rsid w:val="008D4217"/>
    <w:pPr>
      <w:spacing w:after="0" w:line="240" w:lineRule="auto"/>
    </w:pPr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5E53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E530A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5E530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5E530A"/>
    <w:rPr>
      <w:rFonts w:ascii="Calibri" w:hAnsi="Calibri" w:cs="Calibri"/>
      <w:noProof/>
    </w:rPr>
  </w:style>
  <w:style w:type="character" w:styleId="a4">
    <w:name w:val="annotation reference"/>
    <w:basedOn w:val="a0"/>
    <w:uiPriority w:val="99"/>
    <w:semiHidden/>
    <w:unhideWhenUsed/>
    <w:rsid w:val="002C28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877"/>
    <w:pPr>
      <w:spacing w:line="240" w:lineRule="auto"/>
    </w:pPr>
    <w:rPr>
      <w:sz w:val="20"/>
      <w:szCs w:val="20"/>
    </w:rPr>
  </w:style>
  <w:style w:type="character" w:customStyle="1" w:styleId="a6">
    <w:name w:val="注释文本字符"/>
    <w:basedOn w:val="a0"/>
    <w:link w:val="a5"/>
    <w:uiPriority w:val="99"/>
    <w:semiHidden/>
    <w:rsid w:val="002C28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877"/>
    <w:rPr>
      <w:b/>
      <w:bCs/>
    </w:rPr>
  </w:style>
  <w:style w:type="character" w:customStyle="1" w:styleId="a8">
    <w:name w:val="批注主题字符"/>
    <w:basedOn w:val="a6"/>
    <w:link w:val="a7"/>
    <w:uiPriority w:val="99"/>
    <w:semiHidden/>
    <w:rsid w:val="002C28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C287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6CB"/>
    <w:rPr>
      <w:color w:val="0563C1" w:themeColor="hyperlink"/>
      <w:u w:val="single"/>
    </w:rPr>
  </w:style>
  <w:style w:type="table" w:customStyle="1" w:styleId="ListTable6Colorful11">
    <w:name w:val="List Table 6 Colorful11"/>
    <w:basedOn w:val="a1"/>
    <w:uiPriority w:val="51"/>
    <w:rsid w:val="008D4217"/>
    <w:pPr>
      <w:spacing w:after="0" w:line="240" w:lineRule="auto"/>
    </w:pPr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5E53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E530A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5E530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5E530A"/>
    <w:rPr>
      <w:rFonts w:ascii="Calibri" w:hAnsi="Calibri" w:cs="Calibri"/>
      <w:noProof/>
    </w:rPr>
  </w:style>
  <w:style w:type="character" w:styleId="a4">
    <w:name w:val="annotation reference"/>
    <w:basedOn w:val="a0"/>
    <w:uiPriority w:val="99"/>
    <w:semiHidden/>
    <w:unhideWhenUsed/>
    <w:rsid w:val="002C28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877"/>
    <w:pPr>
      <w:spacing w:line="240" w:lineRule="auto"/>
    </w:pPr>
    <w:rPr>
      <w:sz w:val="20"/>
      <w:szCs w:val="20"/>
    </w:rPr>
  </w:style>
  <w:style w:type="character" w:customStyle="1" w:styleId="a6">
    <w:name w:val="注释文本字符"/>
    <w:basedOn w:val="a0"/>
    <w:link w:val="a5"/>
    <w:uiPriority w:val="99"/>
    <w:semiHidden/>
    <w:rsid w:val="002C28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877"/>
    <w:rPr>
      <w:b/>
      <w:bCs/>
    </w:rPr>
  </w:style>
  <w:style w:type="character" w:customStyle="1" w:styleId="a8">
    <w:name w:val="批注主题字符"/>
    <w:basedOn w:val="a6"/>
    <w:link w:val="a7"/>
    <w:uiPriority w:val="99"/>
    <w:semiHidden/>
    <w:rsid w:val="002C28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C287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hung.hj13@ualbrerta.ca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4819-CC58-BE42-BB62-9B7B5C17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960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Xinda Li</dc:creator>
  <cp:keywords/>
  <dc:description/>
  <cp:lastModifiedBy>jenny －</cp:lastModifiedBy>
  <cp:revision>5</cp:revision>
  <dcterms:created xsi:type="dcterms:W3CDTF">2018-07-07T23:49:00Z</dcterms:created>
  <dcterms:modified xsi:type="dcterms:W3CDTF">2018-07-09T04:10:00Z</dcterms:modified>
</cp:coreProperties>
</file>