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6A1AF8" w:rsidP="006A1AF8">
      <w:pPr>
        <w:spacing w:line="480" w:lineRule="auto"/>
        <w:jc w:val="both"/>
        <w:rPr>
          <w:b/>
          <w:bCs/>
          <w:sz w:val="18"/>
          <w:szCs w:val="18"/>
        </w:rPr>
      </w:pPr>
    </w:p>
    <w:tbl>
      <w:tblPr>
        <w:tblW w:w="7099" w:type="dxa"/>
        <w:tblInd w:w="693" w:type="dxa"/>
        <w:tblLook w:val="04A0" w:firstRow="1" w:lastRow="0" w:firstColumn="1" w:lastColumn="0" w:noHBand="0" w:noVBand="1"/>
      </w:tblPr>
      <w:tblGrid>
        <w:gridCol w:w="1560"/>
        <w:gridCol w:w="1286"/>
        <w:gridCol w:w="1701"/>
        <w:gridCol w:w="1701"/>
        <w:gridCol w:w="851"/>
      </w:tblGrid>
      <w:tr w:rsidR="0048340F" w:rsidRPr="003356BA" w:rsidTr="00F91D8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Biomarker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Sample type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Health condition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           Range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IE"/>
              </w:rPr>
              <w:t xml:space="preserve">        Ref.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Glucose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Saliva,Sweat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0.5mM - 1.6mM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24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Glucose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Tear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0.025-1.475mmol/l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25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Proteins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 &amp; Saliva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Disease screening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 ng/ml - </w:t>
            </w:r>
            <w:proofErr w:type="spellStart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pg</w:t>
            </w:r>
            <w:proofErr w:type="spellEnd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/ml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26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Electrolytes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Dehydration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0-110mM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27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Interleukin 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Inflammation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0.02pg/ml - 20pg/ml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28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Lactate, salts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Saliva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Dehydration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0 - 110mM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29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proofErr w:type="spellStart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Zn,Cd,Pb,Cu,Hg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Heavy metal poisoning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100 - 300µg/l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30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Potassium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 &amp; Saliva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Hypo &amp; hyper </w:t>
            </w:r>
            <w:proofErr w:type="spellStart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Kalemia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      3.6 -5.2 </w:t>
            </w:r>
            <w:proofErr w:type="spellStart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mmol</w:t>
            </w:r>
            <w:proofErr w:type="spellEnd"/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/l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31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Alcohol/Ethanol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Intoxication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 0 - 36mM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32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Cortisol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Saliva &amp; sweat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Hypertension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          7-28 µg/dl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33</w:t>
            </w:r>
          </w:p>
        </w:tc>
      </w:tr>
      <w:tr w:rsidR="0048340F" w:rsidRPr="003356BA" w:rsidTr="00F91D8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Pathogen cells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>Sweat/urine</w:t>
            </w:r>
            <w:r w:rsidRPr="004F2A5F"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Infectious disease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10 – 100 cells/ml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0F" w:rsidRPr="004F2A5F" w:rsidRDefault="0048340F" w:rsidP="00F91D8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IE"/>
              </w:rPr>
              <w:t xml:space="preserve">         52</w:t>
            </w:r>
          </w:p>
        </w:tc>
      </w:tr>
    </w:tbl>
    <w:p w:rsidR="0048340F" w:rsidRDefault="0048340F" w:rsidP="0048340F">
      <w:pPr>
        <w:spacing w:line="480" w:lineRule="auto"/>
        <w:jc w:val="both"/>
        <w:rPr>
          <w:b/>
          <w:bCs/>
          <w:sz w:val="18"/>
          <w:szCs w:val="18"/>
        </w:rPr>
      </w:pPr>
    </w:p>
    <w:p w:rsidR="0048340F" w:rsidRPr="008A31BB" w:rsidRDefault="0048340F" w:rsidP="0048340F">
      <w:pPr>
        <w:spacing w:line="480" w:lineRule="auto"/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8A31BB">
        <w:rPr>
          <w:b/>
          <w:bCs/>
          <w:sz w:val="18"/>
          <w:szCs w:val="18"/>
        </w:rPr>
        <w:t xml:space="preserve">Table 1: Examples of common target biomolecules, sample fluid and </w:t>
      </w:r>
      <w:r>
        <w:rPr>
          <w:b/>
          <w:bCs/>
          <w:sz w:val="18"/>
          <w:szCs w:val="18"/>
        </w:rPr>
        <w:t>clinical</w:t>
      </w:r>
      <w:r w:rsidRPr="008A31BB">
        <w:rPr>
          <w:b/>
          <w:bCs/>
          <w:sz w:val="18"/>
          <w:szCs w:val="18"/>
        </w:rPr>
        <w:t xml:space="preserve"> concentration ranges used as applications for wearable health monitoring systems.</w:t>
      </w:r>
    </w:p>
    <w:p w:rsidR="00E13CCC" w:rsidRDefault="00E13CCC"/>
    <w:sectPr w:rsidR="00E13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9"/>
    <w:rsid w:val="00091FFE"/>
    <w:rsid w:val="0048340F"/>
    <w:rsid w:val="006A1AF8"/>
    <w:rsid w:val="00AC2082"/>
    <w:rsid w:val="00B33F49"/>
    <w:rsid w:val="00C15266"/>
    <w:rsid w:val="00E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B3F3-1988-43DA-8723-BB0F3E1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Brennan</dc:creator>
  <cp:keywords/>
  <dc:description/>
  <cp:lastModifiedBy>Des Brennan</cp:lastModifiedBy>
  <cp:revision>2</cp:revision>
  <cp:lastPrinted>2018-07-03T11:42:00Z</cp:lastPrinted>
  <dcterms:created xsi:type="dcterms:W3CDTF">2018-07-04T07:32:00Z</dcterms:created>
  <dcterms:modified xsi:type="dcterms:W3CDTF">2018-07-04T07:32:00Z</dcterms:modified>
</cp:coreProperties>
</file>