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7F" w:rsidRPr="0066507F" w:rsidRDefault="0066507F">
      <w:pPr>
        <w:rPr>
          <w:rStyle w:val="titlemark"/>
          <w:rFonts w:ascii="Times New Roman" w:eastAsia="Times New Roman" w:hAnsi="Times New Roman"/>
          <w:b/>
          <w:sz w:val="28"/>
        </w:rPr>
      </w:pPr>
      <w:r w:rsidRPr="0066507F">
        <w:rPr>
          <w:rStyle w:val="titlemark"/>
          <w:rFonts w:ascii="Times New Roman" w:eastAsia="Times New Roman" w:hAnsi="Times New Roman"/>
          <w:b/>
          <w:sz w:val="28"/>
        </w:rPr>
        <w:t xml:space="preserve">Supplementary Materials </w:t>
      </w:r>
    </w:p>
    <w:p w:rsidR="0066507F" w:rsidRDefault="0066507F">
      <w:pPr>
        <w:rPr>
          <w:rFonts w:eastAsia="Times New Roman"/>
        </w:rPr>
      </w:pPr>
    </w:p>
    <w:p w:rsidR="0066507F" w:rsidRPr="0066507F" w:rsidRDefault="0066507F" w:rsidP="0066507F">
      <w:pPr>
        <w:spacing w:after="20"/>
        <w:contextualSpacing/>
        <w:rPr>
          <w:rFonts w:ascii="Times New Roman" w:hAnsi="Times New Roman"/>
          <w:b/>
          <w:sz w:val="36"/>
          <w:szCs w:val="24"/>
        </w:rPr>
      </w:pPr>
      <w:r w:rsidRPr="0066507F">
        <w:rPr>
          <w:rFonts w:ascii="Times New Roman" w:hAnsi="Times New Roman"/>
          <w:b/>
          <w:sz w:val="36"/>
          <w:szCs w:val="24"/>
        </w:rPr>
        <w:t>Carrier-</w:t>
      </w:r>
      <w:r w:rsidR="003A22AA">
        <w:rPr>
          <w:rFonts w:ascii="Times New Roman" w:hAnsi="Times New Roman"/>
          <w:b/>
          <w:sz w:val="36"/>
          <w:szCs w:val="24"/>
        </w:rPr>
        <w:t>induced a</w:t>
      </w:r>
      <w:r w:rsidRPr="0066507F">
        <w:rPr>
          <w:rFonts w:ascii="Times New Roman" w:hAnsi="Times New Roman"/>
          <w:b/>
          <w:sz w:val="36"/>
          <w:szCs w:val="24"/>
        </w:rPr>
        <w:t xml:space="preserve">bsorption as a </w:t>
      </w:r>
      <w:r w:rsidR="003A22AA">
        <w:rPr>
          <w:rFonts w:ascii="Times New Roman" w:hAnsi="Times New Roman"/>
          <w:b/>
          <w:sz w:val="36"/>
          <w:szCs w:val="24"/>
        </w:rPr>
        <w:t>mechanism for e</w:t>
      </w:r>
      <w:r w:rsidRPr="0066507F">
        <w:rPr>
          <w:rFonts w:ascii="Times New Roman" w:hAnsi="Times New Roman"/>
          <w:b/>
          <w:sz w:val="36"/>
          <w:szCs w:val="24"/>
        </w:rPr>
        <w:t xml:space="preserve">lectrochromism in </w:t>
      </w:r>
      <w:r w:rsidR="003A22AA">
        <w:rPr>
          <w:rFonts w:ascii="Times New Roman" w:hAnsi="Times New Roman"/>
          <w:b/>
          <w:sz w:val="36"/>
          <w:szCs w:val="24"/>
        </w:rPr>
        <w:t>tungsten tri</w:t>
      </w:r>
      <w:bookmarkStart w:id="0" w:name="_GoBack"/>
      <w:bookmarkEnd w:id="0"/>
      <w:r w:rsidR="003A22AA">
        <w:rPr>
          <w:rFonts w:ascii="Times New Roman" w:hAnsi="Times New Roman"/>
          <w:b/>
          <w:sz w:val="36"/>
          <w:szCs w:val="24"/>
        </w:rPr>
        <w:t>oxide</w:t>
      </w:r>
    </w:p>
    <w:p w:rsidR="0066507F" w:rsidRPr="00EC0FE7" w:rsidRDefault="0066507F" w:rsidP="0066507F">
      <w:pPr>
        <w:spacing w:after="20"/>
        <w:contextualSpacing/>
        <w:rPr>
          <w:rFonts w:ascii="Times New Roman" w:hAnsi="Times New Roman"/>
          <w:sz w:val="36"/>
          <w:szCs w:val="24"/>
          <w:vertAlign w:val="subscript"/>
        </w:rPr>
      </w:pPr>
    </w:p>
    <w:p w:rsidR="0066507F" w:rsidRPr="0066507F" w:rsidRDefault="0066507F" w:rsidP="0066507F">
      <w:pPr>
        <w:rPr>
          <w:rFonts w:eastAsia="Times New Roman"/>
          <w:sz w:val="22"/>
          <w:szCs w:val="22"/>
        </w:rPr>
      </w:pPr>
      <w:r w:rsidRPr="0066507F">
        <w:rPr>
          <w:rFonts w:ascii="Times New Roman" w:hAnsi="Times New Roman"/>
          <w:sz w:val="22"/>
          <w:szCs w:val="22"/>
        </w:rPr>
        <w:t>Wennie Wang</w:t>
      </w:r>
      <w:r w:rsidRPr="00377D70">
        <w:rPr>
          <w:rFonts w:ascii="Lucida Sans Unicode" w:hAnsi="Lucida Sans Unicode" w:cs="Lucida Sans Unicode"/>
          <w:position w:val="10"/>
          <w:sz w:val="18"/>
          <w:szCs w:val="22"/>
        </w:rPr>
        <w:t>∗</w:t>
      </w:r>
      <w:r w:rsidRPr="0066507F">
        <w:rPr>
          <w:rFonts w:ascii="Times New Roman" w:hAnsi="Times New Roman"/>
          <w:position w:val="10"/>
          <w:sz w:val="22"/>
          <w:szCs w:val="22"/>
          <w:vertAlign w:val="superscript"/>
        </w:rPr>
        <w:t xml:space="preserve"> </w:t>
      </w:r>
      <w:r w:rsidRPr="0066507F">
        <w:rPr>
          <w:rFonts w:ascii="Times New Roman" w:hAnsi="Times New Roman"/>
          <w:sz w:val="22"/>
          <w:szCs w:val="22"/>
        </w:rPr>
        <w:t>and Hartwin Peelaers</w:t>
      </w:r>
    </w:p>
    <w:p w:rsidR="0066507F" w:rsidRPr="0066507F" w:rsidRDefault="0066507F" w:rsidP="0066507F">
      <w:pPr>
        <w:widowControl w:val="0"/>
        <w:autoSpaceDE w:val="0"/>
        <w:autoSpaceDN w:val="0"/>
        <w:adjustRightInd w:val="0"/>
        <w:spacing w:after="20" w:line="276" w:lineRule="auto"/>
        <w:contextualSpacing/>
        <w:rPr>
          <w:rFonts w:ascii="Times New Roman" w:hAnsi="Times New Roman"/>
          <w:sz w:val="22"/>
          <w:szCs w:val="22"/>
        </w:rPr>
      </w:pPr>
      <w:r w:rsidRPr="0066507F">
        <w:rPr>
          <w:rFonts w:ascii="Times New Roman" w:hAnsi="Times New Roman"/>
          <w:sz w:val="22"/>
          <w:szCs w:val="22"/>
        </w:rPr>
        <w:t>Materials Department, University of California, Santa Barbara, California 93106-5050, USA</w:t>
      </w:r>
    </w:p>
    <w:p w:rsidR="0066507F" w:rsidRPr="0066507F" w:rsidRDefault="0066507F" w:rsidP="0066507F">
      <w:pPr>
        <w:widowControl w:val="0"/>
        <w:autoSpaceDE w:val="0"/>
        <w:autoSpaceDN w:val="0"/>
        <w:adjustRightInd w:val="0"/>
        <w:spacing w:after="20"/>
        <w:contextualSpacing/>
        <w:rPr>
          <w:rFonts w:ascii="Times New Roman" w:hAnsi="Times New Roman"/>
          <w:sz w:val="22"/>
          <w:szCs w:val="22"/>
        </w:rPr>
      </w:pPr>
      <w:r w:rsidRPr="0066507F">
        <w:rPr>
          <w:rFonts w:ascii="Times New Roman" w:hAnsi="Times New Roman"/>
          <w:sz w:val="22"/>
          <w:szCs w:val="22"/>
        </w:rPr>
        <w:t>Jimmy-Xuan Shen</w:t>
      </w:r>
    </w:p>
    <w:p w:rsidR="0066507F" w:rsidRPr="0066507F" w:rsidRDefault="0066507F" w:rsidP="0066507F">
      <w:pPr>
        <w:widowControl w:val="0"/>
        <w:autoSpaceDE w:val="0"/>
        <w:autoSpaceDN w:val="0"/>
        <w:adjustRightInd w:val="0"/>
        <w:spacing w:after="20"/>
        <w:contextualSpacing/>
        <w:rPr>
          <w:rFonts w:ascii="Times New Roman" w:hAnsi="Times New Roman"/>
          <w:sz w:val="22"/>
          <w:szCs w:val="22"/>
        </w:rPr>
      </w:pPr>
      <w:r w:rsidRPr="0066507F">
        <w:rPr>
          <w:rFonts w:ascii="Times New Roman" w:hAnsi="Times New Roman"/>
          <w:sz w:val="22"/>
          <w:szCs w:val="22"/>
        </w:rPr>
        <w:t>Department of Physics, University of California, Santa Barbara, California 93106-</w:t>
      </w:r>
      <w:r w:rsidR="00D553B7">
        <w:rPr>
          <w:rFonts w:ascii="Times New Roman" w:hAnsi="Times New Roman"/>
          <w:sz w:val="22"/>
          <w:szCs w:val="22"/>
        </w:rPr>
        <w:t>9530</w:t>
      </w:r>
      <w:r w:rsidRPr="0066507F">
        <w:rPr>
          <w:rFonts w:ascii="Times New Roman" w:hAnsi="Times New Roman"/>
          <w:sz w:val="22"/>
          <w:szCs w:val="22"/>
        </w:rPr>
        <w:t>, USA</w:t>
      </w:r>
    </w:p>
    <w:p w:rsidR="0066507F" w:rsidRPr="0066507F" w:rsidRDefault="0066507F" w:rsidP="0066507F">
      <w:pPr>
        <w:widowControl w:val="0"/>
        <w:autoSpaceDE w:val="0"/>
        <w:autoSpaceDN w:val="0"/>
        <w:adjustRightInd w:val="0"/>
        <w:spacing w:after="20"/>
        <w:contextualSpacing/>
        <w:rPr>
          <w:rFonts w:ascii="Times New Roman" w:hAnsi="Times New Roman"/>
          <w:sz w:val="22"/>
          <w:szCs w:val="22"/>
        </w:rPr>
      </w:pPr>
      <w:r w:rsidRPr="0066507F">
        <w:rPr>
          <w:rFonts w:ascii="Times New Roman" w:hAnsi="Times New Roman"/>
          <w:sz w:val="22"/>
          <w:szCs w:val="22"/>
        </w:rPr>
        <w:t>Chris G. Van de Walle</w:t>
      </w:r>
    </w:p>
    <w:p w:rsidR="0066507F" w:rsidRPr="0066507F" w:rsidRDefault="0066507F" w:rsidP="0066507F">
      <w:pPr>
        <w:widowControl w:val="0"/>
        <w:autoSpaceDE w:val="0"/>
        <w:autoSpaceDN w:val="0"/>
        <w:adjustRightInd w:val="0"/>
        <w:spacing w:after="20"/>
        <w:contextualSpacing/>
        <w:rPr>
          <w:rFonts w:ascii="Times New Roman" w:hAnsi="Times New Roman"/>
          <w:sz w:val="22"/>
          <w:szCs w:val="22"/>
        </w:rPr>
      </w:pPr>
      <w:r w:rsidRPr="0066507F">
        <w:rPr>
          <w:rFonts w:ascii="Times New Roman" w:hAnsi="Times New Roman"/>
          <w:sz w:val="22"/>
          <w:szCs w:val="22"/>
        </w:rPr>
        <w:t xml:space="preserve">Materials Department, University of California, Santa Barbara, California 93106-5050, USA </w:t>
      </w:r>
    </w:p>
    <w:p w:rsidR="0066507F" w:rsidRPr="0066507F" w:rsidRDefault="0066507F" w:rsidP="0066507F">
      <w:pPr>
        <w:widowControl w:val="0"/>
        <w:autoSpaceDE w:val="0"/>
        <w:autoSpaceDN w:val="0"/>
        <w:adjustRightInd w:val="0"/>
        <w:spacing w:after="20"/>
        <w:contextualSpacing/>
        <w:rPr>
          <w:rFonts w:ascii="Times New Roman" w:hAnsi="Times New Roman"/>
          <w:sz w:val="22"/>
          <w:szCs w:val="22"/>
        </w:rPr>
      </w:pPr>
    </w:p>
    <w:p w:rsidR="0066507F" w:rsidRDefault="0066507F" w:rsidP="0066507F">
      <w:pPr>
        <w:widowControl w:val="0"/>
        <w:autoSpaceDE w:val="0"/>
        <w:autoSpaceDN w:val="0"/>
        <w:adjustRightInd w:val="0"/>
        <w:spacing w:after="20"/>
        <w:contextualSpacing/>
        <w:rPr>
          <w:rFonts w:ascii="Times New Roman" w:hAnsi="Times New Roman"/>
          <w:position w:val="10"/>
          <w:sz w:val="22"/>
          <w:szCs w:val="22"/>
        </w:rPr>
      </w:pPr>
      <w:r w:rsidRPr="0066507F">
        <w:rPr>
          <w:rFonts w:ascii="Lucida Sans Unicode" w:hAnsi="Lucida Sans Unicode" w:cs="Lucida Sans Unicode"/>
          <w:position w:val="10"/>
          <w:sz w:val="22"/>
          <w:szCs w:val="22"/>
          <w:vertAlign w:val="superscript"/>
        </w:rPr>
        <w:t>∗</w:t>
      </w:r>
      <w:r w:rsidRPr="0066507F">
        <w:rPr>
          <w:rFonts w:ascii="Times New Roman" w:hAnsi="Times New Roman"/>
          <w:position w:val="10"/>
          <w:sz w:val="22"/>
          <w:szCs w:val="22"/>
        </w:rPr>
        <w:t xml:space="preserve"> Corresponding Author: Wennie Wang, </w:t>
      </w:r>
      <w:hyperlink r:id="rId5" w:history="1">
        <w:r w:rsidR="00AD0D51" w:rsidRPr="00CD350E">
          <w:rPr>
            <w:rStyle w:val="Hyperlink"/>
            <w:rFonts w:ascii="Times New Roman" w:hAnsi="Times New Roman"/>
            <w:position w:val="10"/>
            <w:sz w:val="22"/>
            <w:szCs w:val="22"/>
          </w:rPr>
          <w:t>wwwennie@engineering.ucsb.edu</w:t>
        </w:r>
      </w:hyperlink>
    </w:p>
    <w:p w:rsidR="00AD0D51" w:rsidRPr="0066507F" w:rsidRDefault="00AD0D51" w:rsidP="0066507F">
      <w:pPr>
        <w:widowControl w:val="0"/>
        <w:autoSpaceDE w:val="0"/>
        <w:autoSpaceDN w:val="0"/>
        <w:adjustRightInd w:val="0"/>
        <w:spacing w:after="20"/>
        <w:contextualSpacing/>
        <w:rPr>
          <w:rFonts w:ascii="Times New Roman" w:hAnsi="Times New Roman"/>
          <w:sz w:val="22"/>
          <w:szCs w:val="22"/>
        </w:rPr>
      </w:pPr>
    </w:p>
    <w:p w:rsidR="0066507F" w:rsidRDefault="0066507F">
      <w:pPr>
        <w:rPr>
          <w:rStyle w:val="titlemark"/>
          <w:rFonts w:ascii="Times New Roman" w:eastAsia="Times New Roman" w:hAnsi="Times New Roman"/>
          <w:b/>
          <w:bCs/>
          <w:sz w:val="27"/>
          <w:szCs w:val="27"/>
        </w:rPr>
      </w:pPr>
    </w:p>
    <w:p w:rsidR="0066507F" w:rsidRPr="0066507F" w:rsidRDefault="0066507F">
      <w:pPr>
        <w:rPr>
          <w:rStyle w:val="titlemark"/>
          <w:rFonts w:ascii="Times New Roman" w:eastAsia="Times New Roman" w:hAnsi="Times New Roman"/>
          <w:b/>
          <w:bCs/>
          <w:sz w:val="27"/>
          <w:szCs w:val="27"/>
        </w:rPr>
      </w:pPr>
      <w:r w:rsidRPr="0066507F">
        <w:rPr>
          <w:rStyle w:val="titlemark"/>
          <w:rFonts w:ascii="Times New Roman" w:eastAsia="Times New Roman" w:hAnsi="Times New Roman"/>
          <w:b/>
          <w:bCs/>
          <w:sz w:val="27"/>
          <w:szCs w:val="27"/>
        </w:rPr>
        <w:t xml:space="preserve">Contents: </w:t>
      </w:r>
    </w:p>
    <w:p w:rsidR="0066507F" w:rsidRPr="0066507F" w:rsidRDefault="0066507F">
      <w:pPr>
        <w:rPr>
          <w:rStyle w:val="titlemark"/>
          <w:rFonts w:ascii="Times New Roman" w:eastAsia="Times New Roman" w:hAnsi="Times New Roman"/>
          <w:bCs/>
          <w:sz w:val="27"/>
          <w:szCs w:val="27"/>
        </w:rPr>
      </w:pPr>
    </w:p>
    <w:p w:rsidR="00AD0D51" w:rsidRPr="00735460" w:rsidRDefault="00AD0D51" w:rsidP="00AD0D51">
      <w:pPr>
        <w:pStyle w:val="Heading4"/>
        <w:spacing w:line="480" w:lineRule="auto"/>
        <w:contextualSpacing/>
        <w:jc w:val="both"/>
        <w:rPr>
          <w:rFonts w:ascii="Times New Roman" w:eastAsia="Times New Roman" w:hAnsi="Times New Roman"/>
        </w:rPr>
      </w:pPr>
      <w:r>
        <w:rPr>
          <w:rStyle w:val="titlemark"/>
          <w:rFonts w:ascii="Times New Roman" w:eastAsia="Times New Roman" w:hAnsi="Times New Roman"/>
        </w:rPr>
        <w:t>S1</w:t>
      </w:r>
      <w:r w:rsidRPr="00735460">
        <w:rPr>
          <w:rStyle w:val="titlemark"/>
          <w:rFonts w:ascii="Times New Roman" w:eastAsia="Times New Roman" w:hAnsi="Times New Roman"/>
        </w:rPr>
        <w:t xml:space="preserve"> </w:t>
      </w:r>
      <w:r w:rsidRPr="00735460">
        <w:rPr>
          <w:rFonts w:ascii="Times New Roman" w:eastAsia="Times New Roman" w:hAnsi="Times New Roman"/>
        </w:rPr>
        <w:t>Generation of Disordered Structures</w:t>
      </w:r>
    </w:p>
    <w:p w:rsidR="00AD0D51" w:rsidRDefault="00AD0D51" w:rsidP="00AD0D51">
      <w:pPr>
        <w:pStyle w:val="Heading4"/>
        <w:spacing w:line="480" w:lineRule="auto"/>
        <w:contextualSpacing/>
        <w:jc w:val="both"/>
        <w:rPr>
          <w:rFonts w:ascii="Times New Roman" w:eastAsia="Times New Roman" w:hAnsi="Times New Roman"/>
        </w:rPr>
      </w:pPr>
      <w:r>
        <w:rPr>
          <w:rStyle w:val="titlemark"/>
          <w:rFonts w:ascii="Times New Roman" w:eastAsia="Times New Roman" w:hAnsi="Times New Roman"/>
        </w:rPr>
        <w:t>S</w:t>
      </w:r>
      <w:r w:rsidRPr="00735460">
        <w:rPr>
          <w:rStyle w:val="titlemark"/>
          <w:rFonts w:ascii="Times New Roman" w:eastAsia="Times New Roman" w:hAnsi="Times New Roman"/>
        </w:rPr>
        <w:t xml:space="preserve">2 </w:t>
      </w:r>
      <w:r w:rsidRPr="00735460">
        <w:rPr>
          <w:rFonts w:ascii="Times New Roman" w:eastAsia="Times New Roman" w:hAnsi="Times New Roman"/>
        </w:rPr>
        <w:t xml:space="preserve">Atomic and </w:t>
      </w:r>
      <w:r w:rsidR="00D553B7">
        <w:rPr>
          <w:rFonts w:ascii="Times New Roman" w:eastAsia="Times New Roman" w:hAnsi="Times New Roman"/>
        </w:rPr>
        <w:t>E</w:t>
      </w:r>
      <w:r w:rsidRPr="00735460">
        <w:rPr>
          <w:rFonts w:ascii="Times New Roman" w:eastAsia="Times New Roman" w:hAnsi="Times New Roman"/>
        </w:rPr>
        <w:t xml:space="preserve">lectronic </w:t>
      </w:r>
      <w:r w:rsidR="00D553B7">
        <w:rPr>
          <w:rFonts w:ascii="Times New Roman" w:eastAsia="Times New Roman" w:hAnsi="Times New Roman"/>
        </w:rPr>
        <w:t>S</w:t>
      </w:r>
      <w:r w:rsidRPr="00735460">
        <w:rPr>
          <w:rFonts w:ascii="Times New Roman" w:eastAsia="Times New Roman" w:hAnsi="Times New Roman"/>
        </w:rPr>
        <w:t xml:space="preserve">tructure of </w:t>
      </w:r>
      <w:r w:rsidR="00D553B7">
        <w:rPr>
          <w:rFonts w:ascii="Times New Roman" w:eastAsia="Times New Roman" w:hAnsi="Times New Roman"/>
        </w:rPr>
        <w:t>D</w:t>
      </w:r>
      <w:r w:rsidRPr="00735460">
        <w:rPr>
          <w:rFonts w:ascii="Times New Roman" w:eastAsia="Times New Roman" w:hAnsi="Times New Roman"/>
        </w:rPr>
        <w:t xml:space="preserve">isordered </w:t>
      </w:r>
      <w:r w:rsidR="00D553B7">
        <w:rPr>
          <w:rFonts w:ascii="Times New Roman" w:eastAsia="Times New Roman" w:hAnsi="Times New Roman"/>
        </w:rPr>
        <w:t>P</w:t>
      </w:r>
      <w:r w:rsidRPr="00735460">
        <w:rPr>
          <w:rFonts w:ascii="Times New Roman" w:eastAsia="Times New Roman" w:hAnsi="Times New Roman"/>
        </w:rPr>
        <w:t>hases</w:t>
      </w:r>
    </w:p>
    <w:p w:rsidR="00440CA8" w:rsidRDefault="00440CA8" w:rsidP="00AD0D51">
      <w:pPr>
        <w:pStyle w:val="Heading4"/>
        <w:spacing w:line="480" w:lineRule="auto"/>
        <w:contextualSpacing/>
        <w:jc w:val="both"/>
        <w:rPr>
          <w:rFonts w:ascii="Times New Roman" w:eastAsia="Times New Roman" w:hAnsi="Times New Roman"/>
        </w:rPr>
      </w:pPr>
      <w:r>
        <w:rPr>
          <w:rFonts w:ascii="Times New Roman" w:eastAsia="Times New Roman" w:hAnsi="Times New Roman"/>
        </w:rPr>
        <w:t>S3 Determination of Fermi Level</w:t>
      </w:r>
    </w:p>
    <w:p w:rsidR="00AD0D51" w:rsidRPr="00735460" w:rsidRDefault="00AD0D51" w:rsidP="00AD0D51">
      <w:pPr>
        <w:pStyle w:val="Heading4"/>
        <w:spacing w:line="480" w:lineRule="auto"/>
        <w:contextualSpacing/>
        <w:jc w:val="both"/>
        <w:rPr>
          <w:rFonts w:ascii="Times New Roman" w:eastAsia="Times New Roman" w:hAnsi="Times New Roman"/>
        </w:rPr>
      </w:pPr>
      <w:r w:rsidRPr="00735460">
        <w:rPr>
          <w:rFonts w:ascii="Times New Roman" w:eastAsia="Times New Roman" w:hAnsi="Times New Roman"/>
        </w:rPr>
        <w:t>References</w:t>
      </w:r>
    </w:p>
    <w:p w:rsidR="0066507F" w:rsidRDefault="0066507F">
      <w:pPr>
        <w:rPr>
          <w:rStyle w:val="titlemark"/>
          <w:rFonts w:ascii="Times New Roman" w:eastAsia="Times New Roman" w:hAnsi="Times New Roman"/>
          <w:b/>
          <w:bCs/>
          <w:sz w:val="27"/>
          <w:szCs w:val="27"/>
        </w:rPr>
      </w:pPr>
      <w:r>
        <w:rPr>
          <w:rStyle w:val="titlemark"/>
          <w:rFonts w:ascii="Times New Roman" w:eastAsia="Times New Roman" w:hAnsi="Times New Roman"/>
        </w:rPr>
        <w:br w:type="page"/>
      </w:r>
    </w:p>
    <w:p w:rsidR="005367DD" w:rsidRPr="00735460" w:rsidRDefault="005367DD" w:rsidP="0066507F">
      <w:pPr>
        <w:pStyle w:val="Heading3"/>
        <w:spacing w:line="480" w:lineRule="auto"/>
        <w:contextualSpacing/>
        <w:jc w:val="both"/>
        <w:rPr>
          <w:rFonts w:ascii="Times New Roman" w:eastAsia="Times New Roman" w:hAnsi="Times New Roman"/>
        </w:rPr>
      </w:pPr>
      <w:r w:rsidRPr="00735460">
        <w:rPr>
          <w:rFonts w:ascii="Times New Roman" w:eastAsia="Times New Roman" w:hAnsi="Times New Roman"/>
        </w:rPr>
        <w:lastRenderedPageBreak/>
        <w:t>Supplementary Material</w:t>
      </w:r>
    </w:p>
    <w:p w:rsidR="005367DD" w:rsidRPr="00735460" w:rsidRDefault="005367DD" w:rsidP="00C55D05">
      <w:pPr>
        <w:pStyle w:val="noindent"/>
        <w:spacing w:line="480" w:lineRule="auto"/>
        <w:ind w:firstLine="720"/>
        <w:contextualSpacing/>
        <w:jc w:val="both"/>
        <w:rPr>
          <w:rFonts w:ascii="Times New Roman" w:hAnsi="Times New Roman"/>
          <w:sz w:val="24"/>
          <w:szCs w:val="24"/>
        </w:rPr>
      </w:pPr>
      <w:r w:rsidRPr="00735460">
        <w:rPr>
          <w:rFonts w:ascii="Times New Roman" w:hAnsi="Times New Roman"/>
          <w:sz w:val="24"/>
          <w:szCs w:val="24"/>
        </w:rPr>
        <w:t xml:space="preserve">In this Supplementary Material, we describe our computational methodology for generating disordered structures and provide an overview of their atomic and electronic structure. </w:t>
      </w:r>
    </w:p>
    <w:p w:rsidR="005367DD" w:rsidRPr="00735460" w:rsidRDefault="0066507F" w:rsidP="0066507F">
      <w:pPr>
        <w:pStyle w:val="Heading4"/>
        <w:spacing w:line="480" w:lineRule="auto"/>
        <w:contextualSpacing/>
        <w:jc w:val="both"/>
        <w:rPr>
          <w:rFonts w:ascii="Times New Roman" w:eastAsia="Times New Roman" w:hAnsi="Times New Roman"/>
        </w:rPr>
      </w:pPr>
      <w:r>
        <w:rPr>
          <w:rStyle w:val="titlemark"/>
          <w:rFonts w:ascii="Times New Roman" w:eastAsia="Times New Roman" w:hAnsi="Times New Roman"/>
        </w:rPr>
        <w:t>S1</w:t>
      </w:r>
      <w:r w:rsidR="005367DD" w:rsidRPr="00735460">
        <w:rPr>
          <w:rStyle w:val="titlemark"/>
          <w:rFonts w:ascii="Times New Roman" w:eastAsia="Times New Roman" w:hAnsi="Times New Roman"/>
        </w:rPr>
        <w:t xml:space="preserve"> </w:t>
      </w:r>
      <w:r w:rsidR="005367DD" w:rsidRPr="00735460">
        <w:rPr>
          <w:rFonts w:ascii="Times New Roman" w:eastAsia="Times New Roman" w:hAnsi="Times New Roman"/>
        </w:rPr>
        <w:t>Generation of Disordered Structures</w:t>
      </w:r>
    </w:p>
    <w:p w:rsidR="005367DD" w:rsidRPr="00735460" w:rsidRDefault="005367DD" w:rsidP="00C55D05">
      <w:pPr>
        <w:pStyle w:val="noindent"/>
        <w:spacing w:line="480" w:lineRule="auto"/>
        <w:ind w:firstLine="360"/>
        <w:contextualSpacing/>
        <w:jc w:val="both"/>
        <w:rPr>
          <w:rFonts w:ascii="Times New Roman" w:hAnsi="Times New Roman"/>
          <w:sz w:val="24"/>
          <w:szCs w:val="24"/>
        </w:rPr>
      </w:pPr>
      <w:r w:rsidRPr="00735460">
        <w:rPr>
          <w:rFonts w:ascii="Times New Roman" w:hAnsi="Times New Roman"/>
          <w:sz w:val="24"/>
          <w:szCs w:val="24"/>
        </w:rPr>
        <w:t>To generate disordered structures</w:t>
      </w:r>
      <w:r w:rsidR="00325EE0">
        <w:rPr>
          <w:rFonts w:ascii="Times New Roman" w:hAnsi="Times New Roman"/>
          <w:sz w:val="24"/>
          <w:szCs w:val="24"/>
        </w:rPr>
        <w:t>,</w:t>
      </w:r>
      <w:r w:rsidRPr="00735460">
        <w:rPr>
          <w:rFonts w:ascii="Times New Roman" w:hAnsi="Times New Roman"/>
          <w:sz w:val="24"/>
          <w:szCs w:val="24"/>
        </w:rPr>
        <w:t xml:space="preserve"> we use molecular dynamics simulations, following the general procedure outlined in Ref. </w:t>
      </w:r>
      <w:r w:rsidR="00AD0D51">
        <w:rPr>
          <w:rStyle w:val="cite"/>
          <w:rFonts w:ascii="Times New Roman" w:hAnsi="Times New Roman"/>
          <w:sz w:val="24"/>
          <w:szCs w:val="24"/>
        </w:rPr>
        <w:t>[S1]</w:t>
      </w:r>
      <w:r w:rsidRPr="00735460">
        <w:rPr>
          <w:rFonts w:ascii="Times New Roman" w:hAnsi="Times New Roman"/>
          <w:sz w:val="24"/>
          <w:szCs w:val="24"/>
        </w:rPr>
        <w:t>. The disordered phase is constructed from a 3</w:t>
      </w:r>
      <w:r w:rsidRPr="00735460">
        <w:rPr>
          <w:rStyle w:val="cmsy-10"/>
          <w:rFonts w:ascii="Times New Roman" w:hAnsi="Times New Roman"/>
          <w:sz w:val="24"/>
          <w:szCs w:val="24"/>
        </w:rPr>
        <w:t>×</w:t>
      </w:r>
      <w:r w:rsidRPr="00735460">
        <w:rPr>
          <w:rFonts w:ascii="Times New Roman" w:hAnsi="Times New Roman"/>
          <w:sz w:val="24"/>
          <w:szCs w:val="24"/>
        </w:rPr>
        <w:t>3</w:t>
      </w:r>
      <w:r w:rsidRPr="00735460">
        <w:rPr>
          <w:rStyle w:val="cmsy-10"/>
          <w:rFonts w:ascii="Times New Roman" w:hAnsi="Times New Roman"/>
          <w:sz w:val="24"/>
          <w:szCs w:val="24"/>
        </w:rPr>
        <w:t>×</w:t>
      </w:r>
      <w:r w:rsidRPr="00735460">
        <w:rPr>
          <w:rFonts w:ascii="Times New Roman" w:hAnsi="Times New Roman"/>
          <w:sz w:val="24"/>
          <w:szCs w:val="24"/>
        </w:rPr>
        <w:t xml:space="preserve">3 supercell of the cubic structure (equivalent to 27 formula units). A </w:t>
      </w:r>
      <w:r w:rsidRPr="00735460">
        <w:rPr>
          <w:rStyle w:val="cmbx-101"/>
          <w:rFonts w:ascii="Times New Roman" w:hAnsi="Times New Roman"/>
          <w:sz w:val="24"/>
          <w:szCs w:val="24"/>
        </w:rPr>
        <w:t>k</w:t>
      </w:r>
      <w:r w:rsidRPr="00735460">
        <w:rPr>
          <w:rFonts w:ascii="Times New Roman" w:hAnsi="Times New Roman"/>
          <w:sz w:val="24"/>
          <w:szCs w:val="24"/>
        </w:rPr>
        <w:t>-point mesh of 2</w:t>
      </w:r>
      <w:r w:rsidRPr="00735460">
        <w:rPr>
          <w:rStyle w:val="cmsy-10"/>
          <w:rFonts w:ascii="Times New Roman" w:hAnsi="Times New Roman"/>
          <w:sz w:val="24"/>
          <w:szCs w:val="24"/>
        </w:rPr>
        <w:t>×</w:t>
      </w:r>
      <w:r w:rsidRPr="00735460">
        <w:rPr>
          <w:rFonts w:ascii="Times New Roman" w:hAnsi="Times New Roman"/>
          <w:sz w:val="24"/>
          <w:szCs w:val="24"/>
        </w:rPr>
        <w:t>2</w:t>
      </w:r>
      <w:r w:rsidRPr="00735460">
        <w:rPr>
          <w:rStyle w:val="cmsy-10"/>
          <w:rFonts w:ascii="Times New Roman" w:hAnsi="Times New Roman"/>
          <w:sz w:val="24"/>
          <w:szCs w:val="24"/>
        </w:rPr>
        <w:t>×</w:t>
      </w:r>
      <w:r w:rsidRPr="00735460">
        <w:rPr>
          <w:rFonts w:ascii="Times New Roman" w:hAnsi="Times New Roman"/>
          <w:sz w:val="24"/>
          <w:szCs w:val="24"/>
        </w:rPr>
        <w:t>2 is used; higher meshes of 3</w:t>
      </w:r>
      <w:r w:rsidRPr="00735460">
        <w:rPr>
          <w:rStyle w:val="cmsy-10"/>
          <w:rFonts w:ascii="Times New Roman" w:hAnsi="Times New Roman"/>
          <w:sz w:val="24"/>
          <w:szCs w:val="24"/>
        </w:rPr>
        <w:t>×</w:t>
      </w:r>
      <w:r w:rsidRPr="00735460">
        <w:rPr>
          <w:rFonts w:ascii="Times New Roman" w:hAnsi="Times New Roman"/>
          <w:sz w:val="24"/>
          <w:szCs w:val="24"/>
        </w:rPr>
        <w:t>3</w:t>
      </w:r>
      <w:r w:rsidRPr="00735460">
        <w:rPr>
          <w:rStyle w:val="cmsy-10"/>
          <w:rFonts w:ascii="Times New Roman" w:hAnsi="Times New Roman"/>
          <w:sz w:val="24"/>
          <w:szCs w:val="24"/>
        </w:rPr>
        <w:t>×</w:t>
      </w:r>
      <w:r w:rsidRPr="00735460">
        <w:rPr>
          <w:rFonts w:ascii="Times New Roman" w:hAnsi="Times New Roman"/>
          <w:sz w:val="24"/>
          <w:szCs w:val="24"/>
        </w:rPr>
        <w:t>3 were tested, leading to energy differences of less than 5 meV. The amorphous phase is quenched from a “melted” phase. This melted phase is achieved with a microcan</w:t>
      </w:r>
      <w:r w:rsidR="0089742E">
        <w:rPr>
          <w:rFonts w:ascii="Times New Roman" w:hAnsi="Times New Roman"/>
          <w:sz w:val="24"/>
          <w:szCs w:val="24"/>
        </w:rPr>
        <w:t>on</w:t>
      </w:r>
      <w:r w:rsidRPr="00735460">
        <w:rPr>
          <w:rFonts w:ascii="Times New Roman" w:hAnsi="Times New Roman"/>
          <w:sz w:val="24"/>
          <w:szCs w:val="24"/>
        </w:rPr>
        <w:t>ical ensemble that is allowed to equilib</w:t>
      </w:r>
      <w:r w:rsidR="004C4C2A">
        <w:rPr>
          <w:rFonts w:ascii="Times New Roman" w:hAnsi="Times New Roman"/>
          <w:sz w:val="24"/>
          <w:szCs w:val="24"/>
        </w:rPr>
        <w:t>r</w:t>
      </w:r>
      <w:r w:rsidRPr="00735460">
        <w:rPr>
          <w:rFonts w:ascii="Times New Roman" w:hAnsi="Times New Roman"/>
          <w:sz w:val="24"/>
          <w:szCs w:val="24"/>
        </w:rPr>
        <w:t>ate at T = 5000 K. The time step was Δ</w:t>
      </w:r>
      <w:r w:rsidRPr="00735460">
        <w:rPr>
          <w:rStyle w:val="cmmi-101"/>
          <w:rFonts w:ascii="Times New Roman" w:hAnsi="Times New Roman"/>
          <w:sz w:val="24"/>
          <w:szCs w:val="24"/>
        </w:rPr>
        <w:t xml:space="preserve">t </w:t>
      </w:r>
      <w:r w:rsidRPr="00735460">
        <w:rPr>
          <w:rFonts w:ascii="Times New Roman" w:hAnsi="Times New Roman"/>
          <w:sz w:val="24"/>
          <w:szCs w:val="24"/>
        </w:rPr>
        <w:t>= 2</w:t>
      </w:r>
      <w:r w:rsidRPr="00735460">
        <w:rPr>
          <w:rStyle w:val="cmmi-101"/>
          <w:rFonts w:ascii="Times New Roman" w:hAnsi="Times New Roman"/>
          <w:sz w:val="24"/>
          <w:szCs w:val="24"/>
        </w:rPr>
        <w:t>.</w:t>
      </w:r>
      <w:r w:rsidRPr="00735460">
        <w:rPr>
          <w:rFonts w:ascii="Times New Roman" w:hAnsi="Times New Roman"/>
          <w:sz w:val="24"/>
          <w:szCs w:val="24"/>
        </w:rPr>
        <w:t>0 fs. In order to ensure any order has vanished, structures were sampled once atoms moved on average at least one nearest-neighbor distance. As the W atom is much more massive than the O atom, it moves more slowly in molecular dynamics simulations. This is circumvented by reducing the W mass to 40 amu.</w:t>
      </w:r>
      <w:r w:rsidR="00AD0D51" w:rsidRPr="00AD0D51">
        <w:rPr>
          <w:rStyle w:val="cite"/>
          <w:rFonts w:ascii="Times New Roman" w:hAnsi="Times New Roman"/>
          <w:sz w:val="24"/>
          <w:szCs w:val="24"/>
          <w:vertAlign w:val="superscript"/>
        </w:rPr>
        <w:t>[S1]</w:t>
      </w:r>
      <w:r w:rsidRPr="00AD0D51">
        <w:rPr>
          <w:rFonts w:ascii="Times New Roman" w:hAnsi="Times New Roman"/>
          <w:sz w:val="24"/>
          <w:szCs w:val="24"/>
          <w:vertAlign w:val="superscript"/>
        </w:rPr>
        <w:t xml:space="preserve"> </w:t>
      </w:r>
      <w:r w:rsidRPr="00735460">
        <w:rPr>
          <w:rFonts w:ascii="Times New Roman" w:hAnsi="Times New Roman"/>
          <w:sz w:val="24"/>
          <w:szCs w:val="24"/>
        </w:rPr>
        <w:t>After equilib</w:t>
      </w:r>
      <w:r w:rsidR="004C4C2A">
        <w:rPr>
          <w:rFonts w:ascii="Times New Roman" w:hAnsi="Times New Roman"/>
          <w:sz w:val="24"/>
          <w:szCs w:val="24"/>
        </w:rPr>
        <w:t>r</w:t>
      </w:r>
      <w:r w:rsidRPr="00735460">
        <w:rPr>
          <w:rFonts w:ascii="Times New Roman" w:hAnsi="Times New Roman"/>
          <w:sz w:val="24"/>
          <w:szCs w:val="24"/>
        </w:rPr>
        <w:t>ation, every 250 time</w:t>
      </w:r>
      <w:r w:rsidR="004C4C2A">
        <w:rPr>
          <w:rFonts w:ascii="Times New Roman" w:hAnsi="Times New Roman"/>
          <w:sz w:val="24"/>
          <w:szCs w:val="24"/>
        </w:rPr>
        <w:t xml:space="preserve"> </w:t>
      </w:r>
      <w:r w:rsidRPr="00735460">
        <w:rPr>
          <w:rFonts w:ascii="Times New Roman" w:hAnsi="Times New Roman"/>
          <w:sz w:val="24"/>
          <w:szCs w:val="24"/>
        </w:rPr>
        <w:t>steps a structure was taken and rapidly quenched to room temperature. We choose a structure every 250 time</w:t>
      </w:r>
      <w:r w:rsidR="004C4C2A">
        <w:rPr>
          <w:rFonts w:ascii="Times New Roman" w:hAnsi="Times New Roman"/>
          <w:sz w:val="24"/>
          <w:szCs w:val="24"/>
        </w:rPr>
        <w:t xml:space="preserve"> </w:t>
      </w:r>
      <w:r w:rsidRPr="00735460">
        <w:rPr>
          <w:rFonts w:ascii="Times New Roman" w:hAnsi="Times New Roman"/>
          <w:sz w:val="24"/>
          <w:szCs w:val="24"/>
        </w:rPr>
        <w:t xml:space="preserve">steps in order to ensure that structures are distinct from each other. Quenching occurred for 1000 time steps and the structure was then allowed to equilibrate at room temperature for an additional 500 steps. </w:t>
      </w:r>
    </w:p>
    <w:p w:rsidR="005367DD" w:rsidRPr="00735460" w:rsidRDefault="005367DD" w:rsidP="0066507F">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 xml:space="preserve">GGA is used for molecular dynamics simulations, followed by a single self-consistent HSE calculation for calculating optical properties. We performed this procedure to obtain </w:t>
      </w:r>
      <w:r w:rsidRPr="00735460">
        <w:rPr>
          <w:rFonts w:ascii="Times New Roman" w:hAnsi="Times New Roman"/>
          <w:sz w:val="24"/>
          <w:szCs w:val="24"/>
        </w:rPr>
        <w:lastRenderedPageBreak/>
        <w:t>3 structures, which we label as Structures A, B, and C. The range of bond lengths and angles for the structures generated are comparable to those reported in Ref. </w:t>
      </w:r>
      <w:r w:rsidR="00AD0D51">
        <w:rPr>
          <w:rStyle w:val="cite"/>
          <w:rFonts w:ascii="Times New Roman" w:hAnsi="Times New Roman"/>
          <w:sz w:val="24"/>
          <w:szCs w:val="24"/>
        </w:rPr>
        <w:t>[S1].</w:t>
      </w:r>
      <w:r w:rsidRPr="00735460">
        <w:rPr>
          <w:rFonts w:ascii="Times New Roman" w:hAnsi="Times New Roman"/>
          <w:sz w:val="24"/>
          <w:szCs w:val="24"/>
        </w:rPr>
        <w:t xml:space="preserve"> </w:t>
      </w:r>
    </w:p>
    <w:p w:rsidR="005367DD" w:rsidRPr="00735460" w:rsidRDefault="0066507F" w:rsidP="0066507F">
      <w:pPr>
        <w:pStyle w:val="Heading4"/>
        <w:spacing w:line="480" w:lineRule="auto"/>
        <w:contextualSpacing/>
        <w:jc w:val="both"/>
        <w:rPr>
          <w:rFonts w:ascii="Times New Roman" w:eastAsia="Times New Roman" w:hAnsi="Times New Roman"/>
        </w:rPr>
      </w:pPr>
      <w:r>
        <w:rPr>
          <w:rStyle w:val="titlemark"/>
          <w:rFonts w:ascii="Times New Roman" w:eastAsia="Times New Roman" w:hAnsi="Times New Roman"/>
        </w:rPr>
        <w:t>S</w:t>
      </w:r>
      <w:r w:rsidR="005367DD" w:rsidRPr="00735460">
        <w:rPr>
          <w:rStyle w:val="titlemark"/>
          <w:rFonts w:ascii="Times New Roman" w:eastAsia="Times New Roman" w:hAnsi="Times New Roman"/>
        </w:rPr>
        <w:t xml:space="preserve">2 </w:t>
      </w:r>
      <w:r w:rsidR="00D553B7" w:rsidRPr="00735460">
        <w:rPr>
          <w:rFonts w:ascii="Times New Roman" w:eastAsia="Times New Roman" w:hAnsi="Times New Roman"/>
        </w:rPr>
        <w:t xml:space="preserve">Atomic and </w:t>
      </w:r>
      <w:r w:rsidR="00D553B7">
        <w:rPr>
          <w:rFonts w:ascii="Times New Roman" w:eastAsia="Times New Roman" w:hAnsi="Times New Roman"/>
        </w:rPr>
        <w:t>E</w:t>
      </w:r>
      <w:r w:rsidR="00D553B7" w:rsidRPr="00735460">
        <w:rPr>
          <w:rFonts w:ascii="Times New Roman" w:eastAsia="Times New Roman" w:hAnsi="Times New Roman"/>
        </w:rPr>
        <w:t xml:space="preserve">lectronic </w:t>
      </w:r>
      <w:r w:rsidR="00D553B7">
        <w:rPr>
          <w:rFonts w:ascii="Times New Roman" w:eastAsia="Times New Roman" w:hAnsi="Times New Roman"/>
        </w:rPr>
        <w:t>S</w:t>
      </w:r>
      <w:r w:rsidR="00D553B7" w:rsidRPr="00735460">
        <w:rPr>
          <w:rFonts w:ascii="Times New Roman" w:eastAsia="Times New Roman" w:hAnsi="Times New Roman"/>
        </w:rPr>
        <w:t xml:space="preserve">tructure of </w:t>
      </w:r>
      <w:r w:rsidR="00D553B7">
        <w:rPr>
          <w:rFonts w:ascii="Times New Roman" w:eastAsia="Times New Roman" w:hAnsi="Times New Roman"/>
        </w:rPr>
        <w:t>D</w:t>
      </w:r>
      <w:r w:rsidR="00D553B7" w:rsidRPr="00735460">
        <w:rPr>
          <w:rFonts w:ascii="Times New Roman" w:eastAsia="Times New Roman" w:hAnsi="Times New Roman"/>
        </w:rPr>
        <w:t xml:space="preserve">isordered </w:t>
      </w:r>
      <w:r w:rsidR="00D553B7">
        <w:rPr>
          <w:rFonts w:ascii="Times New Roman" w:eastAsia="Times New Roman" w:hAnsi="Times New Roman"/>
        </w:rPr>
        <w:t>P</w:t>
      </w:r>
      <w:r w:rsidR="00D553B7" w:rsidRPr="00735460">
        <w:rPr>
          <w:rFonts w:ascii="Times New Roman" w:eastAsia="Times New Roman" w:hAnsi="Times New Roman"/>
        </w:rPr>
        <w:t>hases</w:t>
      </w:r>
    </w:p>
    <w:p w:rsidR="00582B23" w:rsidRDefault="005367DD" w:rsidP="00D42D43">
      <w:pPr>
        <w:pStyle w:val="noindent"/>
        <w:spacing w:line="480" w:lineRule="auto"/>
        <w:ind w:firstLine="360"/>
        <w:contextualSpacing/>
        <w:jc w:val="both"/>
        <w:rPr>
          <w:rFonts w:ascii="Times New Roman" w:hAnsi="Times New Roman"/>
          <w:sz w:val="24"/>
          <w:szCs w:val="24"/>
        </w:rPr>
      </w:pPr>
      <w:r w:rsidRPr="00735460">
        <w:rPr>
          <w:rFonts w:ascii="Times New Roman" w:hAnsi="Times New Roman"/>
          <w:sz w:val="24"/>
          <w:szCs w:val="24"/>
        </w:rPr>
        <w:t xml:space="preserve">We describe the atomic and electronic structure of the disordered structures generated. Our objective is to capture representative structural features of the disordered solid, not to provide a comprehensive description of the disordered phase. The disordered structure differs from the crystalline phases in that bond lengths have a wider distribution and deviations from 6-fold coordination become possible. In Fig. S1 we compare W-O and W-W bond lengths in the monoclinic and amorphous phases. Results for amorphous reflect values accumulated for Structures A, B, and C. The W-O distances peak at approximately 1.89 </w:t>
      </w:r>
      <w:r w:rsidR="00AD0D51">
        <w:rPr>
          <w:rFonts w:ascii="Times New Roman" w:hAnsi="Times New Roman"/>
          <w:sz w:val="24"/>
          <w:szCs w:val="24"/>
        </w:rPr>
        <w:t>Å</w:t>
      </w:r>
      <w:r w:rsidRPr="00735460">
        <w:rPr>
          <w:rFonts w:ascii="Times New Roman" w:hAnsi="Times New Roman"/>
          <w:sz w:val="24"/>
          <w:szCs w:val="24"/>
        </w:rPr>
        <w:t xml:space="preserve"> (the bond length in the cubic phase) and display a broadening that tails off around 2.3 </w:t>
      </w:r>
      <w:r w:rsidR="00AD0D51">
        <w:rPr>
          <w:rFonts w:ascii="Times New Roman" w:hAnsi="Times New Roman"/>
          <w:sz w:val="24"/>
          <w:szCs w:val="24"/>
        </w:rPr>
        <w:t>Å</w:t>
      </w:r>
      <w:r w:rsidRPr="00735460">
        <w:rPr>
          <w:rFonts w:ascii="Times New Roman" w:hAnsi="Times New Roman"/>
          <w:sz w:val="24"/>
          <w:szCs w:val="24"/>
        </w:rPr>
        <w:t xml:space="preserve">; they show distinct broadening compared to the crystalline phase. Similar observations apply to the W-W distances, which peak around 3.78 </w:t>
      </w:r>
      <w:r w:rsidR="00AD0D51">
        <w:rPr>
          <w:rFonts w:ascii="Times New Roman" w:hAnsi="Times New Roman"/>
          <w:sz w:val="24"/>
          <w:szCs w:val="24"/>
        </w:rPr>
        <w:t>Å</w:t>
      </w:r>
      <w:r w:rsidRPr="00735460">
        <w:rPr>
          <w:rFonts w:ascii="Times New Roman" w:hAnsi="Times New Roman"/>
          <w:sz w:val="24"/>
          <w:szCs w:val="24"/>
        </w:rPr>
        <w:t xml:space="preserve"> (the lattice constant of the cubic phase).</w:t>
      </w:r>
    </w:p>
    <w:p w:rsidR="005367DD" w:rsidRPr="00735460" w:rsidRDefault="005367DD" w:rsidP="00582B23">
      <w:pPr>
        <w:pStyle w:val="noindent"/>
        <w:spacing w:line="480" w:lineRule="auto"/>
        <w:ind w:firstLine="360"/>
        <w:contextualSpacing/>
        <w:jc w:val="both"/>
        <w:rPr>
          <w:rFonts w:ascii="Times New Roman" w:hAnsi="Times New Roman"/>
          <w:sz w:val="24"/>
          <w:szCs w:val="24"/>
        </w:rPr>
      </w:pPr>
      <w:r w:rsidRPr="00735460">
        <w:rPr>
          <w:rFonts w:ascii="Times New Roman" w:hAnsi="Times New Roman"/>
          <w:sz w:val="24"/>
          <w:szCs w:val="24"/>
        </w:rPr>
        <w:t>The O-W-O bond-angle distribution is shown in Fig. S2. In the cubic phase the bond angles are 90</w:t>
      </w:r>
      <w:r w:rsidRPr="00735460">
        <w:rPr>
          <w:rStyle w:val="cmsy-71"/>
          <w:rFonts w:ascii="Lucida Sans Unicode" w:hAnsi="Lucida Sans Unicode" w:cs="Lucida Sans Unicode"/>
          <w:sz w:val="24"/>
          <w:szCs w:val="24"/>
          <w:vertAlign w:val="superscript"/>
        </w:rPr>
        <w:t>∘</w:t>
      </w:r>
      <w:r w:rsidRPr="00735460">
        <w:rPr>
          <w:rFonts w:ascii="Times New Roman" w:hAnsi="Times New Roman"/>
          <w:sz w:val="24"/>
          <w:szCs w:val="24"/>
        </w:rPr>
        <w:t>; in the monoclinic phase the angles spread between approximately 80</w:t>
      </w:r>
      <w:r w:rsidRPr="00735460">
        <w:rPr>
          <w:rStyle w:val="cmsy-71"/>
          <w:rFonts w:ascii="Lucida Sans Unicode" w:hAnsi="Lucida Sans Unicode" w:cs="Lucida Sans Unicode"/>
          <w:sz w:val="24"/>
          <w:szCs w:val="24"/>
          <w:vertAlign w:val="superscript"/>
        </w:rPr>
        <w:t>∘</w:t>
      </w:r>
      <w:r w:rsidRPr="00735460">
        <w:rPr>
          <w:rFonts w:ascii="Times New Roman" w:hAnsi="Times New Roman"/>
          <w:sz w:val="24"/>
          <w:szCs w:val="24"/>
        </w:rPr>
        <w:t xml:space="preserve"> and</w:t>
      </w:r>
      <w:r w:rsidR="00582B23">
        <w:rPr>
          <w:rFonts w:ascii="Times New Roman" w:hAnsi="Times New Roman"/>
          <w:sz w:val="24"/>
          <w:szCs w:val="24"/>
        </w:rPr>
        <w:t xml:space="preserve"> </w:t>
      </w:r>
      <w:r w:rsidRPr="00735460">
        <w:rPr>
          <w:rFonts w:ascii="Times New Roman" w:hAnsi="Times New Roman"/>
          <w:sz w:val="24"/>
          <w:szCs w:val="24"/>
        </w:rPr>
        <w:t>100</w:t>
      </w:r>
      <w:r w:rsidRPr="00735460">
        <w:rPr>
          <w:rStyle w:val="cmsy-71"/>
          <w:rFonts w:ascii="Lucida Sans Unicode" w:hAnsi="Lucida Sans Unicode" w:cs="Lucida Sans Unicode"/>
          <w:sz w:val="24"/>
          <w:szCs w:val="24"/>
          <w:vertAlign w:val="superscript"/>
        </w:rPr>
        <w:t>∘</w:t>
      </w:r>
      <w:r w:rsidRPr="00735460">
        <w:rPr>
          <w:rFonts w:ascii="Times New Roman" w:hAnsi="Times New Roman"/>
          <w:sz w:val="24"/>
          <w:szCs w:val="24"/>
        </w:rPr>
        <w:t>. This range is significantly broadened in the amorphous structures [Fig. S2(b)]. The wide range of possible O-W-O bond angles is indicative of the disrupted octahedral structure. These changes and distributions are consistent with those observed in previous studies of the amorphous phase.</w:t>
      </w:r>
      <w:r w:rsidR="00AD0D51" w:rsidRPr="00AD0D51">
        <w:rPr>
          <w:rStyle w:val="cite"/>
          <w:rFonts w:ascii="Times New Roman" w:hAnsi="Times New Roman"/>
          <w:sz w:val="24"/>
          <w:szCs w:val="24"/>
          <w:vertAlign w:val="superscript"/>
        </w:rPr>
        <w:t>[S1]</w:t>
      </w:r>
      <w:r w:rsidRPr="00735460">
        <w:rPr>
          <w:rFonts w:ascii="Times New Roman" w:hAnsi="Times New Roman"/>
          <w:sz w:val="24"/>
          <w:szCs w:val="24"/>
        </w:rPr>
        <w:t xml:space="preserve"> </w:t>
      </w:r>
    </w:p>
    <w:tbl>
      <w:tblPr>
        <w:tblW w:w="0" w:type="auto"/>
        <w:tblLook w:val="04A0" w:firstRow="1" w:lastRow="0" w:firstColumn="1" w:lastColumn="0" w:noHBand="0" w:noVBand="1"/>
      </w:tblPr>
      <w:tblGrid>
        <w:gridCol w:w="8630"/>
      </w:tblGrid>
      <w:tr w:rsidR="00582B23" w:rsidTr="008370D6">
        <w:tc>
          <w:tcPr>
            <w:tcW w:w="8630" w:type="dxa"/>
            <w:shd w:val="clear" w:color="auto" w:fill="auto"/>
          </w:tcPr>
          <w:p w:rsidR="00582B23" w:rsidRPr="008370D6" w:rsidRDefault="00F14E18" w:rsidP="008370D6">
            <w:pPr>
              <w:pStyle w:val="noindent"/>
              <w:spacing w:line="480" w:lineRule="auto"/>
              <w:contextualSpacing/>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3431263" cy="24340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s1.pdf"/>
                          <pic:cNvPicPr/>
                        </pic:nvPicPr>
                        <pic:blipFill>
                          <a:blip r:embed="rId6"/>
                          <a:stretch>
                            <a:fillRect/>
                          </a:stretch>
                        </pic:blipFill>
                        <pic:spPr>
                          <a:xfrm>
                            <a:off x="0" y="0"/>
                            <a:ext cx="3462110" cy="2455934"/>
                          </a:xfrm>
                          <a:prstGeom prst="rect">
                            <a:avLst/>
                          </a:prstGeom>
                        </pic:spPr>
                      </pic:pic>
                    </a:graphicData>
                  </a:graphic>
                </wp:inline>
              </w:drawing>
            </w:r>
          </w:p>
        </w:tc>
      </w:tr>
      <w:tr w:rsidR="00582B23" w:rsidTr="008370D6">
        <w:tc>
          <w:tcPr>
            <w:tcW w:w="8630" w:type="dxa"/>
            <w:shd w:val="clear" w:color="auto" w:fill="auto"/>
          </w:tcPr>
          <w:p w:rsidR="00582B23" w:rsidRPr="008370D6" w:rsidRDefault="00F14E18" w:rsidP="008370D6">
            <w:pPr>
              <w:ind w:right="180"/>
              <w:contextualSpacing/>
              <w:jc w:val="both"/>
              <w:rPr>
                <w:rFonts w:ascii="Times New Roman" w:eastAsia="Times New Roman" w:hAnsi="Times New Roman"/>
              </w:rPr>
            </w:pPr>
            <w:r w:rsidRPr="008370D6">
              <w:rPr>
                <w:rStyle w:val="id"/>
                <w:rFonts w:ascii="Times New Roman" w:eastAsia="Times New Roman" w:hAnsi="Times New Roman"/>
                <w:b/>
              </w:rPr>
              <w:t>F</w:t>
            </w:r>
            <w:r>
              <w:rPr>
                <w:rStyle w:val="id"/>
                <w:rFonts w:ascii="Times New Roman" w:eastAsia="Times New Roman" w:hAnsi="Times New Roman"/>
                <w:b/>
              </w:rPr>
              <w:t>IG.</w:t>
            </w:r>
            <w:r w:rsidRPr="008370D6">
              <w:rPr>
                <w:rStyle w:val="id"/>
                <w:rFonts w:ascii="Times New Roman" w:eastAsia="Times New Roman" w:hAnsi="Times New Roman"/>
                <w:b/>
              </w:rPr>
              <w:t> </w:t>
            </w:r>
            <w:r w:rsidR="00582B23" w:rsidRPr="008370D6">
              <w:rPr>
                <w:rStyle w:val="id"/>
                <w:rFonts w:ascii="Times New Roman" w:eastAsia="Times New Roman" w:hAnsi="Times New Roman"/>
                <w:b/>
              </w:rPr>
              <w:t>S1:</w:t>
            </w:r>
            <w:r w:rsidR="00582B23" w:rsidRPr="008370D6">
              <w:rPr>
                <w:rStyle w:val="id"/>
                <w:rFonts w:ascii="Times New Roman" w:eastAsia="Times New Roman" w:hAnsi="Times New Roman"/>
              </w:rPr>
              <w:t xml:space="preserve"> </w:t>
            </w:r>
            <w:r w:rsidR="00582B23" w:rsidRPr="008370D6">
              <w:rPr>
                <w:rStyle w:val="content"/>
                <w:rFonts w:ascii="Times New Roman" w:eastAsia="Times New Roman" w:hAnsi="Times New Roman"/>
              </w:rPr>
              <w:t xml:space="preserve">Distribution of W-O and W-W bond lengths in the (a) monoclinic and (b) disordered structures, using a cutoff of </w:t>
            </w:r>
            <w:r w:rsidR="00582B23" w:rsidRPr="008370D6">
              <w:rPr>
                <w:rStyle w:val="cmmi-101"/>
                <w:rFonts w:ascii="Times New Roman" w:eastAsia="Times New Roman" w:hAnsi="Times New Roman"/>
              </w:rPr>
              <w:t xml:space="preserve">r </w:t>
            </w:r>
            <w:r w:rsidR="00582B23" w:rsidRPr="008370D6">
              <w:rPr>
                <w:rStyle w:val="content"/>
                <w:rFonts w:ascii="Times New Roman" w:eastAsia="Times New Roman" w:hAnsi="Times New Roman"/>
              </w:rPr>
              <w:t>= 2</w:t>
            </w:r>
            <w:r w:rsidR="00582B23" w:rsidRPr="008370D6">
              <w:rPr>
                <w:rStyle w:val="cmmi-101"/>
                <w:rFonts w:ascii="Times New Roman" w:eastAsia="Times New Roman" w:hAnsi="Times New Roman"/>
              </w:rPr>
              <w:t>.</w:t>
            </w:r>
            <w:r w:rsidR="00582B23" w:rsidRPr="008370D6">
              <w:rPr>
                <w:rStyle w:val="content"/>
                <w:rFonts w:ascii="Times New Roman" w:eastAsia="Times New Roman" w:hAnsi="Times New Roman"/>
              </w:rPr>
              <w:t xml:space="preserve">30 </w:t>
            </w:r>
            <w:r w:rsidR="00582B23" w:rsidRPr="008370D6">
              <w:rPr>
                <w:rFonts w:ascii="Times New Roman" w:hAnsi="Times New Roman"/>
              </w:rPr>
              <w:t>Å</w:t>
            </w:r>
            <w:r w:rsidR="00582B23" w:rsidRPr="008370D6">
              <w:rPr>
                <w:rStyle w:val="content"/>
                <w:rFonts w:ascii="Times New Roman" w:eastAsia="Times New Roman" w:hAnsi="Times New Roman"/>
              </w:rPr>
              <w:t xml:space="preserve"> for W-O and </w:t>
            </w:r>
            <w:r w:rsidR="00582B23" w:rsidRPr="008370D6">
              <w:rPr>
                <w:rStyle w:val="cmmi-101"/>
                <w:rFonts w:ascii="Times New Roman" w:eastAsia="Times New Roman" w:hAnsi="Times New Roman"/>
              </w:rPr>
              <w:t xml:space="preserve">r </w:t>
            </w:r>
            <w:r w:rsidR="00582B23" w:rsidRPr="008370D6">
              <w:rPr>
                <w:rStyle w:val="content"/>
                <w:rFonts w:ascii="Times New Roman" w:eastAsia="Times New Roman" w:hAnsi="Times New Roman"/>
              </w:rPr>
              <w:t>= 5</w:t>
            </w:r>
            <w:r w:rsidR="00582B23" w:rsidRPr="008370D6">
              <w:rPr>
                <w:rStyle w:val="cmmi-101"/>
                <w:rFonts w:ascii="Times New Roman" w:eastAsia="Times New Roman" w:hAnsi="Times New Roman"/>
              </w:rPr>
              <w:t>.</w:t>
            </w:r>
            <w:r w:rsidR="00582B23" w:rsidRPr="008370D6">
              <w:rPr>
                <w:rStyle w:val="content"/>
                <w:rFonts w:ascii="Times New Roman" w:eastAsia="Times New Roman" w:hAnsi="Times New Roman"/>
              </w:rPr>
              <w:t xml:space="preserve">5 </w:t>
            </w:r>
            <w:r w:rsidR="00582B23" w:rsidRPr="008370D6">
              <w:rPr>
                <w:rFonts w:ascii="Times New Roman" w:hAnsi="Times New Roman"/>
              </w:rPr>
              <w:t>Å</w:t>
            </w:r>
            <w:r w:rsidR="00582B23" w:rsidRPr="008370D6">
              <w:rPr>
                <w:rStyle w:val="content"/>
                <w:rFonts w:ascii="Times New Roman" w:eastAsia="Times New Roman" w:hAnsi="Times New Roman"/>
              </w:rPr>
              <w:t xml:space="preserve"> for W-W distances.</w:t>
            </w:r>
          </w:p>
        </w:tc>
      </w:tr>
    </w:tbl>
    <w:p w:rsidR="00582B23" w:rsidRDefault="00582B23" w:rsidP="00582B23">
      <w:pPr>
        <w:pStyle w:val="noindent"/>
        <w:spacing w:line="480" w:lineRule="auto"/>
        <w:contextualSpacing/>
        <w:jc w:val="both"/>
        <w:rPr>
          <w:rFonts w:ascii="Times New Roman" w:hAnsi="Times New Roman"/>
          <w:sz w:val="24"/>
          <w:szCs w:val="24"/>
        </w:rPr>
      </w:pPr>
    </w:p>
    <w:tbl>
      <w:tblPr>
        <w:tblW w:w="0" w:type="auto"/>
        <w:tblInd w:w="-5" w:type="dxa"/>
        <w:tblLook w:val="04A0" w:firstRow="1" w:lastRow="0" w:firstColumn="1" w:lastColumn="0" w:noHBand="0" w:noVBand="1"/>
      </w:tblPr>
      <w:tblGrid>
        <w:gridCol w:w="8635"/>
      </w:tblGrid>
      <w:tr w:rsidR="00582B23" w:rsidTr="008370D6">
        <w:tc>
          <w:tcPr>
            <w:tcW w:w="8635" w:type="dxa"/>
            <w:shd w:val="clear" w:color="auto" w:fill="auto"/>
          </w:tcPr>
          <w:p w:rsidR="00582B23" w:rsidRPr="008370D6" w:rsidRDefault="00F14E18" w:rsidP="008370D6">
            <w:pPr>
              <w:ind w:right="180"/>
              <w:contextualSpacing/>
              <w:jc w:val="center"/>
              <w:rPr>
                <w:rFonts w:ascii="Times New Roman" w:eastAsia="Times New Roman" w:hAnsi="Times New Roman"/>
              </w:rPr>
            </w:pPr>
            <w:r>
              <w:rPr>
                <w:rFonts w:ascii="Times New Roman" w:eastAsia="Times New Roman" w:hAnsi="Times New Roman"/>
                <w:noProof/>
              </w:rPr>
              <w:drawing>
                <wp:inline distT="0" distB="0" distL="0" distR="0">
                  <wp:extent cx="3431263" cy="23002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s2.pdf"/>
                          <pic:cNvPicPr/>
                        </pic:nvPicPr>
                        <pic:blipFill>
                          <a:blip r:embed="rId7"/>
                          <a:stretch>
                            <a:fillRect/>
                          </a:stretch>
                        </pic:blipFill>
                        <pic:spPr>
                          <a:xfrm>
                            <a:off x="0" y="0"/>
                            <a:ext cx="3451536" cy="2313807"/>
                          </a:xfrm>
                          <a:prstGeom prst="rect">
                            <a:avLst/>
                          </a:prstGeom>
                        </pic:spPr>
                      </pic:pic>
                    </a:graphicData>
                  </a:graphic>
                </wp:inline>
              </w:drawing>
            </w:r>
          </w:p>
        </w:tc>
      </w:tr>
      <w:tr w:rsidR="00582B23" w:rsidTr="008370D6">
        <w:tc>
          <w:tcPr>
            <w:tcW w:w="8635" w:type="dxa"/>
            <w:shd w:val="clear" w:color="auto" w:fill="auto"/>
          </w:tcPr>
          <w:p w:rsidR="00582B23" w:rsidRPr="008370D6" w:rsidRDefault="00F14E18" w:rsidP="008370D6">
            <w:pPr>
              <w:ind w:right="180"/>
              <w:contextualSpacing/>
              <w:jc w:val="both"/>
              <w:rPr>
                <w:rFonts w:ascii="Times New Roman" w:eastAsia="Times New Roman" w:hAnsi="Times New Roman"/>
              </w:rPr>
            </w:pPr>
            <w:r w:rsidRPr="008370D6">
              <w:rPr>
                <w:rStyle w:val="id"/>
                <w:rFonts w:ascii="Times New Roman" w:eastAsia="Times New Roman" w:hAnsi="Times New Roman"/>
                <w:b/>
              </w:rPr>
              <w:t>F</w:t>
            </w:r>
            <w:r>
              <w:rPr>
                <w:rStyle w:val="id"/>
                <w:rFonts w:ascii="Times New Roman" w:eastAsia="Times New Roman" w:hAnsi="Times New Roman"/>
                <w:b/>
              </w:rPr>
              <w:t>IG.</w:t>
            </w:r>
            <w:r w:rsidRPr="008370D6">
              <w:rPr>
                <w:rStyle w:val="id"/>
                <w:rFonts w:ascii="Times New Roman" w:eastAsia="Times New Roman" w:hAnsi="Times New Roman"/>
                <w:b/>
              </w:rPr>
              <w:t> </w:t>
            </w:r>
            <w:r w:rsidR="00582B23" w:rsidRPr="008370D6">
              <w:rPr>
                <w:rStyle w:val="id"/>
                <w:rFonts w:ascii="Times New Roman" w:eastAsia="Times New Roman" w:hAnsi="Times New Roman"/>
                <w:b/>
              </w:rPr>
              <w:t>S2:</w:t>
            </w:r>
            <w:r w:rsidR="00582B23" w:rsidRPr="008370D6">
              <w:rPr>
                <w:rStyle w:val="id"/>
                <w:rFonts w:ascii="Times New Roman" w:eastAsia="Times New Roman" w:hAnsi="Times New Roman"/>
              </w:rPr>
              <w:t xml:space="preserve"> </w:t>
            </w:r>
            <w:r w:rsidR="00582B23" w:rsidRPr="008370D6">
              <w:rPr>
                <w:rStyle w:val="content"/>
                <w:rFonts w:ascii="Times New Roman" w:eastAsia="Times New Roman" w:hAnsi="Times New Roman"/>
              </w:rPr>
              <w:t>Distribution of relative number of O-W-O bond angles for the (a) monoclinic and (b) disordered structures.</w:t>
            </w:r>
          </w:p>
          <w:p w:rsidR="00582B23" w:rsidRPr="008370D6" w:rsidRDefault="00582B23" w:rsidP="008370D6">
            <w:pPr>
              <w:ind w:right="180"/>
              <w:contextualSpacing/>
              <w:jc w:val="both"/>
              <w:rPr>
                <w:rFonts w:ascii="Times New Roman" w:eastAsia="Times New Roman" w:hAnsi="Times New Roman"/>
              </w:rPr>
            </w:pPr>
          </w:p>
        </w:tc>
      </w:tr>
    </w:tbl>
    <w:p w:rsidR="005367DD" w:rsidRPr="00735460" w:rsidRDefault="005367DD" w:rsidP="00E55CDB">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 xml:space="preserve">Other major changes to the atomic structure occur upon amorphization. Melting disrupts the 6-fold coordination of W, leading to a distribution of possible coordinations. Unlike in the cubic and monoclinic phases where all W are 6-fold coordinated, 4-, 5-, and 6-fold coordinations are found in the amorphous structure. We consider W and O to be part of an octahedron if they are less than 2.3 </w:t>
      </w:r>
      <w:r w:rsidR="00AD0D51">
        <w:rPr>
          <w:rFonts w:ascii="Times New Roman" w:hAnsi="Times New Roman"/>
          <w:sz w:val="24"/>
          <w:szCs w:val="24"/>
        </w:rPr>
        <w:t>Å</w:t>
      </w:r>
      <w:r w:rsidRPr="00735460">
        <w:rPr>
          <w:rFonts w:ascii="Times New Roman" w:hAnsi="Times New Roman"/>
          <w:sz w:val="24"/>
          <w:szCs w:val="24"/>
        </w:rPr>
        <w:t xml:space="preserve"> apart from each other. Among the three </w:t>
      </w:r>
      <w:r w:rsidRPr="00735460">
        <w:rPr>
          <w:rFonts w:ascii="Times New Roman" w:hAnsi="Times New Roman"/>
          <w:sz w:val="24"/>
          <w:szCs w:val="24"/>
        </w:rPr>
        <w:lastRenderedPageBreak/>
        <w:t xml:space="preserve">structures sampled, around 33% of the possible W centers are 4-fold coordinated, 50% are 5-fold coordinated, and the remaining are 6-fold coordinated. </w:t>
      </w:r>
    </w:p>
    <w:p w:rsidR="005367DD" w:rsidRPr="00735460" w:rsidRDefault="005367DD" w:rsidP="0066507F">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 xml:space="preserve">The changes in the crystal structure lead to significant changes in the electronic structure. We observe a band narrowing compared to crystalline phases. The band width of the W </w:t>
      </w:r>
      <w:r w:rsidRPr="00735460">
        <w:rPr>
          <w:rStyle w:val="cmmi-101"/>
          <w:rFonts w:ascii="Times New Roman" w:hAnsi="Times New Roman"/>
          <w:sz w:val="24"/>
          <w:szCs w:val="24"/>
        </w:rPr>
        <w:t xml:space="preserve">d </w:t>
      </w:r>
      <w:r w:rsidRPr="00735460">
        <w:rPr>
          <w:rFonts w:ascii="Times New Roman" w:hAnsi="Times New Roman"/>
          <w:sz w:val="24"/>
          <w:szCs w:val="24"/>
        </w:rPr>
        <w:t xml:space="preserve">states (combined </w:t>
      </w:r>
      <w:r w:rsidRPr="00735460">
        <w:rPr>
          <w:rStyle w:val="cmmi-101"/>
          <w:rFonts w:ascii="Times New Roman" w:hAnsi="Times New Roman"/>
          <w:sz w:val="24"/>
          <w:szCs w:val="24"/>
        </w:rPr>
        <w:t>t</w:t>
      </w:r>
      <w:r w:rsidRPr="00735460">
        <w:rPr>
          <w:rStyle w:val="cmr-71"/>
          <w:rFonts w:ascii="Times New Roman" w:hAnsi="Times New Roman"/>
          <w:sz w:val="24"/>
          <w:szCs w:val="24"/>
          <w:vertAlign w:val="subscript"/>
        </w:rPr>
        <w:t>2</w:t>
      </w:r>
      <w:r w:rsidRPr="00735460">
        <w:rPr>
          <w:rStyle w:val="cmmi-71"/>
          <w:rFonts w:ascii="Times New Roman" w:hAnsi="Times New Roman"/>
          <w:sz w:val="24"/>
          <w:szCs w:val="24"/>
          <w:vertAlign w:val="subscript"/>
        </w:rPr>
        <w:t>g</w:t>
      </w:r>
      <w:r w:rsidRPr="00735460">
        <w:rPr>
          <w:rFonts w:ascii="Times New Roman" w:hAnsi="Times New Roman"/>
          <w:sz w:val="24"/>
          <w:szCs w:val="24"/>
        </w:rPr>
        <w:t xml:space="preserve"> and </w:t>
      </w:r>
      <w:r w:rsidRPr="00735460">
        <w:rPr>
          <w:rStyle w:val="cmmi-101"/>
          <w:rFonts w:ascii="Times New Roman" w:hAnsi="Times New Roman"/>
          <w:sz w:val="24"/>
          <w:szCs w:val="24"/>
        </w:rPr>
        <w:t>e</w:t>
      </w:r>
      <w:r w:rsidRPr="00735460">
        <w:rPr>
          <w:rStyle w:val="cmmi-71"/>
          <w:rFonts w:ascii="Times New Roman" w:hAnsi="Times New Roman"/>
          <w:sz w:val="24"/>
          <w:szCs w:val="24"/>
          <w:vertAlign w:val="subscript"/>
        </w:rPr>
        <w:t>g</w:t>
      </w:r>
      <w:r w:rsidRPr="00735460">
        <w:rPr>
          <w:rFonts w:ascii="Times New Roman" w:hAnsi="Times New Roman"/>
          <w:sz w:val="24"/>
          <w:szCs w:val="24"/>
        </w:rPr>
        <w:t xml:space="preserve"> states) is 13.2 eV in the cubic phase; 8.9 eV in the monoclinic phase; and 8.4 eV, 8.4 eV, and 7.3 eV for the amorphous structures. Similar band narrowing has been found previously for amorphous WO</w:t>
      </w:r>
      <w:r w:rsidRPr="00735460">
        <w:rPr>
          <w:rStyle w:val="cmr-71"/>
          <w:rFonts w:ascii="Times New Roman" w:hAnsi="Times New Roman"/>
          <w:sz w:val="24"/>
          <w:szCs w:val="24"/>
          <w:vertAlign w:val="subscript"/>
        </w:rPr>
        <w:t>3</w:t>
      </w:r>
      <w:r w:rsidRPr="00735460">
        <w:rPr>
          <w:rFonts w:ascii="Times New Roman" w:hAnsi="Times New Roman"/>
          <w:sz w:val="24"/>
          <w:szCs w:val="24"/>
        </w:rPr>
        <w:t>.</w:t>
      </w:r>
      <w:r w:rsidR="00AD0D51" w:rsidRPr="00AD0D51">
        <w:rPr>
          <w:rStyle w:val="cite"/>
          <w:rFonts w:ascii="Times New Roman" w:hAnsi="Times New Roman"/>
          <w:sz w:val="24"/>
          <w:szCs w:val="24"/>
          <w:vertAlign w:val="superscript"/>
        </w:rPr>
        <w:t>[S1]</w:t>
      </w:r>
      <w:r w:rsidRPr="00735460">
        <w:rPr>
          <w:rFonts w:ascii="Times New Roman" w:hAnsi="Times New Roman"/>
          <w:sz w:val="24"/>
          <w:szCs w:val="24"/>
        </w:rPr>
        <w:t xml:space="preserve"> </w:t>
      </w:r>
    </w:p>
    <w:p w:rsidR="005367DD" w:rsidRPr="00735460" w:rsidRDefault="005367DD" w:rsidP="00582B23">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Figure S3 shows the electronic density of states for the amorphous structures. As expected, states appear in the band gap, corresponding to localization and/or the formation of defects in the disordered structure. For purposes of analyzing the electronic structure and absorption spectra, we identify a band gap by checking the degree of localization of states. For both the VB and CB, we take the band edge to be the first electronic state not associated with any particular defect or localized state of the structure. Inspection of the charge density indicates whether a state is localized (on the scale of a few atoms) versus</w:t>
      </w:r>
      <w:r w:rsidR="00582B23">
        <w:rPr>
          <w:rFonts w:ascii="Times New Roman" w:hAnsi="Times New Roman"/>
          <w:sz w:val="24"/>
          <w:szCs w:val="24"/>
        </w:rPr>
        <w:t xml:space="preserve"> </w:t>
      </w:r>
      <w:r w:rsidRPr="00735460">
        <w:rPr>
          <w:rFonts w:ascii="Times New Roman" w:hAnsi="Times New Roman"/>
          <w:sz w:val="24"/>
          <w:szCs w:val="24"/>
        </w:rPr>
        <w:t xml:space="preserve">delocalized (distributed over a majority of atoms in the supercell). Our choice of band edges is shown in the shaded regions in Fig. S3. </w:t>
      </w:r>
    </w:p>
    <w:p w:rsidR="006D6F2E" w:rsidRPr="00735460" w:rsidRDefault="005367DD" w:rsidP="006D6F2E">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 xml:space="preserve">Structure A is free of localized states far from the band edges, while Structures B and C have localized states throughout the gap. In Structure A, the localized states near the VB are primarily from undercoordinated O, and those near the CB come from edge-sharing octahedra or undercoordinated W. In contrast, in Structure B the states in the gap at slightly less than 1 eV above the VB arise from neighboring oxygen atoms in configurations with small W-O-W bond angles; these oxygens interact more strongly </w:t>
      </w:r>
      <w:r w:rsidR="002864D2" w:rsidRPr="00735460">
        <w:rPr>
          <w:rFonts w:ascii="Times New Roman" w:hAnsi="Times New Roman"/>
          <w:sz w:val="24"/>
          <w:szCs w:val="24"/>
        </w:rPr>
        <w:t>within the same octahedra</w:t>
      </w:r>
    </w:p>
    <w:tbl>
      <w:tblPr>
        <w:tblpPr w:leftFromText="180" w:rightFromText="180" w:vertAnchor="text" w:horzAnchor="margin" w:tblpY="536"/>
        <w:tblW w:w="8910" w:type="dxa"/>
        <w:tblLook w:val="04A0" w:firstRow="1" w:lastRow="0" w:firstColumn="1" w:lastColumn="0" w:noHBand="0" w:noVBand="1"/>
      </w:tblPr>
      <w:tblGrid>
        <w:gridCol w:w="8910"/>
      </w:tblGrid>
      <w:tr w:rsidR="006D6F2E" w:rsidRPr="008370D6" w:rsidTr="000C0429">
        <w:tc>
          <w:tcPr>
            <w:tcW w:w="8910" w:type="dxa"/>
            <w:shd w:val="clear" w:color="auto" w:fill="auto"/>
          </w:tcPr>
          <w:p w:rsidR="006D6F2E" w:rsidRPr="008370D6" w:rsidRDefault="00EB3749" w:rsidP="0011617B">
            <w:pPr>
              <w:spacing w:line="480" w:lineRule="auto"/>
              <w:contextualSpacing/>
              <w:jc w:val="center"/>
              <w:rPr>
                <w:rFonts w:ascii="Times New Roman" w:eastAsia="Times New Roman" w:hAnsi="Times New Roman"/>
                <w:sz w:val="24"/>
                <w:szCs w:val="24"/>
              </w:rPr>
            </w:pPr>
            <w:r w:rsidRPr="00544CB3">
              <w:rPr>
                <w:rFonts w:ascii="Times New Roman" w:eastAsia="Times New Roman" w:hAnsi="Times New Roman"/>
                <w:noProof/>
                <w:sz w:val="24"/>
                <w:szCs w:val="24"/>
              </w:rPr>
              <w:lastRenderedPageBreak/>
              <w:drawing>
                <wp:inline distT="0" distB="0" distL="0" distR="0">
                  <wp:extent cx="5435600" cy="1231900"/>
                  <wp:effectExtent l="0" t="0" r="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231900"/>
                          </a:xfrm>
                          <a:prstGeom prst="rect">
                            <a:avLst/>
                          </a:prstGeom>
                          <a:noFill/>
                          <a:ln>
                            <a:noFill/>
                          </a:ln>
                        </pic:spPr>
                      </pic:pic>
                    </a:graphicData>
                  </a:graphic>
                </wp:inline>
              </w:drawing>
            </w:r>
          </w:p>
        </w:tc>
      </w:tr>
      <w:tr w:rsidR="006D6F2E" w:rsidRPr="008370D6" w:rsidTr="000C0429">
        <w:trPr>
          <w:trHeight w:val="477"/>
        </w:trPr>
        <w:tc>
          <w:tcPr>
            <w:tcW w:w="8910" w:type="dxa"/>
            <w:shd w:val="clear" w:color="auto" w:fill="auto"/>
          </w:tcPr>
          <w:p w:rsidR="006D6F2E" w:rsidRPr="008370D6" w:rsidRDefault="00F14E18" w:rsidP="0011617B">
            <w:pPr>
              <w:ind w:right="270"/>
              <w:contextualSpacing/>
              <w:jc w:val="both"/>
              <w:rPr>
                <w:rFonts w:ascii="Times New Roman" w:eastAsia="Times New Roman" w:hAnsi="Times New Roman"/>
              </w:rPr>
            </w:pPr>
            <w:r w:rsidRPr="008370D6">
              <w:rPr>
                <w:rStyle w:val="id"/>
                <w:rFonts w:ascii="Times New Roman" w:eastAsia="Times New Roman" w:hAnsi="Times New Roman"/>
                <w:b/>
              </w:rPr>
              <w:t>F</w:t>
            </w:r>
            <w:r>
              <w:rPr>
                <w:rStyle w:val="id"/>
                <w:rFonts w:ascii="Times New Roman" w:eastAsia="Times New Roman" w:hAnsi="Times New Roman"/>
                <w:b/>
              </w:rPr>
              <w:t>IG.</w:t>
            </w:r>
            <w:r w:rsidRPr="008370D6">
              <w:rPr>
                <w:rStyle w:val="id"/>
                <w:rFonts w:ascii="Times New Roman" w:eastAsia="Times New Roman" w:hAnsi="Times New Roman"/>
                <w:b/>
              </w:rPr>
              <w:t> </w:t>
            </w:r>
            <w:r w:rsidR="006D6F2E" w:rsidRPr="008370D6">
              <w:rPr>
                <w:rStyle w:val="id"/>
                <w:rFonts w:ascii="Times New Roman" w:eastAsia="Times New Roman" w:hAnsi="Times New Roman"/>
                <w:b/>
              </w:rPr>
              <w:t>S3:</w:t>
            </w:r>
            <w:r w:rsidR="006D6F2E" w:rsidRPr="008370D6">
              <w:rPr>
                <w:rStyle w:val="id"/>
                <w:rFonts w:ascii="Times New Roman" w:eastAsia="Times New Roman" w:hAnsi="Times New Roman"/>
              </w:rPr>
              <w:t xml:space="preserve"> </w:t>
            </w:r>
            <w:r w:rsidR="006D6F2E" w:rsidRPr="008370D6">
              <w:rPr>
                <w:rStyle w:val="content"/>
                <w:rFonts w:ascii="Times New Roman" w:eastAsia="Times New Roman" w:hAnsi="Times New Roman"/>
              </w:rPr>
              <w:t>Total density of states for the three disordered structures</w:t>
            </w:r>
            <w:r>
              <w:rPr>
                <w:rStyle w:val="content"/>
                <w:rFonts w:ascii="Times New Roman" w:eastAsia="Times New Roman" w:hAnsi="Times New Roman"/>
              </w:rPr>
              <w:t>, (a) Structure A, (b) Structure B, and (c) Structure C</w:t>
            </w:r>
            <w:r w:rsidR="006D6F2E" w:rsidRPr="008370D6">
              <w:rPr>
                <w:rStyle w:val="content"/>
                <w:rFonts w:ascii="Times New Roman" w:eastAsia="Times New Roman" w:hAnsi="Times New Roman"/>
              </w:rPr>
              <w:t>. The zero of energy corresponds to the VB maximum. The edges of the shaded region correspond to the VB maximum and CB minimum; states within this region are ignored in calculated optical spectra.</w:t>
            </w:r>
          </w:p>
        </w:tc>
      </w:tr>
    </w:tbl>
    <w:p w:rsidR="005C124F" w:rsidRDefault="005C124F" w:rsidP="005C124F">
      <w:pPr>
        <w:pStyle w:val="indent"/>
        <w:spacing w:line="480" w:lineRule="auto"/>
        <w:ind w:firstLine="0"/>
        <w:contextualSpacing/>
        <w:jc w:val="both"/>
        <w:rPr>
          <w:rFonts w:ascii="Times New Roman" w:hAnsi="Times New Roman"/>
          <w:sz w:val="24"/>
          <w:szCs w:val="24"/>
        </w:rPr>
      </w:pPr>
    </w:p>
    <w:p w:rsidR="000C0429" w:rsidRDefault="000C0429" w:rsidP="005C124F">
      <w:pPr>
        <w:pStyle w:val="indent"/>
        <w:spacing w:line="480" w:lineRule="auto"/>
        <w:ind w:firstLine="0"/>
        <w:contextualSpacing/>
        <w:jc w:val="both"/>
        <w:rPr>
          <w:rFonts w:ascii="Times New Roman" w:hAnsi="Times New Roman"/>
          <w:sz w:val="24"/>
          <w:szCs w:val="24"/>
        </w:rPr>
      </w:pPr>
    </w:p>
    <w:p w:rsidR="00E55CDB" w:rsidRDefault="005367DD" w:rsidP="005C124F">
      <w:pPr>
        <w:pStyle w:val="indent"/>
        <w:spacing w:line="480" w:lineRule="auto"/>
        <w:ind w:firstLine="0"/>
        <w:contextualSpacing/>
        <w:jc w:val="both"/>
        <w:rPr>
          <w:rFonts w:ascii="Times New Roman" w:hAnsi="Times New Roman"/>
          <w:sz w:val="24"/>
          <w:szCs w:val="24"/>
        </w:rPr>
      </w:pPr>
      <w:r w:rsidRPr="00735460">
        <w:rPr>
          <w:rFonts w:ascii="Times New Roman" w:hAnsi="Times New Roman"/>
          <w:sz w:val="24"/>
          <w:szCs w:val="24"/>
        </w:rPr>
        <w:t xml:space="preserve">(smallest separation distance is 1.47 </w:t>
      </w:r>
      <w:r w:rsidR="00AD0D51">
        <w:rPr>
          <w:rFonts w:ascii="Times New Roman" w:hAnsi="Times New Roman"/>
          <w:sz w:val="24"/>
          <w:szCs w:val="24"/>
        </w:rPr>
        <w:t>Å</w:t>
      </w:r>
      <w:r w:rsidRPr="00735460">
        <w:rPr>
          <w:rFonts w:ascii="Times New Roman" w:hAnsi="Times New Roman"/>
          <w:sz w:val="24"/>
          <w:szCs w:val="24"/>
        </w:rPr>
        <w:t xml:space="preserve">). They can also arise from interactions between oxygens in two separate octahedra. The gap state just above 1 eV is associated with several undercoordinated O, in addition to a pair of W-W separated by 2.77 </w:t>
      </w:r>
      <w:r w:rsidR="00AD0D51">
        <w:rPr>
          <w:rFonts w:ascii="Times New Roman" w:hAnsi="Times New Roman"/>
          <w:sz w:val="24"/>
          <w:szCs w:val="24"/>
        </w:rPr>
        <w:t>Å</w:t>
      </w:r>
      <w:r w:rsidRPr="00735460">
        <w:rPr>
          <w:rFonts w:ascii="Times New Roman" w:hAnsi="Times New Roman"/>
          <w:sz w:val="24"/>
          <w:szCs w:val="24"/>
        </w:rPr>
        <w:t xml:space="preserve"> in edge-sharing octahedra. This W-W distance is less than that in the bulk and leads to greater hybridization between the adjacent W, resulting in a gap state. </w:t>
      </w:r>
    </w:p>
    <w:p w:rsidR="005367DD" w:rsidRPr="00735460" w:rsidRDefault="005367DD" w:rsidP="0066507F">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Like Structures A and B, the localized states in Structure C near the VB maximum are derived from undercoo</w:t>
      </w:r>
      <w:r w:rsidR="00514DC0">
        <w:rPr>
          <w:rFonts w:ascii="Times New Roman" w:hAnsi="Times New Roman"/>
          <w:sz w:val="24"/>
          <w:szCs w:val="24"/>
        </w:rPr>
        <w:t>r</w:t>
      </w:r>
      <w:r w:rsidRPr="00735460">
        <w:rPr>
          <w:rFonts w:ascii="Times New Roman" w:hAnsi="Times New Roman"/>
          <w:sz w:val="24"/>
          <w:szCs w:val="24"/>
        </w:rPr>
        <w:t xml:space="preserve">dinated oxygens and interactions of two oxygens in separate octahedra spaced closer than the typical O-O distance. The states near mid-gap arise from atoms positioned in edge-sharing octahedra and from undercoordinated W. While edge-sharing octahedra are also present in Structure A, the W of edge-sharing octahedra in Structure C are spaced closer together (by up to 0.1 </w:t>
      </w:r>
      <w:r w:rsidR="00AD0D51">
        <w:rPr>
          <w:rFonts w:ascii="Times New Roman" w:hAnsi="Times New Roman"/>
          <w:sz w:val="24"/>
          <w:szCs w:val="24"/>
        </w:rPr>
        <w:t>Å</w:t>
      </w:r>
      <w:r w:rsidRPr="00735460">
        <w:rPr>
          <w:rFonts w:ascii="Times New Roman" w:hAnsi="Times New Roman"/>
          <w:sz w:val="24"/>
          <w:szCs w:val="24"/>
        </w:rPr>
        <w:t xml:space="preserve">). This smaller separation of edge-sharing W in Structure C leads to localized states further from the CB edge. </w:t>
      </w:r>
    </w:p>
    <w:p w:rsidR="00D00B40" w:rsidRDefault="00D00B40" w:rsidP="00514DC0">
      <w:pPr>
        <w:pStyle w:val="indent"/>
        <w:spacing w:line="480" w:lineRule="auto"/>
        <w:contextualSpacing/>
        <w:jc w:val="both"/>
        <w:rPr>
          <w:rFonts w:ascii="Times New Roman" w:hAnsi="Times New Roman"/>
          <w:sz w:val="24"/>
          <w:szCs w:val="24"/>
        </w:rPr>
      </w:pPr>
    </w:p>
    <w:tbl>
      <w:tblPr>
        <w:tblpPr w:leftFromText="180" w:rightFromText="180" w:vertAnchor="text" w:horzAnchor="margin" w:tblpY="139"/>
        <w:tblW w:w="9036" w:type="dxa"/>
        <w:tblLook w:val="04A0" w:firstRow="1" w:lastRow="0" w:firstColumn="1" w:lastColumn="0" w:noHBand="0" w:noVBand="1"/>
      </w:tblPr>
      <w:tblGrid>
        <w:gridCol w:w="9036"/>
      </w:tblGrid>
      <w:tr w:rsidR="00D00B40" w:rsidRPr="008370D6" w:rsidTr="0081356A">
        <w:tc>
          <w:tcPr>
            <w:tcW w:w="9036" w:type="dxa"/>
            <w:shd w:val="clear" w:color="auto" w:fill="auto"/>
          </w:tcPr>
          <w:p w:rsidR="00D00B40" w:rsidRPr="008370D6" w:rsidRDefault="00D00B40" w:rsidP="0081356A">
            <w:pPr>
              <w:ind w:right="180"/>
              <w:contextualSpacing/>
              <w:jc w:val="both"/>
              <w:rPr>
                <w:rStyle w:val="id"/>
                <w:rFonts w:ascii="Times New Roman" w:eastAsia="Times New Roman" w:hAnsi="Times New Roman"/>
                <w:b/>
              </w:rPr>
            </w:pPr>
            <w:r w:rsidRPr="008370D6">
              <w:rPr>
                <w:rFonts w:ascii="Times New Roman" w:eastAsia="Times New Roman" w:hAnsi="Times New Roman"/>
                <w:b/>
                <w:noProof/>
              </w:rPr>
              <w:lastRenderedPageBreak/>
              <w:drawing>
                <wp:inline distT="0" distB="0" distL="0" distR="0" wp14:anchorId="1C4BC7B0" wp14:editId="2238666F">
                  <wp:extent cx="5384800" cy="1676400"/>
                  <wp:effectExtent l="0" t="0" r="0" b="0"/>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0" cy="1676400"/>
                          </a:xfrm>
                          <a:prstGeom prst="rect">
                            <a:avLst/>
                          </a:prstGeom>
                          <a:noFill/>
                          <a:ln>
                            <a:noFill/>
                          </a:ln>
                        </pic:spPr>
                      </pic:pic>
                    </a:graphicData>
                  </a:graphic>
                </wp:inline>
              </w:drawing>
            </w:r>
          </w:p>
        </w:tc>
      </w:tr>
      <w:tr w:rsidR="00D00B40" w:rsidRPr="008370D6" w:rsidTr="0081356A">
        <w:tc>
          <w:tcPr>
            <w:tcW w:w="9036" w:type="dxa"/>
            <w:shd w:val="clear" w:color="auto" w:fill="auto"/>
          </w:tcPr>
          <w:p w:rsidR="00D00B40" w:rsidRPr="008370D6" w:rsidRDefault="00D00B40" w:rsidP="0081356A">
            <w:pPr>
              <w:ind w:right="180"/>
              <w:contextualSpacing/>
              <w:jc w:val="both"/>
              <w:rPr>
                <w:rStyle w:val="id"/>
                <w:rFonts w:ascii="Times New Roman" w:eastAsia="Times New Roman" w:hAnsi="Times New Roman"/>
                <w:b/>
              </w:rPr>
            </w:pPr>
          </w:p>
          <w:p w:rsidR="00D00B40" w:rsidRPr="008370D6" w:rsidRDefault="00D00B40" w:rsidP="0081356A">
            <w:pPr>
              <w:ind w:right="180"/>
              <w:contextualSpacing/>
              <w:jc w:val="both"/>
              <w:rPr>
                <w:rFonts w:ascii="Times New Roman" w:eastAsia="Times New Roman" w:hAnsi="Times New Roman"/>
              </w:rPr>
            </w:pPr>
            <w:r w:rsidRPr="008370D6">
              <w:rPr>
                <w:rStyle w:val="id"/>
                <w:rFonts w:ascii="Times New Roman" w:eastAsia="Times New Roman" w:hAnsi="Times New Roman"/>
                <w:b/>
              </w:rPr>
              <w:t>Figure S4:</w:t>
            </w:r>
            <w:r w:rsidRPr="008370D6">
              <w:rPr>
                <w:rStyle w:val="id"/>
                <w:rFonts w:ascii="Times New Roman" w:eastAsia="Times New Roman" w:hAnsi="Times New Roman"/>
              </w:rPr>
              <w:t xml:space="preserve"> </w:t>
            </w:r>
            <w:r w:rsidRPr="008370D6">
              <w:rPr>
                <w:rStyle w:val="content"/>
                <w:rFonts w:ascii="Times New Roman" w:eastAsia="Times New Roman" w:hAnsi="Times New Roman"/>
              </w:rPr>
              <w:t xml:space="preserve">(a) Absorption </w:t>
            </w:r>
            <w:r>
              <w:rPr>
                <w:rStyle w:val="content"/>
                <w:rFonts w:ascii="Times New Roman" w:eastAsia="Times New Roman" w:hAnsi="Times New Roman"/>
              </w:rPr>
              <w:t>coefficient</w:t>
            </w:r>
            <w:r w:rsidRPr="008370D6">
              <w:rPr>
                <w:rStyle w:val="content"/>
                <w:rFonts w:ascii="Times New Roman" w:eastAsia="Times New Roman" w:hAnsi="Times New Roman"/>
              </w:rPr>
              <w:t xml:space="preserve"> for disordered Structure B for three different choices of conduction-band edge. (b) Choice of conduction-band edge illustrated within the total density of states for Structure B. The valence-band edge is kept fixed (and chosen as the zero of energy). Each colored box corresponds to a different choice of the CB edge.</w:t>
            </w:r>
          </w:p>
          <w:p w:rsidR="00D00B40" w:rsidRPr="008370D6" w:rsidRDefault="00D00B40" w:rsidP="0081356A">
            <w:pPr>
              <w:ind w:right="180"/>
              <w:contextualSpacing/>
              <w:jc w:val="both"/>
              <w:rPr>
                <w:rStyle w:val="id"/>
                <w:rFonts w:ascii="Times New Roman" w:eastAsia="Times New Roman" w:hAnsi="Times New Roman"/>
                <w:b/>
              </w:rPr>
            </w:pPr>
          </w:p>
        </w:tc>
      </w:tr>
    </w:tbl>
    <w:p w:rsidR="00D00B40" w:rsidRDefault="00D00B40" w:rsidP="00D00B40">
      <w:pPr>
        <w:pStyle w:val="indent"/>
        <w:spacing w:line="480" w:lineRule="auto"/>
        <w:ind w:firstLine="0"/>
        <w:contextualSpacing/>
        <w:jc w:val="both"/>
        <w:rPr>
          <w:rFonts w:ascii="Times New Roman" w:hAnsi="Times New Roman"/>
          <w:sz w:val="24"/>
          <w:szCs w:val="24"/>
        </w:rPr>
      </w:pPr>
    </w:p>
    <w:p w:rsidR="00514DC0" w:rsidRPr="00735460" w:rsidRDefault="005367DD" w:rsidP="00514DC0">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 xml:space="preserve">While it is informative to examine the character of these defect states, the concentration at which they occur in our simulations is much higher than expected in a realistic </w:t>
      </w:r>
    </w:p>
    <w:p w:rsidR="005367DD" w:rsidRPr="00735460" w:rsidRDefault="005367DD" w:rsidP="00514DC0">
      <w:pPr>
        <w:pStyle w:val="indent"/>
        <w:spacing w:line="480" w:lineRule="auto"/>
        <w:ind w:firstLine="0"/>
        <w:contextualSpacing/>
        <w:jc w:val="both"/>
        <w:rPr>
          <w:rFonts w:ascii="Times New Roman" w:hAnsi="Times New Roman"/>
          <w:sz w:val="24"/>
          <w:szCs w:val="24"/>
        </w:rPr>
      </w:pPr>
      <w:r w:rsidRPr="00735460">
        <w:rPr>
          <w:rFonts w:ascii="Times New Roman" w:hAnsi="Times New Roman"/>
          <w:sz w:val="24"/>
          <w:szCs w:val="24"/>
        </w:rPr>
        <w:t xml:space="preserve">disordered solid due to the limited size of our supercells. These defects would therefore have a spuriously large impact on the optical absorption. For purposes of analyzing the absorption spectra, we have therefore removed these localized states from our calculations, by omitting them from the sum over bands in Eq. (2). </w:t>
      </w:r>
    </w:p>
    <w:p w:rsidR="005367DD" w:rsidRDefault="005367DD" w:rsidP="00582B23">
      <w:pPr>
        <w:pStyle w:val="indent"/>
        <w:spacing w:line="480" w:lineRule="auto"/>
        <w:contextualSpacing/>
        <w:jc w:val="both"/>
        <w:rPr>
          <w:rFonts w:ascii="Times New Roman" w:hAnsi="Times New Roman"/>
          <w:sz w:val="24"/>
          <w:szCs w:val="24"/>
        </w:rPr>
      </w:pPr>
      <w:r w:rsidRPr="00735460">
        <w:rPr>
          <w:rFonts w:ascii="Times New Roman" w:hAnsi="Times New Roman"/>
          <w:sz w:val="24"/>
          <w:szCs w:val="24"/>
        </w:rPr>
        <w:t xml:space="preserve">The inclusion of localized states does not change our conclusions. We show an explicit calculation of CB </w:t>
      </w:r>
      <w:r w:rsidRPr="00735460">
        <w:rPr>
          <w:rStyle w:val="cmsy-10"/>
          <w:rFonts w:ascii="Times New Roman" w:hAnsi="Times New Roman"/>
          <w:sz w:val="24"/>
          <w:szCs w:val="24"/>
        </w:rPr>
        <w:t xml:space="preserve">→ </w:t>
      </w:r>
      <w:r w:rsidRPr="00735460">
        <w:rPr>
          <w:rFonts w:ascii="Times New Roman" w:hAnsi="Times New Roman"/>
          <w:sz w:val="24"/>
          <w:szCs w:val="24"/>
        </w:rPr>
        <w:t>CB transitions for different choices of band edges for Structure B in Fig. S4. The detailed features that occur at specific energies are due to the specifics of the disordered structure (modeled in a modest-size supercell); on average, the absorption changes by less than a factor of 2. In a real system, the concentration of localized or defect states would be far smaller</w:t>
      </w:r>
      <w:r w:rsidR="00514DC0">
        <w:rPr>
          <w:rFonts w:ascii="Times New Roman" w:hAnsi="Times New Roman"/>
          <w:sz w:val="24"/>
          <w:szCs w:val="24"/>
        </w:rPr>
        <w:t xml:space="preserve"> than in our models</w:t>
      </w:r>
      <w:r w:rsidRPr="00735460">
        <w:rPr>
          <w:rFonts w:ascii="Times New Roman" w:hAnsi="Times New Roman"/>
          <w:sz w:val="24"/>
          <w:szCs w:val="24"/>
        </w:rPr>
        <w:t xml:space="preserve"> and would have an even smaller impact on absorption. </w:t>
      </w:r>
    </w:p>
    <w:p w:rsidR="005E71B7" w:rsidRDefault="005E71B7" w:rsidP="00582B23">
      <w:pPr>
        <w:pStyle w:val="indent"/>
        <w:spacing w:line="480" w:lineRule="auto"/>
        <w:contextualSpacing/>
        <w:jc w:val="both"/>
        <w:rPr>
          <w:rFonts w:ascii="Times New Roman" w:hAnsi="Times New Roman"/>
          <w:sz w:val="24"/>
          <w:szCs w:val="24"/>
        </w:rPr>
      </w:pPr>
    </w:p>
    <w:p w:rsidR="005E71B7" w:rsidRPr="00582B23" w:rsidRDefault="005E71B7" w:rsidP="00582B23">
      <w:pPr>
        <w:pStyle w:val="indent"/>
        <w:spacing w:line="480" w:lineRule="auto"/>
        <w:contextualSpacing/>
        <w:jc w:val="both"/>
        <w:rPr>
          <w:rFonts w:ascii="Times New Roman" w:hAnsi="Times New Roman"/>
          <w:sz w:val="24"/>
          <w:szCs w:val="24"/>
        </w:rPr>
      </w:pPr>
    </w:p>
    <w:p w:rsidR="00440CA8" w:rsidRDefault="00440CA8" w:rsidP="00AD0D51">
      <w:pPr>
        <w:pStyle w:val="Heading3"/>
        <w:spacing w:line="480" w:lineRule="auto"/>
        <w:contextualSpacing/>
        <w:rPr>
          <w:rFonts w:ascii="Times New Roman" w:eastAsia="Times New Roman" w:hAnsi="Times New Roman"/>
        </w:rPr>
      </w:pPr>
      <w:r>
        <w:rPr>
          <w:rFonts w:ascii="Times New Roman" w:eastAsia="Times New Roman" w:hAnsi="Times New Roman"/>
        </w:rPr>
        <w:lastRenderedPageBreak/>
        <w:t>S3 Determination of Fermi Level</w:t>
      </w:r>
    </w:p>
    <w:p w:rsidR="005E71B7" w:rsidRPr="00410D91" w:rsidRDefault="00440CA8" w:rsidP="00410D91">
      <w:pPr>
        <w:shd w:val="clear" w:color="auto" w:fill="FFFFFF"/>
        <w:spacing w:line="480" w:lineRule="auto"/>
        <w:jc w:val="both"/>
        <w:rPr>
          <w:rFonts w:eastAsia="Times New Roman"/>
          <w:color w:val="000000" w:themeColor="text1"/>
          <w:sz w:val="24"/>
          <w:szCs w:val="24"/>
        </w:rPr>
      </w:pPr>
      <w:r>
        <w:rPr>
          <w:rFonts w:ascii="Times New Roman" w:eastAsia="Times New Roman" w:hAnsi="Times New Roman"/>
          <w:b/>
          <w:sz w:val="24"/>
          <w:szCs w:val="24"/>
        </w:rPr>
        <w:tab/>
      </w:r>
      <w:r w:rsidR="00A314A7" w:rsidRPr="00410D91">
        <w:rPr>
          <w:rFonts w:eastAsia="Times New Roman"/>
          <w:color w:val="000000" w:themeColor="text1"/>
          <w:sz w:val="24"/>
          <w:szCs w:val="24"/>
        </w:rPr>
        <w:t>In our calculations</w:t>
      </w:r>
      <w:r w:rsidR="00EC1B69">
        <w:rPr>
          <w:rFonts w:eastAsia="Times New Roman"/>
          <w:color w:val="000000" w:themeColor="text1"/>
          <w:sz w:val="24"/>
          <w:szCs w:val="24"/>
        </w:rPr>
        <w:t xml:space="preserve"> for both crystalline and disordered structures</w:t>
      </w:r>
      <w:r w:rsidR="00A314A7" w:rsidRPr="00410D91">
        <w:rPr>
          <w:rFonts w:eastAsia="Times New Roman"/>
          <w:color w:val="000000" w:themeColor="text1"/>
          <w:sz w:val="24"/>
          <w:szCs w:val="24"/>
        </w:rPr>
        <w:t xml:space="preserve">, </w:t>
      </w:r>
      <w:r w:rsidR="00694930">
        <w:rPr>
          <w:rFonts w:eastAsia="Times New Roman"/>
          <w:color w:val="000000" w:themeColor="text1"/>
          <w:sz w:val="24"/>
          <w:szCs w:val="24"/>
        </w:rPr>
        <w:t>we use the rigid band approximation. W</w:t>
      </w:r>
      <w:r w:rsidR="00A314A7" w:rsidRPr="00410D91">
        <w:rPr>
          <w:rFonts w:eastAsia="Times New Roman"/>
          <w:color w:val="000000" w:themeColor="text1"/>
          <w:sz w:val="24"/>
          <w:szCs w:val="24"/>
        </w:rPr>
        <w:t xml:space="preserve">e adjust the Fermi level to achieve a particular electron concentration using the calculated density of states. We first fix what the target doping concentration is based on number of excess electrons per unit volume. Using the fact that the total electron concentration </w:t>
      </w:r>
      <w:r w:rsidR="00A314A7" w:rsidRPr="00410D91">
        <w:rPr>
          <w:rFonts w:eastAsia="Times New Roman"/>
          <w:i/>
          <w:color w:val="000000" w:themeColor="text1"/>
          <w:sz w:val="24"/>
          <w:szCs w:val="24"/>
        </w:rPr>
        <w:t>n</w:t>
      </w:r>
      <w:r w:rsidR="00A314A7" w:rsidRPr="00410D91">
        <w:rPr>
          <w:rFonts w:eastAsia="Times New Roman"/>
          <w:color w:val="000000" w:themeColor="text1"/>
          <w:sz w:val="24"/>
          <w:szCs w:val="24"/>
        </w:rPr>
        <w:t xml:space="preserve"> in the system is </w:t>
      </w:r>
    </w:p>
    <w:p w:rsidR="00A314A7" w:rsidRPr="00410D91" w:rsidRDefault="005E71B7" w:rsidP="00410D91">
      <w:pPr>
        <w:shd w:val="clear" w:color="auto" w:fill="FFFFFF"/>
        <w:spacing w:line="480" w:lineRule="auto"/>
        <w:jc w:val="center"/>
        <w:rPr>
          <w:rFonts w:eastAsia="Times New Roman"/>
          <w:color w:val="000000" w:themeColor="text1"/>
          <w:sz w:val="24"/>
          <w:szCs w:val="24"/>
        </w:rPr>
      </w:pPr>
      <w:r w:rsidRPr="00410D91">
        <w:rPr>
          <w:noProof/>
          <w:sz w:val="24"/>
          <w:szCs w:val="24"/>
        </w:rPr>
        <w:drawing>
          <wp:inline distT="0" distB="0" distL="0" distR="0">
            <wp:extent cx="1421394" cy="36856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499" cy="386739"/>
                    </a:xfrm>
                    <a:prstGeom prst="rect">
                      <a:avLst/>
                    </a:prstGeom>
                    <a:noFill/>
                    <a:ln>
                      <a:noFill/>
                    </a:ln>
                  </pic:spPr>
                </pic:pic>
              </a:graphicData>
            </a:graphic>
          </wp:inline>
        </w:drawing>
      </w:r>
    </w:p>
    <w:p w:rsidR="005E71B7" w:rsidRDefault="00A314A7" w:rsidP="00410D91">
      <w:pPr>
        <w:shd w:val="clear" w:color="auto" w:fill="FFFFFF"/>
        <w:spacing w:line="480" w:lineRule="auto"/>
        <w:jc w:val="both"/>
        <w:rPr>
          <w:rFonts w:eastAsia="Times New Roman"/>
          <w:color w:val="000000" w:themeColor="text1"/>
          <w:sz w:val="24"/>
          <w:szCs w:val="24"/>
        </w:rPr>
      </w:pPr>
      <w:r w:rsidRPr="00410D91">
        <w:rPr>
          <w:rFonts w:eastAsia="Times New Roman"/>
          <w:color w:val="000000" w:themeColor="text1"/>
          <w:sz w:val="24"/>
          <w:szCs w:val="24"/>
        </w:rPr>
        <w:t xml:space="preserve">where </w:t>
      </w:r>
      <m:oMath>
        <m:r>
          <w:rPr>
            <w:rFonts w:ascii="Cambria Math" w:eastAsia="Times New Roman" w:hAnsi="Cambria Math"/>
            <w:color w:val="000000" w:themeColor="text1"/>
            <w:sz w:val="24"/>
            <w:szCs w:val="24"/>
          </w:rPr>
          <m:t>g(ϵ)</m:t>
        </m:r>
      </m:oMath>
      <w:r w:rsidRPr="00410D91">
        <w:rPr>
          <w:rFonts w:eastAsia="Times New Roman"/>
          <w:color w:val="000000" w:themeColor="text1"/>
          <w:sz w:val="24"/>
          <w:szCs w:val="24"/>
        </w:rPr>
        <w:t xml:space="preserve"> is the density of states and </w:t>
      </w:r>
      <m:oMath>
        <m:r>
          <w:rPr>
            <w:rFonts w:ascii="Cambria Math" w:eastAsia="Times New Roman" w:hAnsi="Cambria Math"/>
            <w:color w:val="000000" w:themeColor="text1"/>
            <w:sz w:val="24"/>
            <w:szCs w:val="24"/>
          </w:rPr>
          <m:t>f</m:t>
        </m:r>
        <m:d>
          <m:dPr>
            <m:ctrlPr>
              <w:rPr>
                <w:rFonts w:ascii="Cambria Math" w:eastAsia="Times New Roman" w:hAnsi="Cambria Math"/>
                <w:i/>
                <w:color w:val="000000" w:themeColor="text1"/>
                <w:sz w:val="24"/>
                <w:szCs w:val="24"/>
              </w:rPr>
            </m:ctrlPr>
          </m:dPr>
          <m:e>
            <m:r>
              <w:rPr>
                <w:rFonts w:ascii="Cambria Math" w:eastAsia="Times New Roman" w:hAnsi="Cambria Math"/>
                <w:color w:val="000000" w:themeColor="text1"/>
                <w:sz w:val="24"/>
                <w:szCs w:val="24"/>
              </w:rPr>
              <m:t>ϵ</m:t>
            </m:r>
          </m:e>
        </m:d>
      </m:oMath>
      <w:r w:rsidRPr="00410D91">
        <w:rPr>
          <w:rFonts w:eastAsia="Times New Roman"/>
          <w:color w:val="000000" w:themeColor="text1"/>
          <w:sz w:val="24"/>
          <w:szCs w:val="24"/>
        </w:rPr>
        <w:t xml:space="preserve"> is the Fermi-Dirac distribution, we find the corresponding Fermi level </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ϵ</m:t>
            </m:r>
          </m:e>
          <m:sub>
            <m:r>
              <w:rPr>
                <w:rFonts w:ascii="Cambria Math" w:eastAsia="Times New Roman" w:hAnsi="Cambria Math"/>
                <w:color w:val="000000" w:themeColor="text1"/>
                <w:sz w:val="24"/>
                <w:szCs w:val="24"/>
              </w:rPr>
              <m:t>F</m:t>
            </m:r>
          </m:sub>
        </m:sSub>
      </m:oMath>
      <w:r w:rsidRPr="00410D91">
        <w:rPr>
          <w:rFonts w:eastAsia="Times New Roman"/>
          <w:i/>
          <w:color w:val="000000" w:themeColor="text1"/>
          <w:sz w:val="24"/>
          <w:szCs w:val="24"/>
        </w:rPr>
        <w:t xml:space="preserve"> </w:t>
      </w:r>
      <w:r w:rsidRPr="00410D91">
        <w:rPr>
          <w:rFonts w:eastAsia="Times New Roman"/>
          <w:color w:val="000000" w:themeColor="text1"/>
          <w:sz w:val="24"/>
          <w:szCs w:val="24"/>
        </w:rPr>
        <w:t>that gives the desired t</w:t>
      </w:r>
      <w:r w:rsidR="005E71B7" w:rsidRPr="005E71B7">
        <w:rPr>
          <w:rFonts w:eastAsia="Times New Roman"/>
          <w:color w:val="000000" w:themeColor="text1"/>
          <w:sz w:val="24"/>
          <w:szCs w:val="24"/>
        </w:rPr>
        <w:t>he target doping concentration.</w:t>
      </w:r>
      <w:r w:rsidR="007F7EC0">
        <w:rPr>
          <w:rFonts w:eastAsia="Times New Roman"/>
          <w:color w:val="000000" w:themeColor="text1"/>
          <w:sz w:val="24"/>
          <w:szCs w:val="24"/>
        </w:rPr>
        <w:t xml:space="preserve"> </w:t>
      </w:r>
      <w:r w:rsidR="007F7EC0" w:rsidRPr="00410D91">
        <w:rPr>
          <w:rFonts w:eastAsia="Times New Roman"/>
          <w:color w:val="000000" w:themeColor="text1"/>
          <w:sz w:val="24"/>
          <w:szCs w:val="24"/>
        </w:rPr>
        <w:t>Table</w:t>
      </w:r>
      <w:r w:rsidR="00EC441C">
        <w:rPr>
          <w:rFonts w:eastAsia="Times New Roman"/>
          <w:color w:val="000000" w:themeColor="text1"/>
          <w:sz w:val="24"/>
          <w:szCs w:val="24"/>
        </w:rPr>
        <w:t>s</w:t>
      </w:r>
      <w:r w:rsidR="007F7EC0" w:rsidRPr="00410D91">
        <w:rPr>
          <w:rFonts w:eastAsia="Times New Roman"/>
          <w:color w:val="000000" w:themeColor="text1"/>
          <w:sz w:val="24"/>
          <w:szCs w:val="24"/>
        </w:rPr>
        <w:t xml:space="preserve"> S1 </w:t>
      </w:r>
      <w:r w:rsidR="00EC441C">
        <w:rPr>
          <w:rFonts w:eastAsia="Times New Roman"/>
          <w:color w:val="000000" w:themeColor="text1"/>
          <w:sz w:val="24"/>
          <w:szCs w:val="24"/>
        </w:rPr>
        <w:t xml:space="preserve">and S2 </w:t>
      </w:r>
      <w:r w:rsidR="00EC441C" w:rsidRPr="00EC441C">
        <w:rPr>
          <w:rFonts w:eastAsia="Times New Roman"/>
          <w:color w:val="000000" w:themeColor="text1"/>
          <w:sz w:val="24"/>
          <w:szCs w:val="24"/>
        </w:rPr>
        <w:t>give</w:t>
      </w:r>
      <w:r w:rsidR="007F7EC0" w:rsidRPr="00410D91">
        <w:rPr>
          <w:rFonts w:eastAsia="Times New Roman"/>
          <w:color w:val="000000" w:themeColor="text1"/>
          <w:sz w:val="24"/>
          <w:szCs w:val="24"/>
        </w:rPr>
        <w:t xml:space="preserve"> the Fermi level for </w:t>
      </w:r>
      <w:r w:rsidR="00EC441C">
        <w:rPr>
          <w:rFonts w:eastAsia="Times New Roman"/>
          <w:color w:val="000000" w:themeColor="text1"/>
          <w:sz w:val="24"/>
          <w:szCs w:val="24"/>
        </w:rPr>
        <w:t xml:space="preserve">the </w:t>
      </w:r>
      <w:r w:rsidR="007F7EC0" w:rsidRPr="00410D91">
        <w:rPr>
          <w:rFonts w:eastAsia="Times New Roman"/>
          <w:color w:val="000000" w:themeColor="text1"/>
          <w:sz w:val="24"/>
          <w:szCs w:val="24"/>
        </w:rPr>
        <w:t>structures</w:t>
      </w:r>
      <w:r w:rsidR="00C80756">
        <w:rPr>
          <w:rFonts w:eastAsia="Times New Roman"/>
          <w:color w:val="000000" w:themeColor="text1"/>
          <w:sz w:val="24"/>
          <w:szCs w:val="24"/>
        </w:rPr>
        <w:t xml:space="preserve"> considered and equivalent number of electrons per formula unit</w:t>
      </w:r>
      <w:r w:rsidR="007F7EC0">
        <w:rPr>
          <w:rFonts w:eastAsia="Times New Roman"/>
          <w:color w:val="000000" w:themeColor="text1"/>
          <w:sz w:val="24"/>
          <w:szCs w:val="24"/>
        </w:rPr>
        <w:t>.</w:t>
      </w:r>
      <w:r w:rsidR="00A63A07">
        <w:rPr>
          <w:rFonts w:eastAsia="Times New Roman"/>
          <w:color w:val="000000" w:themeColor="text1"/>
          <w:sz w:val="24"/>
          <w:szCs w:val="24"/>
        </w:rPr>
        <w:t xml:space="preserve"> For </w:t>
      </w:r>
      <w:r w:rsidR="00402200">
        <w:rPr>
          <w:rFonts w:eastAsia="Times New Roman"/>
          <w:color w:val="000000" w:themeColor="text1"/>
          <w:sz w:val="24"/>
          <w:szCs w:val="24"/>
        </w:rPr>
        <w:t xml:space="preserve">each of </w:t>
      </w:r>
      <w:r w:rsidR="00A63A07">
        <w:rPr>
          <w:rFonts w:eastAsia="Times New Roman"/>
          <w:color w:val="000000" w:themeColor="text1"/>
          <w:sz w:val="24"/>
          <w:szCs w:val="24"/>
        </w:rPr>
        <w:t>the disordered stru</w:t>
      </w:r>
      <w:r w:rsidR="00402200">
        <w:rPr>
          <w:rFonts w:eastAsia="Times New Roman"/>
          <w:color w:val="000000" w:themeColor="text1"/>
          <w:sz w:val="24"/>
          <w:szCs w:val="24"/>
        </w:rPr>
        <w:t>ctures, the states</w:t>
      </w:r>
      <w:r w:rsidR="00A63A07">
        <w:rPr>
          <w:rFonts w:eastAsia="Times New Roman"/>
          <w:color w:val="000000" w:themeColor="text1"/>
          <w:sz w:val="24"/>
          <w:szCs w:val="24"/>
        </w:rPr>
        <w:t xml:space="preserve"> </w:t>
      </w:r>
      <w:r w:rsidR="00402200">
        <w:rPr>
          <w:rFonts w:eastAsia="Times New Roman"/>
          <w:color w:val="000000" w:themeColor="text1"/>
          <w:sz w:val="24"/>
          <w:szCs w:val="24"/>
        </w:rPr>
        <w:t>within the grey region</w:t>
      </w:r>
      <w:r w:rsidR="005F09E8">
        <w:rPr>
          <w:rFonts w:eastAsia="Times New Roman"/>
          <w:color w:val="000000" w:themeColor="text1"/>
          <w:sz w:val="24"/>
          <w:szCs w:val="24"/>
        </w:rPr>
        <w:t xml:space="preserve"> </w:t>
      </w:r>
      <w:r w:rsidR="00A63A07">
        <w:rPr>
          <w:rFonts w:eastAsia="Times New Roman"/>
          <w:color w:val="000000" w:themeColor="text1"/>
          <w:sz w:val="24"/>
          <w:szCs w:val="24"/>
        </w:rPr>
        <w:t>shown in Fig. S3 are omitted</w:t>
      </w:r>
      <w:r w:rsidR="00402200">
        <w:rPr>
          <w:rFonts w:eastAsia="Times New Roman"/>
          <w:color w:val="000000" w:themeColor="text1"/>
          <w:sz w:val="24"/>
          <w:szCs w:val="24"/>
        </w:rPr>
        <w:t xml:space="preserve">. </w:t>
      </w:r>
    </w:p>
    <w:p w:rsidR="005F09E8" w:rsidRDefault="005F09E8" w:rsidP="005F09E8">
      <w:pPr>
        <w:shd w:val="clear" w:color="auto" w:fill="FFFFFF"/>
        <w:spacing w:line="480" w:lineRule="auto"/>
        <w:jc w:val="both"/>
        <w:rPr>
          <w:rFonts w:eastAsia="Times New Roman"/>
          <w:color w:val="000000" w:themeColor="text1"/>
          <w:sz w:val="24"/>
          <w:szCs w:val="24"/>
        </w:rPr>
      </w:pPr>
    </w:p>
    <w:p w:rsidR="00EC441C" w:rsidRDefault="005B0235" w:rsidP="00410D91">
      <w:pPr>
        <w:ind w:right="180"/>
        <w:contextualSpacing/>
        <w:jc w:val="center"/>
        <w:rPr>
          <w:rFonts w:ascii="Times New Roman" w:eastAsia="Times New Roman" w:hAnsi="Times New Roman"/>
        </w:rPr>
      </w:pPr>
      <w:r w:rsidRPr="00EC441C">
        <w:rPr>
          <w:rStyle w:val="id"/>
          <w:rFonts w:ascii="Times New Roman" w:eastAsia="Times New Roman" w:hAnsi="Times New Roman"/>
          <w:b/>
        </w:rPr>
        <w:t>Table S1:</w:t>
      </w:r>
      <w:r w:rsidRPr="00EC441C">
        <w:rPr>
          <w:rStyle w:val="id"/>
          <w:rFonts w:ascii="Times New Roman" w:eastAsia="Times New Roman" w:hAnsi="Times New Roman"/>
        </w:rPr>
        <w:t xml:space="preserve"> </w:t>
      </w:r>
      <w:r w:rsidRPr="00EC441C">
        <w:rPr>
          <w:rStyle w:val="content"/>
        </w:rPr>
        <w:t xml:space="preserve">Fermi level </w:t>
      </w:r>
      <m:oMath>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ϵ</m:t>
            </m:r>
          </m:e>
          <m:sub>
            <m:r>
              <w:rPr>
                <w:rFonts w:ascii="Cambria Math" w:eastAsia="Times New Roman" w:hAnsi="Cambria Math"/>
                <w:color w:val="000000" w:themeColor="text1"/>
              </w:rPr>
              <m:t>F</m:t>
            </m:r>
          </m:sub>
        </m:sSub>
      </m:oMath>
      <w:r w:rsidRPr="0081356A">
        <w:rPr>
          <w:color w:val="000000" w:themeColor="text1"/>
        </w:rPr>
        <w:t xml:space="preserve"> </w:t>
      </w:r>
      <w:r>
        <w:rPr>
          <w:color w:val="000000" w:themeColor="text1"/>
        </w:rPr>
        <w:t xml:space="preserve">(eV) </w:t>
      </w:r>
      <w:r w:rsidRPr="0081356A">
        <w:rPr>
          <w:color w:val="000000" w:themeColor="text1"/>
        </w:rPr>
        <w:t>with respect to the conduction band minimum for crystalline structures</w:t>
      </w:r>
      <w:r w:rsidR="00C80756">
        <w:rPr>
          <w:color w:val="000000" w:themeColor="text1"/>
        </w:rPr>
        <w:t>. In parentheses is the corresponding number of electrons per formula unit.</w:t>
      </w:r>
    </w:p>
    <w:p w:rsidR="005B0235" w:rsidRPr="00410D91" w:rsidRDefault="005B0235" w:rsidP="00410D91">
      <w:pPr>
        <w:ind w:right="180"/>
        <w:contextualSpacing/>
        <w:jc w:val="both"/>
        <w:rPr>
          <w:rFonts w:ascii="Times New Roman" w:eastAsia="Times New Roman" w:hAnsi="Times New Roman"/>
        </w:rPr>
      </w:pPr>
    </w:p>
    <w:tbl>
      <w:tblPr>
        <w:tblStyle w:val="TableGrid"/>
        <w:tblW w:w="0" w:type="auto"/>
        <w:tblInd w:w="1885" w:type="dxa"/>
        <w:tblLook w:val="04A0" w:firstRow="1" w:lastRow="0" w:firstColumn="1" w:lastColumn="0" w:noHBand="0" w:noVBand="1"/>
      </w:tblPr>
      <w:tblGrid>
        <w:gridCol w:w="1080"/>
        <w:gridCol w:w="2179"/>
        <w:gridCol w:w="2321"/>
      </w:tblGrid>
      <w:tr w:rsidR="00EC441C" w:rsidTr="00410D91">
        <w:tc>
          <w:tcPr>
            <w:tcW w:w="1080" w:type="dxa"/>
          </w:tcPr>
          <w:p w:rsidR="00EC441C" w:rsidRPr="00EC441C" w:rsidRDefault="00EC441C" w:rsidP="00410D91">
            <w:pPr>
              <w:ind w:right="180"/>
              <w:contextualSpacing/>
              <w:jc w:val="center"/>
              <w:rPr>
                <w:rStyle w:val="id"/>
                <w:rFonts w:ascii="Times New Roman" w:eastAsia="Times New Roman" w:hAnsi="Times New Roman"/>
              </w:rPr>
            </w:pPr>
            <w:r w:rsidRPr="00EC441C">
              <w:rPr>
                <w:rStyle w:val="id"/>
                <w:rFonts w:ascii="Times New Roman" w:eastAsia="Times New Roman" w:hAnsi="Times New Roman"/>
                <w:i/>
              </w:rPr>
              <w:t xml:space="preserve">n </w:t>
            </w:r>
            <w:r w:rsidRPr="00EC441C">
              <w:rPr>
                <w:rStyle w:val="id"/>
                <w:rFonts w:ascii="Times New Roman" w:eastAsia="Times New Roman" w:hAnsi="Times New Roman"/>
              </w:rPr>
              <w:t>(cm</w:t>
            </w:r>
            <w:r w:rsidRPr="00EC441C">
              <w:rPr>
                <w:rStyle w:val="id"/>
                <w:rFonts w:ascii="Times New Roman" w:eastAsia="Times New Roman" w:hAnsi="Times New Roman"/>
                <w:vertAlign w:val="superscript"/>
              </w:rPr>
              <w:t>-3</w:t>
            </w:r>
            <w:r w:rsidRPr="00EC441C">
              <w:rPr>
                <w:rStyle w:val="id"/>
                <w:rFonts w:ascii="Times New Roman" w:eastAsia="Times New Roman" w:hAnsi="Times New Roman"/>
              </w:rPr>
              <w:t>)</w:t>
            </w:r>
          </w:p>
        </w:tc>
        <w:tc>
          <w:tcPr>
            <w:tcW w:w="2179" w:type="dxa"/>
          </w:tcPr>
          <w:p w:rsidR="00EC441C" w:rsidRPr="00EC441C" w:rsidRDefault="00EC441C" w:rsidP="00410D91">
            <w:pPr>
              <w:ind w:right="180"/>
              <w:contextualSpacing/>
              <w:jc w:val="center"/>
              <w:rPr>
                <w:rStyle w:val="id"/>
                <w:rFonts w:ascii="Times New Roman" w:eastAsia="Times New Roman" w:hAnsi="Times New Roman"/>
              </w:rPr>
            </w:pPr>
            <w:r w:rsidRPr="00EC441C">
              <w:rPr>
                <w:rStyle w:val="id"/>
                <w:rFonts w:ascii="Times New Roman" w:eastAsia="Times New Roman" w:hAnsi="Times New Roman"/>
              </w:rPr>
              <w:t>Cubic</w:t>
            </w:r>
            <w:r w:rsidR="005B0235">
              <w:rPr>
                <w:rStyle w:val="id"/>
                <w:rFonts w:ascii="Times New Roman" w:eastAsia="Times New Roman" w:hAnsi="Times New Roman"/>
              </w:rPr>
              <w:t xml:space="preserve"> </w:t>
            </w:r>
          </w:p>
        </w:tc>
        <w:tc>
          <w:tcPr>
            <w:tcW w:w="2321" w:type="dxa"/>
          </w:tcPr>
          <w:p w:rsidR="00EC441C" w:rsidRPr="00EC441C" w:rsidRDefault="00EC441C" w:rsidP="00410D91">
            <w:pPr>
              <w:ind w:right="180"/>
              <w:contextualSpacing/>
              <w:jc w:val="center"/>
              <w:rPr>
                <w:rStyle w:val="id"/>
                <w:rFonts w:ascii="Times New Roman" w:eastAsia="Times New Roman" w:hAnsi="Times New Roman"/>
              </w:rPr>
            </w:pPr>
            <w:r w:rsidRPr="00EC441C">
              <w:rPr>
                <w:rStyle w:val="id"/>
                <w:rFonts w:ascii="Times New Roman" w:eastAsia="Times New Roman" w:hAnsi="Times New Roman"/>
              </w:rPr>
              <w:t>Monoclinic</w:t>
            </w:r>
          </w:p>
        </w:tc>
      </w:tr>
      <w:tr w:rsidR="00EC441C" w:rsidTr="00410D91">
        <w:trPr>
          <w:trHeight w:val="287"/>
        </w:trPr>
        <w:tc>
          <w:tcPr>
            <w:tcW w:w="1080" w:type="dxa"/>
          </w:tcPr>
          <w:p w:rsidR="00EC441C" w:rsidRPr="00410D91" w:rsidRDefault="00EC441C" w:rsidP="0081356A">
            <w:pPr>
              <w:ind w:right="180"/>
              <w:contextualSpacing/>
              <w:jc w:val="center"/>
              <w:rPr>
                <w:rStyle w:val="id"/>
                <w:rFonts w:ascii="Times New Roman" w:eastAsia="Times New Roman" w:hAnsi="Times New Roman"/>
                <w:vertAlign w:val="superscript"/>
              </w:rPr>
            </w:pPr>
            <w:r>
              <w:rPr>
                <w:rStyle w:val="id"/>
                <w:rFonts w:ascii="Times New Roman" w:eastAsia="Times New Roman" w:hAnsi="Times New Roman"/>
              </w:rPr>
              <w:t>10</w:t>
            </w:r>
            <w:r>
              <w:rPr>
                <w:rStyle w:val="id"/>
                <w:rFonts w:ascii="Times New Roman" w:eastAsia="Times New Roman" w:hAnsi="Times New Roman"/>
                <w:vertAlign w:val="superscript"/>
              </w:rPr>
              <w:t>18</w:t>
            </w:r>
          </w:p>
        </w:tc>
        <w:tc>
          <w:tcPr>
            <w:tcW w:w="2179"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-0.14</w:t>
            </w:r>
            <w:r w:rsidR="00E86C8F">
              <w:rPr>
                <w:rStyle w:val="id"/>
                <w:rFonts w:ascii="Times New Roman" w:eastAsia="Times New Roman" w:hAnsi="Times New Roman"/>
              </w:rPr>
              <w:t xml:space="preserve">  (5.43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-5</w:t>
            </w:r>
            <w:r w:rsidR="00E86C8F">
              <w:rPr>
                <w:rStyle w:val="id"/>
                <w:rFonts w:ascii="Times New Roman" w:eastAsia="Times New Roman" w:hAnsi="Times New Roman"/>
              </w:rPr>
              <w:t>)</w:t>
            </w:r>
          </w:p>
        </w:tc>
        <w:tc>
          <w:tcPr>
            <w:tcW w:w="2321"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-0.11</w:t>
            </w:r>
            <w:r w:rsidR="00E86C8F">
              <w:rPr>
                <w:rStyle w:val="id"/>
                <w:rFonts w:ascii="Times New Roman" w:eastAsia="Times New Roman" w:hAnsi="Times New Roman"/>
              </w:rPr>
              <w:t xml:space="preserve">  (5.51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-5</w:t>
            </w:r>
            <w:r w:rsidR="00E86C8F">
              <w:rPr>
                <w:rStyle w:val="id"/>
                <w:rFonts w:ascii="Times New Roman" w:eastAsia="Times New Roman" w:hAnsi="Times New Roman"/>
              </w:rPr>
              <w:t>)</w:t>
            </w:r>
          </w:p>
        </w:tc>
      </w:tr>
      <w:tr w:rsidR="00EC441C" w:rsidTr="00410D91">
        <w:trPr>
          <w:trHeight w:val="314"/>
        </w:trPr>
        <w:tc>
          <w:tcPr>
            <w:tcW w:w="1080"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10</w:t>
            </w:r>
            <w:r>
              <w:rPr>
                <w:rStyle w:val="id"/>
                <w:rFonts w:ascii="Times New Roman" w:eastAsia="Times New Roman" w:hAnsi="Times New Roman"/>
                <w:vertAlign w:val="superscript"/>
              </w:rPr>
              <w:t>19</w:t>
            </w:r>
          </w:p>
        </w:tc>
        <w:tc>
          <w:tcPr>
            <w:tcW w:w="2179"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-0.081</w:t>
            </w:r>
            <w:r w:rsidR="00E86C8F">
              <w:rPr>
                <w:rStyle w:val="id"/>
                <w:rFonts w:ascii="Times New Roman" w:eastAsia="Times New Roman" w:hAnsi="Times New Roman"/>
              </w:rPr>
              <w:t xml:space="preserve">  (5.43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-4</w:t>
            </w:r>
            <w:r w:rsidR="00E86C8F">
              <w:rPr>
                <w:rStyle w:val="id"/>
                <w:rFonts w:ascii="Times New Roman" w:eastAsia="Times New Roman" w:hAnsi="Times New Roman"/>
              </w:rPr>
              <w:t>)</w:t>
            </w:r>
          </w:p>
        </w:tc>
        <w:tc>
          <w:tcPr>
            <w:tcW w:w="2321"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-0.047</w:t>
            </w:r>
            <w:r w:rsidR="00E86C8F">
              <w:rPr>
                <w:rStyle w:val="id"/>
                <w:rFonts w:ascii="Times New Roman" w:eastAsia="Times New Roman" w:hAnsi="Times New Roman"/>
              </w:rPr>
              <w:t xml:space="preserve">  (5.51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-4</w:t>
            </w:r>
            <w:r w:rsidR="00E86C8F">
              <w:rPr>
                <w:rStyle w:val="id"/>
                <w:rFonts w:ascii="Times New Roman" w:eastAsia="Times New Roman" w:hAnsi="Times New Roman"/>
              </w:rPr>
              <w:t>)</w:t>
            </w:r>
          </w:p>
        </w:tc>
      </w:tr>
      <w:tr w:rsidR="00EC441C" w:rsidTr="00410D91">
        <w:trPr>
          <w:trHeight w:val="260"/>
        </w:trPr>
        <w:tc>
          <w:tcPr>
            <w:tcW w:w="1080"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10</w:t>
            </w:r>
            <w:r>
              <w:rPr>
                <w:rStyle w:val="id"/>
                <w:rFonts w:ascii="Times New Roman" w:eastAsia="Times New Roman" w:hAnsi="Times New Roman"/>
                <w:vertAlign w:val="superscript"/>
              </w:rPr>
              <w:t>20</w:t>
            </w:r>
          </w:p>
        </w:tc>
        <w:tc>
          <w:tcPr>
            <w:tcW w:w="2179"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-0.0039</w:t>
            </w:r>
            <w:r w:rsidR="00E86C8F">
              <w:rPr>
                <w:rStyle w:val="id"/>
                <w:rFonts w:ascii="Times New Roman" w:eastAsia="Times New Roman" w:hAnsi="Times New Roman"/>
              </w:rPr>
              <w:t xml:space="preserve">  (5.43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-3</w:t>
            </w:r>
            <w:r w:rsidR="00E86C8F">
              <w:rPr>
                <w:rStyle w:val="id"/>
                <w:rFonts w:ascii="Times New Roman" w:eastAsia="Times New Roman" w:hAnsi="Times New Roman"/>
              </w:rPr>
              <w:t>)</w:t>
            </w:r>
          </w:p>
        </w:tc>
        <w:tc>
          <w:tcPr>
            <w:tcW w:w="2321"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0.034</w:t>
            </w:r>
            <w:r w:rsidR="00E86C8F">
              <w:rPr>
                <w:rStyle w:val="id"/>
                <w:rFonts w:ascii="Times New Roman" w:eastAsia="Times New Roman" w:hAnsi="Times New Roman"/>
              </w:rPr>
              <w:t xml:space="preserve">  (5.51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-3</w:t>
            </w:r>
            <w:r w:rsidR="00E86C8F">
              <w:rPr>
                <w:rStyle w:val="id"/>
                <w:rFonts w:ascii="Times New Roman" w:eastAsia="Times New Roman" w:hAnsi="Times New Roman"/>
              </w:rPr>
              <w:t>)</w:t>
            </w:r>
          </w:p>
        </w:tc>
      </w:tr>
      <w:tr w:rsidR="00EC441C" w:rsidTr="00410D91">
        <w:trPr>
          <w:trHeight w:val="287"/>
        </w:trPr>
        <w:tc>
          <w:tcPr>
            <w:tcW w:w="1080"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10</w:t>
            </w:r>
            <w:r>
              <w:rPr>
                <w:rStyle w:val="id"/>
                <w:rFonts w:ascii="Times New Roman" w:eastAsia="Times New Roman" w:hAnsi="Times New Roman"/>
                <w:vertAlign w:val="superscript"/>
              </w:rPr>
              <w:t>21</w:t>
            </w:r>
          </w:p>
        </w:tc>
        <w:tc>
          <w:tcPr>
            <w:tcW w:w="2179"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0.17</w:t>
            </w:r>
            <w:r w:rsidR="00E86C8F">
              <w:rPr>
                <w:rStyle w:val="id"/>
                <w:rFonts w:ascii="Times New Roman" w:eastAsia="Times New Roman" w:hAnsi="Times New Roman"/>
              </w:rPr>
              <w:t xml:space="preserve">  (5.43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-2</w:t>
            </w:r>
            <w:r w:rsidR="00E86C8F">
              <w:rPr>
                <w:rStyle w:val="id"/>
                <w:rFonts w:ascii="Times New Roman" w:eastAsia="Times New Roman" w:hAnsi="Times New Roman"/>
              </w:rPr>
              <w:t>)</w:t>
            </w:r>
          </w:p>
        </w:tc>
        <w:tc>
          <w:tcPr>
            <w:tcW w:w="2321" w:type="dxa"/>
          </w:tcPr>
          <w:p w:rsidR="00EC441C" w:rsidRPr="00EC441C" w:rsidRDefault="00EC441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0.30</w:t>
            </w:r>
            <w:r w:rsidR="00E86C8F">
              <w:rPr>
                <w:rStyle w:val="id"/>
                <w:rFonts w:ascii="Times New Roman" w:eastAsia="Times New Roman" w:hAnsi="Times New Roman"/>
              </w:rPr>
              <w:t xml:space="preserve">  (5.51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-2</w:t>
            </w:r>
            <w:r w:rsidR="00E86C8F">
              <w:rPr>
                <w:rStyle w:val="id"/>
                <w:rFonts w:ascii="Times New Roman" w:eastAsia="Times New Roman" w:hAnsi="Times New Roman"/>
              </w:rPr>
              <w:t>)</w:t>
            </w:r>
          </w:p>
        </w:tc>
      </w:tr>
    </w:tbl>
    <w:p w:rsidR="005B0235" w:rsidRDefault="005B0235" w:rsidP="005B0235">
      <w:pPr>
        <w:ind w:right="180"/>
        <w:contextualSpacing/>
        <w:jc w:val="center"/>
        <w:rPr>
          <w:rStyle w:val="id"/>
          <w:rFonts w:ascii="Times New Roman" w:eastAsia="Times New Roman" w:hAnsi="Times New Roman"/>
          <w:b/>
        </w:rPr>
      </w:pPr>
    </w:p>
    <w:p w:rsidR="005B0235" w:rsidRPr="00D1258C" w:rsidRDefault="005B0235" w:rsidP="005B0235">
      <w:pPr>
        <w:ind w:right="180"/>
        <w:contextualSpacing/>
        <w:jc w:val="center"/>
        <w:rPr>
          <w:rFonts w:ascii="Times New Roman" w:eastAsia="Times New Roman" w:hAnsi="Times New Roman"/>
        </w:rPr>
      </w:pPr>
      <w:r>
        <w:rPr>
          <w:rStyle w:val="id"/>
          <w:rFonts w:ascii="Times New Roman" w:eastAsia="Times New Roman" w:hAnsi="Times New Roman"/>
          <w:b/>
        </w:rPr>
        <w:t>Table S2</w:t>
      </w:r>
      <w:r w:rsidRPr="00EC441C">
        <w:rPr>
          <w:rStyle w:val="id"/>
          <w:rFonts w:ascii="Times New Roman" w:eastAsia="Times New Roman" w:hAnsi="Times New Roman"/>
          <w:b/>
        </w:rPr>
        <w:t>:</w:t>
      </w:r>
      <w:r w:rsidRPr="00EC441C">
        <w:rPr>
          <w:rStyle w:val="id"/>
          <w:rFonts w:ascii="Times New Roman" w:eastAsia="Times New Roman" w:hAnsi="Times New Roman"/>
        </w:rPr>
        <w:t xml:space="preserve"> </w:t>
      </w:r>
      <w:r w:rsidRPr="00EC441C">
        <w:rPr>
          <w:rStyle w:val="content"/>
        </w:rPr>
        <w:t xml:space="preserve">Fermi level </w:t>
      </w:r>
      <m:oMath>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ϵ</m:t>
            </m:r>
          </m:e>
          <m:sub>
            <m:r>
              <w:rPr>
                <w:rFonts w:ascii="Cambria Math" w:eastAsia="Times New Roman" w:hAnsi="Cambria Math"/>
                <w:color w:val="000000" w:themeColor="text1"/>
              </w:rPr>
              <m:t>F</m:t>
            </m:r>
          </m:sub>
        </m:sSub>
      </m:oMath>
      <w:r w:rsidRPr="0081356A">
        <w:rPr>
          <w:color w:val="000000" w:themeColor="text1"/>
        </w:rPr>
        <w:t xml:space="preserve"> </w:t>
      </w:r>
      <w:r>
        <w:rPr>
          <w:color w:val="000000" w:themeColor="text1"/>
        </w:rPr>
        <w:t xml:space="preserve">(eV) </w:t>
      </w:r>
      <w:r w:rsidRPr="0081356A">
        <w:rPr>
          <w:color w:val="000000" w:themeColor="text1"/>
        </w:rPr>
        <w:t xml:space="preserve">with respect to the conduction band minimum for </w:t>
      </w:r>
      <w:r>
        <w:rPr>
          <w:color w:val="000000" w:themeColor="text1"/>
        </w:rPr>
        <w:t>disordered structures at 10</w:t>
      </w:r>
      <w:r>
        <w:rPr>
          <w:color w:val="000000" w:themeColor="text1"/>
          <w:vertAlign w:val="superscript"/>
        </w:rPr>
        <w:t>21</w:t>
      </w:r>
      <w:r>
        <w:rPr>
          <w:color w:val="000000" w:themeColor="text1"/>
        </w:rPr>
        <w:t xml:space="preserve"> cm</w:t>
      </w:r>
      <w:r>
        <w:rPr>
          <w:color w:val="000000" w:themeColor="text1"/>
          <w:vertAlign w:val="superscript"/>
        </w:rPr>
        <w:t>-3</w:t>
      </w:r>
      <w:r>
        <w:rPr>
          <w:color w:val="000000" w:themeColor="text1"/>
        </w:rPr>
        <w:t xml:space="preserve"> doping.</w:t>
      </w:r>
      <w:r w:rsidR="00C80756">
        <w:rPr>
          <w:color w:val="000000" w:themeColor="text1"/>
        </w:rPr>
        <w:t xml:space="preserve"> </w:t>
      </w:r>
      <w:r w:rsidR="00E86C8F">
        <w:rPr>
          <w:color w:val="000000" w:themeColor="text1"/>
        </w:rPr>
        <w:t xml:space="preserve">The equivalent number of electrons per formula unit is </w:t>
      </w:r>
      <w:r w:rsidR="00E86C8F">
        <w:rPr>
          <w:rStyle w:val="id"/>
          <w:rFonts w:ascii="Times New Roman" w:eastAsia="Times New Roman" w:hAnsi="Times New Roman"/>
        </w:rPr>
        <w:t xml:space="preserve">5.43 </w:t>
      </w:r>
      <w:r w:rsidR="00E86C8F">
        <w:rPr>
          <w:rStyle w:val="id"/>
          <w:rFonts w:ascii="Arial" w:eastAsia="Times New Roman" w:hAnsi="Arial" w:cs="Arial"/>
        </w:rPr>
        <w:t xml:space="preserve">x </w:t>
      </w:r>
      <w:r w:rsidR="00E86C8F">
        <w:rPr>
          <w:rStyle w:val="id"/>
          <w:rFonts w:ascii="Times New Roman" w:eastAsia="Times New Roman" w:hAnsi="Times New Roman"/>
        </w:rPr>
        <w:t>10</w:t>
      </w:r>
      <w:r w:rsidR="00E86C8F">
        <w:rPr>
          <w:rStyle w:val="id"/>
          <w:rFonts w:ascii="Times New Roman" w:eastAsia="Times New Roman" w:hAnsi="Times New Roman"/>
          <w:vertAlign w:val="superscript"/>
        </w:rPr>
        <w:t>-</w:t>
      </w:r>
      <w:r w:rsidR="00D1258C">
        <w:rPr>
          <w:rStyle w:val="id"/>
          <w:rFonts w:ascii="Times New Roman" w:eastAsia="Times New Roman" w:hAnsi="Times New Roman"/>
          <w:vertAlign w:val="superscript"/>
        </w:rPr>
        <w:t>2</w:t>
      </w:r>
      <w:r w:rsidR="00D1258C">
        <w:rPr>
          <w:rStyle w:val="id"/>
          <w:rFonts w:ascii="Times New Roman" w:eastAsia="Times New Roman" w:hAnsi="Times New Roman"/>
        </w:rPr>
        <w:t xml:space="preserve"> e</w:t>
      </w:r>
      <w:r w:rsidR="00D1258C">
        <w:rPr>
          <w:rStyle w:val="id"/>
          <w:rFonts w:ascii="Times New Roman" w:eastAsia="Times New Roman" w:hAnsi="Times New Roman"/>
          <w:vertAlign w:val="superscript"/>
        </w:rPr>
        <w:t>-</w:t>
      </w:r>
      <w:r w:rsidR="00D1258C">
        <w:rPr>
          <w:rStyle w:val="id"/>
          <w:rFonts w:ascii="Times New Roman" w:eastAsia="Times New Roman" w:hAnsi="Times New Roman"/>
        </w:rPr>
        <w:t>/WO</w:t>
      </w:r>
      <w:r w:rsidR="00D1258C">
        <w:rPr>
          <w:rStyle w:val="id"/>
          <w:rFonts w:ascii="Times New Roman" w:eastAsia="Times New Roman" w:hAnsi="Times New Roman"/>
          <w:vertAlign w:val="subscript"/>
        </w:rPr>
        <w:t>3</w:t>
      </w:r>
      <w:r w:rsidR="00D1258C">
        <w:rPr>
          <w:rStyle w:val="id"/>
          <w:rFonts w:ascii="Times New Roman" w:eastAsia="Times New Roman" w:hAnsi="Times New Roman"/>
        </w:rPr>
        <w:t>.</w:t>
      </w:r>
    </w:p>
    <w:p w:rsidR="005B0235" w:rsidRPr="0081356A" w:rsidRDefault="005B0235" w:rsidP="005B0235">
      <w:pPr>
        <w:ind w:right="180"/>
        <w:contextualSpacing/>
        <w:jc w:val="both"/>
        <w:rPr>
          <w:rFonts w:ascii="Times New Roman" w:eastAsia="Times New Roman" w:hAnsi="Times New Roman"/>
        </w:rPr>
      </w:pPr>
    </w:p>
    <w:tbl>
      <w:tblPr>
        <w:tblStyle w:val="TableGrid"/>
        <w:tblW w:w="0" w:type="auto"/>
        <w:tblInd w:w="3384" w:type="dxa"/>
        <w:tblLook w:val="04A0" w:firstRow="1" w:lastRow="0" w:firstColumn="1" w:lastColumn="0" w:noHBand="0" w:noVBand="1"/>
      </w:tblPr>
      <w:tblGrid>
        <w:gridCol w:w="1344"/>
        <w:gridCol w:w="1356"/>
      </w:tblGrid>
      <w:tr w:rsidR="005B0235" w:rsidTr="00410D91">
        <w:tc>
          <w:tcPr>
            <w:tcW w:w="1344" w:type="dxa"/>
          </w:tcPr>
          <w:p w:rsidR="005B0235" w:rsidRPr="005B0235" w:rsidRDefault="005B0235"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Structure</w:t>
            </w:r>
          </w:p>
        </w:tc>
        <w:tc>
          <w:tcPr>
            <w:tcW w:w="1356" w:type="dxa"/>
          </w:tcPr>
          <w:p w:rsidR="005B0235" w:rsidRPr="00EC441C" w:rsidRDefault="003A22AA" w:rsidP="0081356A">
            <w:pPr>
              <w:ind w:right="180"/>
              <w:contextualSpacing/>
              <w:jc w:val="center"/>
              <w:rPr>
                <w:rStyle w:val="id"/>
                <w:rFonts w:ascii="Times New Roman" w:eastAsia="Times New Roman" w:hAnsi="Times New Roman"/>
              </w:rPr>
            </w:pPr>
            <m:oMath>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ϵ</m:t>
                  </m:r>
                </m:e>
                <m:sub>
                  <m:r>
                    <w:rPr>
                      <w:rFonts w:ascii="Cambria Math" w:eastAsia="Times New Roman" w:hAnsi="Cambria Math"/>
                      <w:color w:val="000000" w:themeColor="text1"/>
                    </w:rPr>
                    <m:t>F</m:t>
                  </m:r>
                </m:sub>
              </m:sSub>
            </m:oMath>
            <w:r w:rsidR="005B0235">
              <w:rPr>
                <w:rFonts w:ascii="Times New Roman" w:eastAsia="Times New Roman" w:hAnsi="Times New Roman"/>
                <w:color w:val="000000" w:themeColor="text1"/>
              </w:rPr>
              <w:t xml:space="preserve"> (eV)</w:t>
            </w:r>
          </w:p>
        </w:tc>
      </w:tr>
      <w:tr w:rsidR="005B0235" w:rsidTr="00410D91">
        <w:trPr>
          <w:trHeight w:val="287"/>
        </w:trPr>
        <w:tc>
          <w:tcPr>
            <w:tcW w:w="1344" w:type="dxa"/>
          </w:tcPr>
          <w:p w:rsidR="005B0235" w:rsidRPr="0081356A" w:rsidRDefault="005B0235" w:rsidP="0081356A">
            <w:pPr>
              <w:ind w:right="180"/>
              <w:contextualSpacing/>
              <w:jc w:val="center"/>
              <w:rPr>
                <w:rStyle w:val="id"/>
                <w:rFonts w:ascii="Times New Roman" w:eastAsia="Times New Roman" w:hAnsi="Times New Roman"/>
                <w:vertAlign w:val="superscript"/>
              </w:rPr>
            </w:pPr>
            <w:r>
              <w:rPr>
                <w:rStyle w:val="id"/>
                <w:rFonts w:ascii="Times New Roman" w:eastAsia="Times New Roman" w:hAnsi="Times New Roman"/>
              </w:rPr>
              <w:t>A</w:t>
            </w:r>
          </w:p>
        </w:tc>
        <w:tc>
          <w:tcPr>
            <w:tcW w:w="1356" w:type="dxa"/>
          </w:tcPr>
          <w:p w:rsidR="005B0235" w:rsidRPr="00EC441C" w:rsidRDefault="005B0235"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0.047</w:t>
            </w:r>
          </w:p>
        </w:tc>
      </w:tr>
      <w:tr w:rsidR="005B0235" w:rsidTr="00410D91">
        <w:trPr>
          <w:trHeight w:val="314"/>
        </w:trPr>
        <w:tc>
          <w:tcPr>
            <w:tcW w:w="1344" w:type="dxa"/>
          </w:tcPr>
          <w:p w:rsidR="005B0235" w:rsidRPr="00EC441C" w:rsidRDefault="005B0235"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B</w:t>
            </w:r>
          </w:p>
        </w:tc>
        <w:tc>
          <w:tcPr>
            <w:tcW w:w="1356" w:type="dxa"/>
          </w:tcPr>
          <w:p w:rsidR="005B0235" w:rsidRPr="00EC441C" w:rsidRDefault="00A63A07"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0.3</w:t>
            </w:r>
            <w:r w:rsidR="00167CCC">
              <w:rPr>
                <w:rStyle w:val="id"/>
                <w:rFonts w:ascii="Times New Roman" w:eastAsia="Times New Roman" w:hAnsi="Times New Roman"/>
              </w:rPr>
              <w:t>2</w:t>
            </w:r>
          </w:p>
        </w:tc>
      </w:tr>
      <w:tr w:rsidR="005B0235" w:rsidTr="00410D91">
        <w:trPr>
          <w:trHeight w:val="260"/>
        </w:trPr>
        <w:tc>
          <w:tcPr>
            <w:tcW w:w="1344" w:type="dxa"/>
          </w:tcPr>
          <w:p w:rsidR="005B0235" w:rsidRPr="00EC441C" w:rsidRDefault="005B0235"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C</w:t>
            </w:r>
          </w:p>
        </w:tc>
        <w:tc>
          <w:tcPr>
            <w:tcW w:w="1356" w:type="dxa"/>
          </w:tcPr>
          <w:p w:rsidR="005B0235" w:rsidRPr="00EC441C" w:rsidRDefault="00167CCC" w:rsidP="0081356A">
            <w:pPr>
              <w:ind w:right="180"/>
              <w:contextualSpacing/>
              <w:jc w:val="center"/>
              <w:rPr>
                <w:rStyle w:val="id"/>
                <w:rFonts w:ascii="Times New Roman" w:eastAsia="Times New Roman" w:hAnsi="Times New Roman"/>
              </w:rPr>
            </w:pPr>
            <w:r>
              <w:rPr>
                <w:rStyle w:val="id"/>
                <w:rFonts w:ascii="Times New Roman" w:eastAsia="Times New Roman" w:hAnsi="Times New Roman"/>
              </w:rPr>
              <w:t>0.051</w:t>
            </w:r>
          </w:p>
        </w:tc>
      </w:tr>
    </w:tbl>
    <w:p w:rsidR="005F09E8" w:rsidRDefault="005F09E8" w:rsidP="00AD0D51">
      <w:pPr>
        <w:pStyle w:val="Heading3"/>
        <w:spacing w:line="480" w:lineRule="auto"/>
        <w:contextualSpacing/>
        <w:rPr>
          <w:rFonts w:ascii="Times New Roman" w:eastAsia="Times New Roman" w:hAnsi="Times New Roman"/>
        </w:rPr>
      </w:pPr>
    </w:p>
    <w:p w:rsidR="005367DD" w:rsidRPr="00AD0D51" w:rsidRDefault="005367DD" w:rsidP="00AD0D51">
      <w:pPr>
        <w:pStyle w:val="Heading3"/>
        <w:spacing w:line="480" w:lineRule="auto"/>
        <w:contextualSpacing/>
        <w:rPr>
          <w:rFonts w:ascii="Times New Roman" w:eastAsia="Times New Roman" w:hAnsi="Times New Roman"/>
        </w:rPr>
      </w:pPr>
      <w:r w:rsidRPr="00735460">
        <w:rPr>
          <w:rFonts w:ascii="Times New Roman" w:eastAsia="Times New Roman" w:hAnsi="Times New Roman"/>
        </w:rPr>
        <w:lastRenderedPageBreak/>
        <w:t>References</w:t>
      </w:r>
    </w:p>
    <w:p w:rsidR="00924ED6" w:rsidRPr="00E40571" w:rsidRDefault="005367DD" w:rsidP="00582B23">
      <w:pPr>
        <w:pStyle w:val="bibitem"/>
        <w:spacing w:line="480" w:lineRule="auto"/>
        <w:contextualSpacing/>
        <w:rPr>
          <w:rFonts w:ascii="Times New Roman" w:hAnsi="Times New Roman"/>
          <w:sz w:val="24"/>
          <w:szCs w:val="24"/>
        </w:rPr>
      </w:pPr>
      <w:r w:rsidRPr="00E40571">
        <w:rPr>
          <w:rStyle w:val="biblabel"/>
          <w:rFonts w:ascii="Times New Roman" w:hAnsi="Times New Roman"/>
          <w:sz w:val="24"/>
          <w:szCs w:val="24"/>
        </w:rPr>
        <w:t>[</w:t>
      </w:r>
      <w:r w:rsidR="00AD0D51">
        <w:rPr>
          <w:rStyle w:val="biblabel"/>
          <w:rFonts w:ascii="Times New Roman" w:hAnsi="Times New Roman"/>
          <w:sz w:val="24"/>
          <w:szCs w:val="24"/>
        </w:rPr>
        <w:t>S1</w:t>
      </w:r>
      <w:r w:rsidRPr="00E40571">
        <w:rPr>
          <w:rStyle w:val="biblabel"/>
          <w:rFonts w:ascii="Times New Roman" w:hAnsi="Times New Roman"/>
          <w:sz w:val="24"/>
          <w:szCs w:val="24"/>
        </w:rPr>
        <w:t>]</w:t>
      </w:r>
      <w:r w:rsidRPr="00E40571">
        <w:rPr>
          <w:rStyle w:val="bibsp"/>
          <w:rFonts w:ascii="Times New Roman" w:hAnsi="Times New Roman"/>
          <w:sz w:val="24"/>
          <w:szCs w:val="24"/>
        </w:rPr>
        <w:t>   </w:t>
      </w:r>
      <w:r w:rsidRPr="00E40571">
        <w:rPr>
          <w:rFonts w:ascii="Times New Roman" w:hAnsi="Times New Roman"/>
          <w:sz w:val="24"/>
          <w:szCs w:val="24"/>
        </w:rPr>
        <w:t>G. A. de Wijs and R. A. de Groot: Structure and electronic properties of amorphous WO</w:t>
      </w:r>
      <w:r w:rsidRPr="00E40571">
        <w:rPr>
          <w:rStyle w:val="cmr-71"/>
          <w:rFonts w:ascii="Times New Roman" w:hAnsi="Times New Roman"/>
          <w:sz w:val="24"/>
          <w:szCs w:val="24"/>
          <w:vertAlign w:val="subscript"/>
        </w:rPr>
        <w:t>3</w:t>
      </w:r>
      <w:r w:rsidRPr="00E40571">
        <w:rPr>
          <w:rFonts w:ascii="Times New Roman" w:hAnsi="Times New Roman"/>
          <w:sz w:val="24"/>
          <w:szCs w:val="24"/>
        </w:rPr>
        <w:t xml:space="preserve">. </w:t>
      </w:r>
      <w:r w:rsidRPr="00E40571">
        <w:rPr>
          <w:rStyle w:val="cmti-101"/>
          <w:rFonts w:ascii="Times New Roman" w:hAnsi="Times New Roman"/>
          <w:sz w:val="24"/>
          <w:szCs w:val="24"/>
        </w:rPr>
        <w:t xml:space="preserve">Phys. Rev. B </w:t>
      </w:r>
      <w:r w:rsidRPr="00E40571">
        <w:rPr>
          <w:rStyle w:val="cmbx-101"/>
          <w:rFonts w:ascii="Times New Roman" w:hAnsi="Times New Roman"/>
          <w:sz w:val="24"/>
          <w:szCs w:val="24"/>
        </w:rPr>
        <w:t>60</w:t>
      </w:r>
      <w:r w:rsidRPr="00E40571">
        <w:rPr>
          <w:rFonts w:ascii="Times New Roman" w:hAnsi="Times New Roman"/>
          <w:sz w:val="24"/>
          <w:szCs w:val="24"/>
        </w:rPr>
        <w:t xml:space="preserve">, 16463 (1999). </w:t>
      </w:r>
    </w:p>
    <w:sectPr w:rsidR="00924ED6" w:rsidRPr="00E40571" w:rsidSect="006650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1"/>
    <w:family w:val="roman"/>
    <w:pitch w:val="variable"/>
    <w:sig w:usb0="E0002AFF" w:usb1="C0007841" w:usb2="00000009" w:usb3="00000000" w:csb0="000001FF" w:csb1="00000000"/>
  </w:font>
  <w:font w:name="Times">
    <w:altName w:val="Times New Roman"/>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DD"/>
    <w:rsid w:val="00012D57"/>
    <w:rsid w:val="000667BC"/>
    <w:rsid w:val="000C0429"/>
    <w:rsid w:val="0011617B"/>
    <w:rsid w:val="00167CCC"/>
    <w:rsid w:val="0020442D"/>
    <w:rsid w:val="002864D2"/>
    <w:rsid w:val="00325EE0"/>
    <w:rsid w:val="0037585D"/>
    <w:rsid w:val="00377D70"/>
    <w:rsid w:val="003A22AA"/>
    <w:rsid w:val="003D7290"/>
    <w:rsid w:val="00402200"/>
    <w:rsid w:val="00410D91"/>
    <w:rsid w:val="00440CA8"/>
    <w:rsid w:val="004C4C2A"/>
    <w:rsid w:val="00514DC0"/>
    <w:rsid w:val="005367DD"/>
    <w:rsid w:val="00544CB3"/>
    <w:rsid w:val="00582B23"/>
    <w:rsid w:val="005B0235"/>
    <w:rsid w:val="005C124F"/>
    <w:rsid w:val="005D5F04"/>
    <w:rsid w:val="005E71B7"/>
    <w:rsid w:val="005F09E8"/>
    <w:rsid w:val="0066507F"/>
    <w:rsid w:val="00694930"/>
    <w:rsid w:val="006D6F2E"/>
    <w:rsid w:val="007107BB"/>
    <w:rsid w:val="00735460"/>
    <w:rsid w:val="007F7EC0"/>
    <w:rsid w:val="008370D6"/>
    <w:rsid w:val="0089742E"/>
    <w:rsid w:val="00924ED6"/>
    <w:rsid w:val="00A314A7"/>
    <w:rsid w:val="00A63A07"/>
    <w:rsid w:val="00AD0D51"/>
    <w:rsid w:val="00B377F3"/>
    <w:rsid w:val="00B90CEE"/>
    <w:rsid w:val="00C55D05"/>
    <w:rsid w:val="00C80756"/>
    <w:rsid w:val="00D00B40"/>
    <w:rsid w:val="00D1258C"/>
    <w:rsid w:val="00D42D43"/>
    <w:rsid w:val="00D553B7"/>
    <w:rsid w:val="00E40571"/>
    <w:rsid w:val="00E55CDB"/>
    <w:rsid w:val="00E86C8F"/>
    <w:rsid w:val="00EB3749"/>
    <w:rsid w:val="00EC1B69"/>
    <w:rsid w:val="00EC441C"/>
    <w:rsid w:val="00F1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01069"/>
  <w14:defaultImageDpi w14:val="300"/>
  <w15:docId w15:val="{C752EEED-086D-9343-B579-DF9605F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7DD"/>
    <w:rPr>
      <w:rFonts w:ascii="Times" w:hAnsi="Times"/>
    </w:rPr>
  </w:style>
  <w:style w:type="paragraph" w:styleId="Heading3">
    <w:name w:val="heading 3"/>
    <w:basedOn w:val="Normal"/>
    <w:link w:val="Heading3Char"/>
    <w:uiPriority w:val="9"/>
    <w:qFormat/>
    <w:rsid w:val="005367D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367D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367DD"/>
    <w:rPr>
      <w:rFonts w:ascii="Times" w:hAnsi="Times"/>
      <w:b/>
      <w:bCs/>
      <w:sz w:val="27"/>
      <w:szCs w:val="27"/>
    </w:rPr>
  </w:style>
  <w:style w:type="character" w:customStyle="1" w:styleId="Heading4Char">
    <w:name w:val="Heading 4 Char"/>
    <w:link w:val="Heading4"/>
    <w:uiPriority w:val="9"/>
    <w:rsid w:val="005367DD"/>
    <w:rPr>
      <w:rFonts w:ascii="Times" w:hAnsi="Times"/>
      <w:b/>
      <w:bCs/>
    </w:rPr>
  </w:style>
  <w:style w:type="paragraph" w:customStyle="1" w:styleId="noindent">
    <w:name w:val="noindent"/>
    <w:basedOn w:val="Normal"/>
    <w:rsid w:val="005367DD"/>
    <w:pPr>
      <w:spacing w:before="100" w:beforeAutospacing="1" w:after="100" w:afterAutospacing="1"/>
    </w:pPr>
  </w:style>
  <w:style w:type="paragraph" w:customStyle="1" w:styleId="indent">
    <w:name w:val="indent"/>
    <w:basedOn w:val="Normal"/>
    <w:rsid w:val="005367DD"/>
    <w:pPr>
      <w:spacing w:before="100" w:beforeAutospacing="1" w:after="100" w:afterAutospacing="1"/>
      <w:ind w:firstLine="360"/>
    </w:pPr>
  </w:style>
  <w:style w:type="paragraph" w:customStyle="1" w:styleId="bibitem">
    <w:name w:val="bibitem"/>
    <w:basedOn w:val="Normal"/>
    <w:rsid w:val="005367DD"/>
    <w:pPr>
      <w:spacing w:before="144" w:after="144"/>
      <w:ind w:left="480" w:hanging="480"/>
    </w:pPr>
  </w:style>
  <w:style w:type="character" w:customStyle="1" w:styleId="id">
    <w:name w:val="id"/>
    <w:basedOn w:val="DefaultParagraphFont"/>
    <w:rsid w:val="005367DD"/>
  </w:style>
  <w:style w:type="character" w:customStyle="1" w:styleId="titlemark">
    <w:name w:val="titlemark"/>
    <w:basedOn w:val="DefaultParagraphFont"/>
    <w:rsid w:val="005367DD"/>
  </w:style>
  <w:style w:type="character" w:customStyle="1" w:styleId="cmr-71">
    <w:name w:val="cmr-71"/>
    <w:rsid w:val="005367DD"/>
    <w:rPr>
      <w:sz w:val="17"/>
      <w:szCs w:val="17"/>
    </w:rPr>
  </w:style>
  <w:style w:type="character" w:customStyle="1" w:styleId="cite">
    <w:name w:val="cite"/>
    <w:basedOn w:val="DefaultParagraphFont"/>
    <w:rsid w:val="005367DD"/>
  </w:style>
  <w:style w:type="character" w:customStyle="1" w:styleId="cmmi-101">
    <w:name w:val="cmmi-101"/>
    <w:rsid w:val="005367DD"/>
    <w:rPr>
      <w:i/>
      <w:iCs/>
    </w:rPr>
  </w:style>
  <w:style w:type="character" w:customStyle="1" w:styleId="cmmi-71">
    <w:name w:val="cmmi-71"/>
    <w:rsid w:val="005367DD"/>
    <w:rPr>
      <w:i/>
      <w:iCs/>
      <w:sz w:val="17"/>
      <w:szCs w:val="17"/>
    </w:rPr>
  </w:style>
  <w:style w:type="character" w:customStyle="1" w:styleId="cmbx-101">
    <w:name w:val="cmbx-101"/>
    <w:rsid w:val="005367DD"/>
    <w:rPr>
      <w:b/>
      <w:bCs/>
    </w:rPr>
  </w:style>
  <w:style w:type="character" w:customStyle="1" w:styleId="cmsy-10">
    <w:name w:val="cmsy-10"/>
    <w:basedOn w:val="DefaultParagraphFont"/>
    <w:rsid w:val="005367DD"/>
  </w:style>
  <w:style w:type="character" w:customStyle="1" w:styleId="cmti-101">
    <w:name w:val="cmti-101"/>
    <w:rsid w:val="005367DD"/>
    <w:rPr>
      <w:i/>
      <w:iCs/>
    </w:rPr>
  </w:style>
  <w:style w:type="character" w:customStyle="1" w:styleId="cmsy-71">
    <w:name w:val="cmsy-71"/>
    <w:rsid w:val="005367DD"/>
    <w:rPr>
      <w:sz w:val="17"/>
      <w:szCs w:val="17"/>
    </w:rPr>
  </w:style>
  <w:style w:type="character" w:customStyle="1" w:styleId="content">
    <w:name w:val="content"/>
    <w:basedOn w:val="DefaultParagraphFont"/>
    <w:rsid w:val="005367DD"/>
  </w:style>
  <w:style w:type="character" w:customStyle="1" w:styleId="biblabel">
    <w:name w:val="biblabel"/>
    <w:basedOn w:val="DefaultParagraphFont"/>
    <w:rsid w:val="005367DD"/>
  </w:style>
  <w:style w:type="character" w:customStyle="1" w:styleId="bibsp">
    <w:name w:val="bibsp"/>
    <w:basedOn w:val="DefaultParagraphFont"/>
    <w:rsid w:val="005367DD"/>
  </w:style>
  <w:style w:type="character" w:styleId="Hyperlink">
    <w:name w:val="Hyperlink"/>
    <w:uiPriority w:val="99"/>
    <w:unhideWhenUsed/>
    <w:rsid w:val="00AD0D51"/>
    <w:rPr>
      <w:color w:val="0000FF"/>
      <w:u w:val="single"/>
    </w:rPr>
  </w:style>
  <w:style w:type="paragraph" w:styleId="DocumentMap">
    <w:name w:val="Document Map"/>
    <w:basedOn w:val="Normal"/>
    <w:link w:val="DocumentMapChar"/>
    <w:uiPriority w:val="99"/>
    <w:semiHidden/>
    <w:unhideWhenUsed/>
    <w:rsid w:val="00AD0D51"/>
    <w:rPr>
      <w:rFonts w:ascii="Lucida Grande" w:hAnsi="Lucida Grande" w:cs="Lucida Grande"/>
      <w:sz w:val="24"/>
      <w:szCs w:val="24"/>
    </w:rPr>
  </w:style>
  <w:style w:type="character" w:customStyle="1" w:styleId="DocumentMapChar">
    <w:name w:val="Document Map Char"/>
    <w:link w:val="DocumentMap"/>
    <w:uiPriority w:val="99"/>
    <w:semiHidden/>
    <w:rsid w:val="00AD0D51"/>
    <w:rPr>
      <w:rFonts w:ascii="Lucida Grande" w:hAnsi="Lucida Grande" w:cs="Lucida Grande"/>
    </w:rPr>
  </w:style>
  <w:style w:type="table" w:styleId="TableGrid">
    <w:name w:val="Table Grid"/>
    <w:basedOn w:val="TableNormal"/>
    <w:uiPriority w:val="59"/>
    <w:rsid w:val="00E5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E1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14E18"/>
    <w:rPr>
      <w:rFonts w:ascii="Times New Roman" w:hAnsi="Times New Roman"/>
      <w:sz w:val="18"/>
      <w:szCs w:val="18"/>
    </w:rPr>
  </w:style>
  <w:style w:type="paragraph" w:styleId="PlainText">
    <w:name w:val="Plain Text"/>
    <w:basedOn w:val="Normal"/>
    <w:link w:val="PlainTextChar"/>
    <w:uiPriority w:val="99"/>
    <w:unhideWhenUsed/>
    <w:rsid w:val="00F14E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14E18"/>
    <w:rPr>
      <w:rFonts w:ascii="Consolas" w:eastAsiaTheme="minorHAnsi" w:hAnsi="Consolas" w:cstheme="minorBidi"/>
      <w:sz w:val="21"/>
      <w:szCs w:val="21"/>
    </w:rPr>
  </w:style>
  <w:style w:type="character" w:styleId="PlaceholderText">
    <w:name w:val="Placeholder Text"/>
    <w:basedOn w:val="DefaultParagraphFont"/>
    <w:uiPriority w:val="99"/>
    <w:semiHidden/>
    <w:rsid w:val="007F7EC0"/>
    <w:rPr>
      <w:color w:val="808080"/>
    </w:rPr>
  </w:style>
  <w:style w:type="paragraph" w:styleId="Revision">
    <w:name w:val="Revision"/>
    <w:hidden/>
    <w:uiPriority w:val="99"/>
    <w:semiHidden/>
    <w:rsid w:val="00EC441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60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null)"/><Relationship Id="rId11" Type="http://schemas.openxmlformats.org/officeDocument/2006/relationships/fontTable" Target="fontTable.xml"/><Relationship Id="rId5" Type="http://schemas.openxmlformats.org/officeDocument/2006/relationships/hyperlink" Target="mailto:wwwennie@engineering.ucsb.edu"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ED8F-6CB8-BD4C-B9A5-3721AB8D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Links>
    <vt:vector size="6" baseType="variant">
      <vt:variant>
        <vt:i4>6553624</vt:i4>
      </vt:variant>
      <vt:variant>
        <vt:i4>0</vt:i4>
      </vt:variant>
      <vt:variant>
        <vt:i4>0</vt:i4>
      </vt:variant>
      <vt:variant>
        <vt:i4>5</vt:i4>
      </vt:variant>
      <vt:variant>
        <vt:lpwstr>mailto:wwwennie@engineering.ucsb.edu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Wennie Wang</cp:lastModifiedBy>
  <cp:revision>4</cp:revision>
  <dcterms:created xsi:type="dcterms:W3CDTF">2018-06-04T20:33:00Z</dcterms:created>
  <dcterms:modified xsi:type="dcterms:W3CDTF">2018-06-20T16:48:00Z</dcterms:modified>
</cp:coreProperties>
</file>