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44FBE" w14:textId="18EED4FC" w:rsidR="00437725" w:rsidRDefault="000355B6" w:rsidP="007C64FA">
      <w:pPr>
        <w:jc w:val="center"/>
        <w:rPr>
          <w:b/>
          <w:sz w:val="24"/>
          <w:lang w:val="en-US"/>
        </w:rPr>
      </w:pPr>
      <w:r>
        <w:rPr>
          <w:b/>
          <w:sz w:val="24"/>
          <w:lang w:val="en-US"/>
        </w:rPr>
        <w:t>SUPPLEMENTARY MATERIAL</w:t>
      </w:r>
    </w:p>
    <w:p w14:paraId="4803DF80" w14:textId="77777777" w:rsidR="00B823D1" w:rsidRDefault="00B823D1" w:rsidP="00B823D1">
      <w:pPr>
        <w:jc w:val="center"/>
        <w:rPr>
          <w:b/>
          <w:sz w:val="24"/>
          <w:lang w:val="en-US"/>
        </w:rPr>
      </w:pPr>
    </w:p>
    <w:p w14:paraId="57A2032C" w14:textId="77777777" w:rsidR="00B823D1" w:rsidRDefault="00B823D1" w:rsidP="00B823D1">
      <w:pPr>
        <w:jc w:val="center"/>
        <w:rPr>
          <w:b/>
          <w:sz w:val="24"/>
          <w:lang w:val="en-US"/>
        </w:rPr>
      </w:pPr>
    </w:p>
    <w:p w14:paraId="7D60885F" w14:textId="77777777" w:rsidR="00B823D1" w:rsidRPr="00870C92" w:rsidRDefault="00B823D1" w:rsidP="00B823D1">
      <w:pPr>
        <w:jc w:val="both"/>
        <w:textAlignment w:val="baseline"/>
        <w:rPr>
          <w:rFonts w:ascii="inherit" w:eastAsia="Times New Roman" w:hAnsi="inherit"/>
          <w:color w:val="333333"/>
          <w:sz w:val="24"/>
          <w:lang w:val="en-US"/>
        </w:rPr>
      </w:pPr>
      <w:r w:rsidRPr="00870C92">
        <w:rPr>
          <w:rFonts w:ascii="inherit" w:eastAsia="Times New Roman" w:hAnsi="inherit"/>
          <w:b/>
          <w:bCs/>
          <w:color w:val="333333"/>
          <w:sz w:val="24"/>
          <w:bdr w:val="none" w:sz="0" w:space="0" w:color="auto" w:frame="1"/>
          <w:lang w:val="en-US"/>
        </w:rPr>
        <w:t>Light triggered modulation of cell antioxidant defense by polymer semiconducting nanoparticles</w:t>
      </w:r>
      <w:r>
        <w:rPr>
          <w:rFonts w:ascii="inherit" w:eastAsia="Times New Roman" w:hAnsi="inherit"/>
          <w:b/>
          <w:bCs/>
          <w:color w:val="333333"/>
          <w:sz w:val="24"/>
          <w:bdr w:val="none" w:sz="0" w:space="0" w:color="auto" w:frame="1"/>
          <w:lang w:val="en-US"/>
        </w:rPr>
        <w:t xml:space="preserve"> in a model organism</w:t>
      </w:r>
    </w:p>
    <w:p w14:paraId="7B5C9919" w14:textId="77777777" w:rsidR="00B823D1" w:rsidRDefault="00B823D1" w:rsidP="00B823D1">
      <w:pPr>
        <w:ind w:left="720"/>
        <w:jc w:val="both"/>
        <w:textAlignment w:val="baseline"/>
        <w:rPr>
          <w:rFonts w:ascii="inherit" w:eastAsia="Times New Roman" w:hAnsi="inherit"/>
          <w:color w:val="333333"/>
          <w:sz w:val="24"/>
          <w:lang w:val="en-US"/>
        </w:rPr>
      </w:pPr>
    </w:p>
    <w:p w14:paraId="2A6A4633" w14:textId="77777777" w:rsidR="00B823D1" w:rsidRPr="00544E51" w:rsidRDefault="00B823D1" w:rsidP="00B823D1">
      <w:pPr>
        <w:ind w:left="720"/>
        <w:jc w:val="both"/>
        <w:textAlignment w:val="baseline"/>
        <w:rPr>
          <w:rFonts w:ascii="inherit" w:eastAsia="Times New Roman" w:hAnsi="inherit"/>
          <w:color w:val="000000" w:themeColor="text1"/>
          <w:sz w:val="24"/>
          <w:lang w:val="it-IT"/>
        </w:rPr>
      </w:pPr>
      <w:proofErr w:type="gramStart"/>
      <w:r w:rsidRPr="00544E51">
        <w:rPr>
          <w:rFonts w:ascii="inherit" w:eastAsia="Times New Roman" w:hAnsi="inherit"/>
          <w:color w:val="000000" w:themeColor="text1"/>
          <w:sz w:val="24"/>
          <w:lang w:val="it-IT"/>
        </w:rPr>
        <w:t>Maria Moros</w:t>
      </w:r>
      <w:r w:rsidRPr="00544E51">
        <w:rPr>
          <w:rFonts w:ascii="inherit" w:eastAsia="Times New Roman" w:hAnsi="inherit"/>
          <w:color w:val="000000" w:themeColor="text1"/>
          <w:sz w:val="24"/>
          <w:vertAlign w:val="superscript"/>
          <w:lang w:val="it-IT"/>
        </w:rPr>
        <w:t>1</w:t>
      </w:r>
      <w:r w:rsidRPr="00544E51">
        <w:rPr>
          <w:rFonts w:ascii="Lucida Grande" w:eastAsia="Times New Roman" w:hAnsi="Lucida Grande" w:cs="Lucida Grande"/>
          <w:color w:val="000000" w:themeColor="text1"/>
          <w:sz w:val="24"/>
          <w:vertAlign w:val="superscript"/>
          <w:lang w:val="it-IT"/>
        </w:rPr>
        <w:t>§*</w:t>
      </w:r>
      <w:r w:rsidRPr="00544E51">
        <w:rPr>
          <w:rFonts w:ascii="Lucida Grande" w:eastAsia="Times New Roman" w:hAnsi="Lucida Grande" w:cs="Lucida Grande"/>
          <w:color w:val="000000" w:themeColor="text1"/>
          <w:sz w:val="24"/>
          <w:lang w:val="it-IT"/>
        </w:rPr>
        <w:t>,</w:t>
      </w:r>
      <w:r w:rsidRPr="00544E51">
        <w:rPr>
          <w:rFonts w:ascii="inherit" w:eastAsia="Times New Roman" w:hAnsi="inherit"/>
          <w:color w:val="000000" w:themeColor="text1"/>
          <w:sz w:val="24"/>
          <w:lang w:val="it-IT"/>
        </w:rPr>
        <w:t xml:space="preserve"> Anna Lewinska</w:t>
      </w:r>
      <w:r w:rsidRPr="00544E51">
        <w:rPr>
          <w:rFonts w:ascii="inherit" w:eastAsia="Times New Roman" w:hAnsi="inherit"/>
          <w:color w:val="000000" w:themeColor="text1"/>
          <w:sz w:val="24"/>
          <w:vertAlign w:val="superscript"/>
          <w:lang w:val="it-IT"/>
        </w:rPr>
        <w:t>2</w:t>
      </w:r>
      <w:r w:rsidRPr="00544E51">
        <w:rPr>
          <w:rFonts w:ascii="Lucida Grande" w:eastAsia="Times New Roman" w:hAnsi="Lucida Grande" w:cs="Lucida Grande"/>
          <w:color w:val="000000" w:themeColor="text1"/>
          <w:sz w:val="24"/>
          <w:vertAlign w:val="superscript"/>
          <w:lang w:val="it-IT"/>
        </w:rPr>
        <w:t>§</w:t>
      </w:r>
      <w:r w:rsidRPr="00544E51">
        <w:rPr>
          <w:rFonts w:ascii="inherit" w:eastAsia="Times New Roman" w:hAnsi="inherit"/>
          <w:color w:val="000000" w:themeColor="text1"/>
          <w:sz w:val="24"/>
          <w:lang w:val="it-IT"/>
        </w:rPr>
        <w:t>, Giada Onorato</w:t>
      </w:r>
      <w:r w:rsidRPr="00544E51">
        <w:rPr>
          <w:rFonts w:ascii="inherit" w:eastAsia="Times New Roman" w:hAnsi="inherit"/>
          <w:color w:val="000000" w:themeColor="text1"/>
          <w:sz w:val="24"/>
          <w:vertAlign w:val="superscript"/>
          <w:lang w:val="it-IT"/>
        </w:rPr>
        <w:t>1</w:t>
      </w:r>
      <w:r w:rsidRPr="00544E51">
        <w:rPr>
          <w:rFonts w:ascii="inherit" w:eastAsia="Times New Roman" w:hAnsi="inherit"/>
          <w:color w:val="000000" w:themeColor="text1"/>
          <w:sz w:val="24"/>
          <w:lang w:val="it-IT"/>
        </w:rPr>
        <w:t>, Maria Rosa Antognazza</w:t>
      </w:r>
      <w:r w:rsidRPr="00544E51">
        <w:rPr>
          <w:rFonts w:ascii="inherit" w:eastAsia="Times New Roman" w:hAnsi="inherit"/>
          <w:color w:val="000000" w:themeColor="text1"/>
          <w:sz w:val="24"/>
          <w:vertAlign w:val="superscript"/>
          <w:lang w:val="it-IT"/>
        </w:rPr>
        <w:t>3</w:t>
      </w:r>
      <w:r w:rsidRPr="00544E51">
        <w:rPr>
          <w:rFonts w:ascii="inherit" w:eastAsia="Times New Roman" w:hAnsi="inherit"/>
          <w:color w:val="000000" w:themeColor="text1"/>
          <w:sz w:val="24"/>
          <w:lang w:val="it-IT"/>
        </w:rPr>
        <w:t>, Francesca Di Maria</w:t>
      </w:r>
      <w:r w:rsidRPr="00544E51">
        <w:rPr>
          <w:rFonts w:ascii="inherit" w:eastAsia="Times New Roman" w:hAnsi="inherit"/>
          <w:color w:val="000000" w:themeColor="text1"/>
          <w:sz w:val="24"/>
          <w:vertAlign w:val="superscript"/>
          <w:lang w:val="it-IT"/>
        </w:rPr>
        <w:t>4</w:t>
      </w:r>
      <w:r w:rsidRPr="00544E51">
        <w:rPr>
          <w:rFonts w:ascii="inherit" w:eastAsia="Times New Roman" w:hAnsi="inherit"/>
          <w:color w:val="000000" w:themeColor="text1"/>
          <w:sz w:val="24"/>
          <w:lang w:val="it-IT"/>
        </w:rPr>
        <w:t>, Martina Blasio</w:t>
      </w:r>
      <w:r w:rsidRPr="00544E51">
        <w:rPr>
          <w:rFonts w:ascii="inherit" w:eastAsia="Times New Roman" w:hAnsi="inherit"/>
          <w:color w:val="000000" w:themeColor="text1"/>
          <w:sz w:val="24"/>
          <w:vertAlign w:val="superscript"/>
          <w:lang w:val="it-IT"/>
        </w:rPr>
        <w:t>1</w:t>
      </w:r>
      <w:r w:rsidRPr="00544E51">
        <w:rPr>
          <w:rFonts w:ascii="inherit" w:eastAsia="Times New Roman" w:hAnsi="inherit"/>
          <w:color w:val="000000" w:themeColor="text1"/>
          <w:sz w:val="24"/>
          <w:lang w:val="it-IT"/>
        </w:rPr>
        <w:t>, Guglielmo Lanzani</w:t>
      </w:r>
      <w:r w:rsidRPr="00544E51">
        <w:rPr>
          <w:rFonts w:ascii="inherit" w:eastAsia="Times New Roman" w:hAnsi="inherit"/>
          <w:color w:val="000000" w:themeColor="text1"/>
          <w:sz w:val="24"/>
          <w:vertAlign w:val="superscript"/>
          <w:lang w:val="it-IT"/>
        </w:rPr>
        <w:t>3,5</w:t>
      </w:r>
      <w:r w:rsidRPr="00544E51">
        <w:rPr>
          <w:rFonts w:ascii="inherit" w:eastAsia="Times New Roman" w:hAnsi="inherit"/>
          <w:color w:val="000000" w:themeColor="text1"/>
          <w:sz w:val="24"/>
          <w:lang w:val="it-IT"/>
        </w:rPr>
        <w:t xml:space="preserve">, Angela </w:t>
      </w:r>
      <w:proofErr w:type="gramEnd"/>
      <w:r w:rsidRPr="00544E51">
        <w:rPr>
          <w:rFonts w:ascii="inherit" w:eastAsia="Times New Roman" w:hAnsi="inherit"/>
          <w:color w:val="000000" w:themeColor="text1"/>
          <w:sz w:val="24"/>
          <w:lang w:val="it-IT"/>
        </w:rPr>
        <w:t>Tino</w:t>
      </w:r>
      <w:r w:rsidRPr="00544E51">
        <w:rPr>
          <w:rFonts w:ascii="inherit" w:eastAsia="Times New Roman" w:hAnsi="inherit"/>
          <w:color w:val="000000" w:themeColor="text1"/>
          <w:sz w:val="24"/>
          <w:vertAlign w:val="superscript"/>
          <w:lang w:val="it-IT"/>
        </w:rPr>
        <w:t>1</w:t>
      </w:r>
      <w:r w:rsidRPr="00544E51">
        <w:rPr>
          <w:rFonts w:ascii="inherit" w:eastAsia="Times New Roman" w:hAnsi="inherit"/>
          <w:color w:val="000000" w:themeColor="text1"/>
          <w:sz w:val="24"/>
          <w:lang w:val="it-IT"/>
        </w:rPr>
        <w:t xml:space="preserve">, </w:t>
      </w:r>
      <w:proofErr w:type="spellStart"/>
      <w:r w:rsidRPr="00544E51">
        <w:rPr>
          <w:rFonts w:ascii="inherit" w:eastAsia="Times New Roman" w:hAnsi="inherit"/>
          <w:color w:val="000000" w:themeColor="text1"/>
          <w:sz w:val="24"/>
          <w:lang w:val="it-IT"/>
        </w:rPr>
        <w:t>Maciej</w:t>
      </w:r>
      <w:proofErr w:type="spellEnd"/>
      <w:r w:rsidRPr="00544E51">
        <w:rPr>
          <w:rFonts w:ascii="inherit" w:eastAsia="Times New Roman" w:hAnsi="inherit"/>
          <w:color w:val="000000" w:themeColor="text1"/>
          <w:sz w:val="24"/>
          <w:lang w:val="it-IT"/>
        </w:rPr>
        <w:t xml:space="preserve"> Wnuk</w:t>
      </w:r>
      <w:r>
        <w:rPr>
          <w:rFonts w:ascii="inherit" w:eastAsia="Times New Roman" w:hAnsi="inherit"/>
          <w:color w:val="000000" w:themeColor="text1"/>
          <w:sz w:val="24"/>
          <w:vertAlign w:val="superscript"/>
          <w:lang w:val="it-IT"/>
        </w:rPr>
        <w:t>6</w:t>
      </w:r>
      <w:r w:rsidRPr="00544E51">
        <w:rPr>
          <w:rFonts w:ascii="inherit" w:eastAsia="Times New Roman" w:hAnsi="inherit"/>
          <w:color w:val="000000" w:themeColor="text1"/>
          <w:sz w:val="24"/>
          <w:lang w:val="it-IT"/>
        </w:rPr>
        <w:t>, Claudia Tortiglione</w:t>
      </w:r>
      <w:r w:rsidRPr="00544E51">
        <w:rPr>
          <w:rFonts w:ascii="inherit" w:eastAsia="Times New Roman" w:hAnsi="inherit"/>
          <w:color w:val="000000" w:themeColor="text1"/>
          <w:sz w:val="24"/>
          <w:vertAlign w:val="superscript"/>
          <w:lang w:val="it-IT"/>
        </w:rPr>
        <w:t>1</w:t>
      </w:r>
      <w:r>
        <w:rPr>
          <w:rFonts w:ascii="ＭＳ ゴシック" w:eastAsia="ＭＳ ゴシック" w:hAnsi="ＭＳ ゴシック" w:hint="eastAsia"/>
          <w:color w:val="000000" w:themeColor="text1"/>
          <w:sz w:val="24"/>
          <w:vertAlign w:val="superscript"/>
          <w:lang w:val="it-IT"/>
        </w:rPr>
        <w:t>♯</w:t>
      </w:r>
    </w:p>
    <w:p w14:paraId="4A13DE94" w14:textId="77777777" w:rsidR="00B823D1" w:rsidRPr="00544E51" w:rsidRDefault="00B823D1" w:rsidP="00B823D1">
      <w:pPr>
        <w:pStyle w:val="Paragrafoelenco"/>
        <w:spacing w:line="360" w:lineRule="auto"/>
        <w:ind w:left="0"/>
        <w:rPr>
          <w:color w:val="000000" w:themeColor="text1"/>
          <w:sz w:val="22"/>
          <w:szCs w:val="22"/>
          <w:lang w:val="it-IT"/>
        </w:rPr>
      </w:pPr>
      <w:r w:rsidRPr="00544E51">
        <w:rPr>
          <w:color w:val="000000" w:themeColor="text1"/>
          <w:sz w:val="22"/>
          <w:szCs w:val="22"/>
          <w:vertAlign w:val="superscript"/>
          <w:lang w:val="it-IT"/>
        </w:rPr>
        <w:t>1</w:t>
      </w:r>
      <w:r w:rsidRPr="00544E51">
        <w:rPr>
          <w:color w:val="000000" w:themeColor="text1"/>
          <w:sz w:val="22"/>
          <w:szCs w:val="22"/>
          <w:lang w:val="it-IT"/>
        </w:rPr>
        <w:t>Istituto di Scienze Applicate e Sistemi Intelligenti “</w:t>
      </w:r>
      <w:proofErr w:type="gramStart"/>
      <w:r w:rsidRPr="00544E51">
        <w:rPr>
          <w:color w:val="000000" w:themeColor="text1"/>
          <w:sz w:val="22"/>
          <w:szCs w:val="22"/>
          <w:lang w:val="it-IT"/>
        </w:rPr>
        <w:t>E.</w:t>
      </w:r>
      <w:proofErr w:type="gramEnd"/>
      <w:r w:rsidRPr="00544E51">
        <w:rPr>
          <w:color w:val="000000" w:themeColor="text1"/>
          <w:sz w:val="22"/>
          <w:szCs w:val="22"/>
          <w:lang w:val="it-IT"/>
        </w:rPr>
        <w:t xml:space="preserve"> Caianiello”, Consiglio Nazionale delle Ricerche, Via Campi Flegrei 34, 80078 Pozzuoli, </w:t>
      </w:r>
      <w:proofErr w:type="spellStart"/>
      <w:r w:rsidRPr="00544E51">
        <w:rPr>
          <w:color w:val="000000" w:themeColor="text1"/>
          <w:sz w:val="22"/>
          <w:szCs w:val="22"/>
          <w:lang w:val="it-IT"/>
        </w:rPr>
        <w:t>Italy</w:t>
      </w:r>
      <w:proofErr w:type="spellEnd"/>
    </w:p>
    <w:p w14:paraId="774EBB9D" w14:textId="77777777" w:rsidR="00B823D1" w:rsidRPr="00544E51" w:rsidRDefault="00B823D1" w:rsidP="00B823D1">
      <w:pPr>
        <w:pStyle w:val="Paragrafoelenco"/>
        <w:spacing w:line="360" w:lineRule="auto"/>
        <w:ind w:left="0"/>
        <w:rPr>
          <w:color w:val="000000" w:themeColor="text1"/>
          <w:sz w:val="22"/>
          <w:szCs w:val="22"/>
          <w:lang w:val="it-IT"/>
        </w:rPr>
      </w:pPr>
      <w:proofErr w:type="gramStart"/>
      <w:r w:rsidRPr="00544E51">
        <w:rPr>
          <w:color w:val="000000" w:themeColor="text1"/>
          <w:sz w:val="22"/>
          <w:szCs w:val="22"/>
          <w:vertAlign w:val="superscript"/>
          <w:lang w:val="it-IT"/>
        </w:rPr>
        <w:t>2</w:t>
      </w:r>
      <w:r w:rsidRPr="00544E51">
        <w:rPr>
          <w:color w:val="000000" w:themeColor="text1"/>
          <w:sz w:val="22"/>
          <w:szCs w:val="22"/>
          <w:lang w:val="it-IT"/>
        </w:rPr>
        <w:t xml:space="preserve">Department of Cell </w:t>
      </w:r>
      <w:proofErr w:type="spellStart"/>
      <w:r w:rsidRPr="00544E51">
        <w:rPr>
          <w:color w:val="000000" w:themeColor="text1"/>
          <w:sz w:val="22"/>
          <w:szCs w:val="22"/>
          <w:lang w:val="it-IT"/>
        </w:rPr>
        <w:t>Biochemistry</w:t>
      </w:r>
      <w:proofErr w:type="spellEnd"/>
      <w:r w:rsidRPr="00544E51">
        <w:rPr>
          <w:color w:val="000000" w:themeColor="text1"/>
          <w:sz w:val="22"/>
          <w:szCs w:val="22"/>
          <w:lang w:val="it-IT"/>
        </w:rPr>
        <w:t xml:space="preserve">, </w:t>
      </w:r>
      <w:proofErr w:type="spellStart"/>
      <w:r w:rsidRPr="00544E51">
        <w:rPr>
          <w:color w:val="000000" w:themeColor="text1"/>
          <w:sz w:val="22"/>
          <w:szCs w:val="22"/>
          <w:lang w:val="it-IT"/>
        </w:rPr>
        <w:t>Faculty</w:t>
      </w:r>
      <w:proofErr w:type="spellEnd"/>
      <w:r w:rsidRPr="00544E51">
        <w:rPr>
          <w:color w:val="000000" w:themeColor="text1"/>
          <w:sz w:val="22"/>
          <w:szCs w:val="22"/>
          <w:lang w:val="it-IT"/>
        </w:rPr>
        <w:t xml:space="preserve"> of </w:t>
      </w:r>
      <w:proofErr w:type="spellStart"/>
      <w:r w:rsidRPr="00544E51">
        <w:rPr>
          <w:color w:val="000000" w:themeColor="text1"/>
          <w:sz w:val="22"/>
          <w:szCs w:val="22"/>
          <w:lang w:val="it-IT"/>
        </w:rPr>
        <w:t>Biotechnology</w:t>
      </w:r>
      <w:proofErr w:type="spellEnd"/>
      <w:r w:rsidRPr="00544E51">
        <w:rPr>
          <w:color w:val="000000" w:themeColor="text1"/>
          <w:sz w:val="22"/>
          <w:szCs w:val="22"/>
          <w:lang w:val="it-IT"/>
        </w:rPr>
        <w:t xml:space="preserve">, </w:t>
      </w:r>
      <w:proofErr w:type="spellStart"/>
      <w:r w:rsidRPr="00544E51">
        <w:rPr>
          <w:color w:val="000000" w:themeColor="text1"/>
          <w:sz w:val="22"/>
          <w:szCs w:val="22"/>
          <w:lang w:val="it-IT"/>
        </w:rPr>
        <w:t>University</w:t>
      </w:r>
      <w:proofErr w:type="spellEnd"/>
      <w:r w:rsidRPr="00544E51">
        <w:rPr>
          <w:color w:val="000000" w:themeColor="text1"/>
          <w:sz w:val="22"/>
          <w:szCs w:val="22"/>
          <w:lang w:val="it-IT"/>
        </w:rPr>
        <w:t xml:space="preserve"> of </w:t>
      </w:r>
      <w:proofErr w:type="spellStart"/>
      <w:r w:rsidRPr="00544E51">
        <w:rPr>
          <w:color w:val="000000" w:themeColor="text1"/>
          <w:sz w:val="22"/>
          <w:szCs w:val="22"/>
          <w:lang w:val="it-IT"/>
        </w:rPr>
        <w:t>Rzeszow</w:t>
      </w:r>
      <w:proofErr w:type="spellEnd"/>
      <w:r w:rsidRPr="00544E51">
        <w:rPr>
          <w:color w:val="000000" w:themeColor="text1"/>
          <w:sz w:val="22"/>
          <w:szCs w:val="22"/>
          <w:lang w:val="it-IT"/>
        </w:rPr>
        <w:t xml:space="preserve">, </w:t>
      </w:r>
      <w:proofErr w:type="spellStart"/>
      <w:r w:rsidRPr="00544E51">
        <w:rPr>
          <w:color w:val="000000" w:themeColor="text1"/>
          <w:sz w:val="22"/>
          <w:szCs w:val="22"/>
          <w:lang w:val="it-IT"/>
        </w:rPr>
        <w:t>Pigonia</w:t>
      </w:r>
      <w:proofErr w:type="spellEnd"/>
      <w:r w:rsidRPr="00544E51">
        <w:rPr>
          <w:color w:val="000000" w:themeColor="text1"/>
          <w:sz w:val="22"/>
          <w:szCs w:val="22"/>
          <w:lang w:val="it-IT"/>
        </w:rPr>
        <w:t xml:space="preserve"> 1, 35-310 </w:t>
      </w:r>
      <w:proofErr w:type="spellStart"/>
      <w:r w:rsidRPr="00544E51">
        <w:rPr>
          <w:color w:val="000000" w:themeColor="text1"/>
          <w:sz w:val="22"/>
          <w:szCs w:val="22"/>
          <w:lang w:val="it-IT"/>
        </w:rPr>
        <w:t>Rzeszow</w:t>
      </w:r>
      <w:proofErr w:type="spellEnd"/>
      <w:r w:rsidRPr="00544E51">
        <w:rPr>
          <w:color w:val="000000" w:themeColor="text1"/>
          <w:sz w:val="22"/>
          <w:szCs w:val="22"/>
          <w:lang w:val="it-IT"/>
        </w:rPr>
        <w:t>, Poland</w:t>
      </w:r>
      <w:proofErr w:type="gramEnd"/>
    </w:p>
    <w:p w14:paraId="22806CCC" w14:textId="77777777" w:rsidR="00B823D1" w:rsidRPr="00544E51" w:rsidRDefault="00B823D1" w:rsidP="00B823D1">
      <w:pPr>
        <w:pStyle w:val="Paragrafoelenco"/>
        <w:spacing w:line="360" w:lineRule="auto"/>
        <w:ind w:left="0"/>
        <w:rPr>
          <w:color w:val="000000" w:themeColor="text1"/>
          <w:sz w:val="22"/>
          <w:szCs w:val="22"/>
          <w:lang w:val="it-IT"/>
        </w:rPr>
      </w:pPr>
      <w:proofErr w:type="gramStart"/>
      <w:r w:rsidRPr="00544E51">
        <w:rPr>
          <w:color w:val="000000" w:themeColor="text1"/>
          <w:sz w:val="22"/>
          <w:szCs w:val="22"/>
          <w:vertAlign w:val="superscript"/>
          <w:lang w:val="it-IT"/>
        </w:rPr>
        <w:t>3</w:t>
      </w:r>
      <w:r w:rsidRPr="00544E51">
        <w:rPr>
          <w:color w:val="000000" w:themeColor="text1"/>
          <w:sz w:val="22"/>
          <w:szCs w:val="22"/>
          <w:lang w:val="it-IT"/>
        </w:rPr>
        <w:t>Center for Nano Science and Technology @</w:t>
      </w:r>
      <w:proofErr w:type="spellStart"/>
      <w:r w:rsidRPr="00544E51">
        <w:rPr>
          <w:color w:val="000000" w:themeColor="text1"/>
          <w:sz w:val="22"/>
          <w:szCs w:val="22"/>
          <w:lang w:val="it-IT"/>
        </w:rPr>
        <w:t>PoliMi</w:t>
      </w:r>
      <w:proofErr w:type="spellEnd"/>
      <w:r w:rsidRPr="00544E51">
        <w:rPr>
          <w:color w:val="000000" w:themeColor="text1"/>
          <w:sz w:val="22"/>
          <w:szCs w:val="22"/>
          <w:lang w:val="it-IT"/>
        </w:rPr>
        <w:t xml:space="preserve">, Istituto Italiano di Tecnologia, Via Pascoli 70/3, 20133 Milano, </w:t>
      </w:r>
      <w:proofErr w:type="spellStart"/>
      <w:r w:rsidRPr="00544E51">
        <w:rPr>
          <w:color w:val="000000" w:themeColor="text1"/>
          <w:sz w:val="22"/>
          <w:szCs w:val="22"/>
          <w:lang w:val="it-IT"/>
        </w:rPr>
        <w:t>Italy</w:t>
      </w:r>
      <w:proofErr w:type="spellEnd"/>
      <w:proofErr w:type="gramEnd"/>
    </w:p>
    <w:p w14:paraId="33DAA434" w14:textId="77777777" w:rsidR="00B823D1" w:rsidRPr="00544E51" w:rsidRDefault="00B823D1" w:rsidP="00B823D1">
      <w:pPr>
        <w:pStyle w:val="Paragrafoelenco"/>
        <w:spacing w:line="360" w:lineRule="auto"/>
        <w:ind w:left="0"/>
        <w:rPr>
          <w:color w:val="000000" w:themeColor="text1"/>
          <w:sz w:val="22"/>
          <w:szCs w:val="22"/>
          <w:lang w:val="it-IT"/>
        </w:rPr>
      </w:pPr>
      <w:proofErr w:type="gramStart"/>
      <w:r w:rsidRPr="00544E51">
        <w:rPr>
          <w:color w:val="000000" w:themeColor="text1"/>
          <w:sz w:val="22"/>
          <w:szCs w:val="22"/>
          <w:vertAlign w:val="superscript"/>
          <w:lang w:val="it-IT"/>
        </w:rPr>
        <w:t>4</w:t>
      </w:r>
      <w:r w:rsidRPr="00544E51">
        <w:rPr>
          <w:color w:val="000000" w:themeColor="text1"/>
          <w:sz w:val="22"/>
          <w:szCs w:val="22"/>
          <w:lang w:val="it-IT"/>
        </w:rPr>
        <w:t xml:space="preserve">Istituto per la Sintesi Organica e la </w:t>
      </w:r>
      <w:proofErr w:type="spellStart"/>
      <w:r w:rsidRPr="00544E51">
        <w:rPr>
          <w:color w:val="000000" w:themeColor="text1"/>
          <w:sz w:val="22"/>
          <w:szCs w:val="22"/>
          <w:lang w:val="it-IT"/>
        </w:rPr>
        <w:t>Fotoreattivita</w:t>
      </w:r>
      <w:proofErr w:type="spellEnd"/>
      <w:r w:rsidRPr="00544E51">
        <w:rPr>
          <w:color w:val="000000" w:themeColor="text1"/>
          <w:sz w:val="22"/>
          <w:szCs w:val="22"/>
          <w:lang w:val="it-IT"/>
        </w:rPr>
        <w:t xml:space="preserve">’, Consiglio Nazionale delle Ricerche, Via P. Gobetti 101, 40129 Bologna, </w:t>
      </w:r>
      <w:proofErr w:type="spellStart"/>
      <w:r w:rsidRPr="00544E51">
        <w:rPr>
          <w:color w:val="000000" w:themeColor="text1"/>
          <w:sz w:val="22"/>
          <w:szCs w:val="22"/>
          <w:lang w:val="it-IT"/>
        </w:rPr>
        <w:t>Italy</w:t>
      </w:r>
      <w:proofErr w:type="spellEnd"/>
      <w:proofErr w:type="gramEnd"/>
    </w:p>
    <w:p w14:paraId="65DA2D6A" w14:textId="77777777" w:rsidR="00B823D1" w:rsidRPr="00544E51" w:rsidRDefault="00B823D1" w:rsidP="00B823D1">
      <w:pPr>
        <w:pStyle w:val="Paragrafoelenco"/>
        <w:spacing w:line="360" w:lineRule="auto"/>
        <w:ind w:left="0"/>
        <w:rPr>
          <w:color w:val="000000" w:themeColor="text1"/>
          <w:sz w:val="22"/>
          <w:szCs w:val="22"/>
          <w:lang w:val="it-IT"/>
        </w:rPr>
      </w:pPr>
      <w:r w:rsidRPr="00544E51">
        <w:rPr>
          <w:color w:val="000000" w:themeColor="text1"/>
          <w:sz w:val="22"/>
          <w:szCs w:val="22"/>
          <w:vertAlign w:val="superscript"/>
          <w:lang w:val="it-IT"/>
        </w:rPr>
        <w:t>5</w:t>
      </w:r>
      <w:r w:rsidRPr="00544E51">
        <w:rPr>
          <w:color w:val="000000" w:themeColor="text1"/>
          <w:sz w:val="22"/>
          <w:szCs w:val="22"/>
          <w:lang w:val="it-IT"/>
        </w:rPr>
        <w:t xml:space="preserve">Department of </w:t>
      </w:r>
      <w:proofErr w:type="spellStart"/>
      <w:r w:rsidRPr="00544E51">
        <w:rPr>
          <w:color w:val="000000" w:themeColor="text1"/>
          <w:sz w:val="22"/>
          <w:szCs w:val="22"/>
          <w:lang w:val="it-IT"/>
        </w:rPr>
        <w:t>Physics</w:t>
      </w:r>
      <w:proofErr w:type="spellEnd"/>
      <w:r w:rsidRPr="00544E51">
        <w:rPr>
          <w:color w:val="000000" w:themeColor="text1"/>
          <w:sz w:val="22"/>
          <w:szCs w:val="22"/>
          <w:lang w:val="it-IT"/>
        </w:rPr>
        <w:t xml:space="preserve">, Politecnico di Milano, P.zza L. da Vinci </w:t>
      </w:r>
      <w:proofErr w:type="gramStart"/>
      <w:r w:rsidRPr="00544E51">
        <w:rPr>
          <w:color w:val="000000" w:themeColor="text1"/>
          <w:sz w:val="22"/>
          <w:szCs w:val="22"/>
          <w:lang w:val="it-IT"/>
        </w:rPr>
        <w:t>32</w:t>
      </w:r>
      <w:proofErr w:type="gramEnd"/>
      <w:r w:rsidRPr="00544E51">
        <w:rPr>
          <w:color w:val="000000" w:themeColor="text1"/>
          <w:sz w:val="22"/>
          <w:szCs w:val="22"/>
          <w:lang w:val="it-IT"/>
        </w:rPr>
        <w:t xml:space="preserve">, 20133 Milano, </w:t>
      </w:r>
      <w:proofErr w:type="spellStart"/>
      <w:r w:rsidRPr="00544E51">
        <w:rPr>
          <w:color w:val="000000" w:themeColor="text1"/>
          <w:sz w:val="22"/>
          <w:szCs w:val="22"/>
          <w:lang w:val="it-IT"/>
        </w:rPr>
        <w:t>Italy</w:t>
      </w:r>
      <w:proofErr w:type="spellEnd"/>
    </w:p>
    <w:p w14:paraId="7E0D2321" w14:textId="77777777" w:rsidR="00B823D1" w:rsidRPr="00544E51" w:rsidRDefault="00B823D1" w:rsidP="00B823D1">
      <w:pPr>
        <w:pStyle w:val="Paragrafoelenco"/>
        <w:spacing w:line="360" w:lineRule="auto"/>
        <w:ind w:left="0"/>
        <w:rPr>
          <w:color w:val="000000" w:themeColor="text1"/>
          <w:sz w:val="22"/>
          <w:szCs w:val="22"/>
          <w:lang w:val="it-IT"/>
        </w:rPr>
      </w:pPr>
      <w:proofErr w:type="gramStart"/>
      <w:r w:rsidRPr="00544E51">
        <w:rPr>
          <w:color w:val="000000" w:themeColor="text1"/>
          <w:sz w:val="22"/>
          <w:szCs w:val="22"/>
          <w:vertAlign w:val="superscript"/>
          <w:lang w:val="it-IT"/>
        </w:rPr>
        <w:t>6</w:t>
      </w:r>
      <w:r w:rsidRPr="00544E51">
        <w:rPr>
          <w:color w:val="000000" w:themeColor="text1"/>
          <w:sz w:val="22"/>
          <w:szCs w:val="22"/>
          <w:lang w:val="it-IT"/>
        </w:rPr>
        <w:t xml:space="preserve">Department of Genetics, </w:t>
      </w:r>
      <w:proofErr w:type="spellStart"/>
      <w:r w:rsidRPr="00544E51">
        <w:rPr>
          <w:color w:val="000000" w:themeColor="text1"/>
          <w:sz w:val="22"/>
          <w:szCs w:val="22"/>
          <w:lang w:val="it-IT"/>
        </w:rPr>
        <w:t>Faculty</w:t>
      </w:r>
      <w:proofErr w:type="spellEnd"/>
      <w:r w:rsidRPr="00544E51">
        <w:rPr>
          <w:color w:val="000000" w:themeColor="text1"/>
          <w:sz w:val="22"/>
          <w:szCs w:val="22"/>
          <w:lang w:val="it-IT"/>
        </w:rPr>
        <w:t xml:space="preserve"> of </w:t>
      </w:r>
      <w:proofErr w:type="spellStart"/>
      <w:r w:rsidRPr="00544E51">
        <w:rPr>
          <w:color w:val="000000" w:themeColor="text1"/>
          <w:sz w:val="22"/>
          <w:szCs w:val="22"/>
          <w:lang w:val="it-IT"/>
        </w:rPr>
        <w:t>Biotechnology</w:t>
      </w:r>
      <w:proofErr w:type="spellEnd"/>
      <w:r w:rsidRPr="00544E51">
        <w:rPr>
          <w:color w:val="000000" w:themeColor="text1"/>
          <w:sz w:val="22"/>
          <w:szCs w:val="22"/>
          <w:lang w:val="it-IT"/>
        </w:rPr>
        <w:t xml:space="preserve">, </w:t>
      </w:r>
      <w:proofErr w:type="spellStart"/>
      <w:r w:rsidRPr="00544E51">
        <w:rPr>
          <w:color w:val="000000" w:themeColor="text1"/>
          <w:sz w:val="22"/>
          <w:szCs w:val="22"/>
          <w:lang w:val="it-IT"/>
        </w:rPr>
        <w:t>University</w:t>
      </w:r>
      <w:proofErr w:type="spellEnd"/>
      <w:r w:rsidRPr="00544E51">
        <w:rPr>
          <w:color w:val="000000" w:themeColor="text1"/>
          <w:sz w:val="22"/>
          <w:szCs w:val="22"/>
          <w:lang w:val="it-IT"/>
        </w:rPr>
        <w:t xml:space="preserve"> of </w:t>
      </w:r>
      <w:proofErr w:type="spellStart"/>
      <w:r w:rsidRPr="00544E51">
        <w:rPr>
          <w:color w:val="000000" w:themeColor="text1"/>
          <w:sz w:val="22"/>
          <w:szCs w:val="22"/>
          <w:lang w:val="it-IT"/>
        </w:rPr>
        <w:t>Rzeszow</w:t>
      </w:r>
      <w:proofErr w:type="spellEnd"/>
      <w:r w:rsidRPr="00544E51">
        <w:rPr>
          <w:color w:val="000000" w:themeColor="text1"/>
          <w:sz w:val="22"/>
          <w:szCs w:val="22"/>
          <w:lang w:val="it-IT"/>
        </w:rPr>
        <w:t xml:space="preserve">, </w:t>
      </w:r>
      <w:proofErr w:type="spellStart"/>
      <w:r w:rsidRPr="00544E51">
        <w:rPr>
          <w:color w:val="000000" w:themeColor="text1"/>
          <w:sz w:val="22"/>
          <w:szCs w:val="22"/>
          <w:lang w:val="it-IT"/>
        </w:rPr>
        <w:t>Pigonia</w:t>
      </w:r>
      <w:proofErr w:type="spellEnd"/>
      <w:r w:rsidRPr="00544E51">
        <w:rPr>
          <w:color w:val="000000" w:themeColor="text1"/>
          <w:sz w:val="22"/>
          <w:szCs w:val="22"/>
          <w:lang w:val="it-IT"/>
        </w:rPr>
        <w:t xml:space="preserve"> 1, 35-310 </w:t>
      </w:r>
      <w:proofErr w:type="spellStart"/>
      <w:r w:rsidRPr="00544E51">
        <w:rPr>
          <w:color w:val="000000" w:themeColor="text1"/>
          <w:sz w:val="22"/>
          <w:szCs w:val="22"/>
          <w:lang w:val="it-IT"/>
        </w:rPr>
        <w:t>Rzeszow</w:t>
      </w:r>
      <w:proofErr w:type="spellEnd"/>
      <w:r w:rsidRPr="00544E51">
        <w:rPr>
          <w:color w:val="000000" w:themeColor="text1"/>
          <w:sz w:val="22"/>
          <w:szCs w:val="22"/>
          <w:lang w:val="it-IT"/>
        </w:rPr>
        <w:t>, Poland</w:t>
      </w:r>
      <w:proofErr w:type="gramEnd"/>
    </w:p>
    <w:p w14:paraId="5909B135" w14:textId="77777777" w:rsidR="00B823D1" w:rsidRPr="00544E51" w:rsidRDefault="00B823D1" w:rsidP="00B823D1">
      <w:pPr>
        <w:pStyle w:val="Paragrafoelenco"/>
        <w:spacing w:line="360" w:lineRule="auto"/>
        <w:ind w:left="0"/>
        <w:rPr>
          <w:color w:val="000000" w:themeColor="text1"/>
          <w:sz w:val="22"/>
          <w:szCs w:val="22"/>
          <w:lang w:val="it-IT"/>
        </w:rPr>
      </w:pPr>
    </w:p>
    <w:p w14:paraId="63E020C8" w14:textId="77777777" w:rsidR="00B823D1" w:rsidRDefault="00B823D1" w:rsidP="00B823D1">
      <w:pPr>
        <w:jc w:val="both"/>
        <w:textAlignment w:val="baseline"/>
        <w:rPr>
          <w:rFonts w:ascii="inherit" w:eastAsia="Times New Roman" w:hAnsi="inherit"/>
          <w:color w:val="000000" w:themeColor="text1"/>
          <w:sz w:val="24"/>
          <w:lang w:val="it-IT"/>
        </w:rPr>
      </w:pPr>
      <w:r>
        <w:rPr>
          <w:rFonts w:ascii="ＭＳ ゴシック" w:eastAsia="ＭＳ ゴシック" w:hAnsi="ＭＳ ゴシック" w:hint="eastAsia"/>
          <w:color w:val="000000" w:themeColor="text1"/>
          <w:sz w:val="24"/>
          <w:lang w:val="it-IT"/>
        </w:rPr>
        <w:t>♯</w:t>
      </w:r>
      <w:proofErr w:type="spellStart"/>
      <w:r>
        <w:rPr>
          <w:rFonts w:ascii="inherit" w:eastAsia="Times New Roman" w:hAnsi="inherit"/>
          <w:color w:val="000000" w:themeColor="text1"/>
          <w:sz w:val="24"/>
          <w:lang w:val="it-IT"/>
        </w:rPr>
        <w:t>corresponding</w:t>
      </w:r>
      <w:proofErr w:type="spellEnd"/>
      <w:r>
        <w:rPr>
          <w:rFonts w:ascii="inherit" w:eastAsia="Times New Roman" w:hAnsi="inherit"/>
          <w:color w:val="000000" w:themeColor="text1"/>
          <w:sz w:val="24"/>
          <w:lang w:val="it-IT"/>
        </w:rPr>
        <w:t xml:space="preserve"> </w:t>
      </w:r>
      <w:proofErr w:type="spellStart"/>
      <w:r>
        <w:rPr>
          <w:rFonts w:ascii="inherit" w:eastAsia="Times New Roman" w:hAnsi="inherit"/>
          <w:color w:val="000000" w:themeColor="text1"/>
          <w:sz w:val="24"/>
          <w:lang w:val="it-IT"/>
        </w:rPr>
        <w:t>author</w:t>
      </w:r>
      <w:proofErr w:type="spellEnd"/>
    </w:p>
    <w:p w14:paraId="36490F3A" w14:textId="3F83E4BB" w:rsidR="007C64FA" w:rsidRPr="007C64FA" w:rsidRDefault="007C64FA" w:rsidP="007C64FA">
      <w:pPr>
        <w:jc w:val="both"/>
        <w:textAlignment w:val="baseline"/>
        <w:rPr>
          <w:rFonts w:ascii="inherit" w:eastAsia="Times New Roman" w:hAnsi="inherit"/>
          <w:color w:val="FF0000"/>
          <w:sz w:val="24"/>
          <w:lang w:val="it-IT"/>
        </w:rPr>
      </w:pPr>
      <w:bookmarkStart w:id="0" w:name="_GoBack"/>
      <w:proofErr w:type="spellStart"/>
      <w:r w:rsidRPr="007C64FA">
        <w:rPr>
          <w:rFonts w:ascii="inherit" w:eastAsia="Times New Roman" w:hAnsi="inherit"/>
          <w:color w:val="FF0000"/>
          <w:sz w:val="24"/>
          <w:lang w:val="it-IT"/>
        </w:rPr>
        <w:t>corresponding</w:t>
      </w:r>
      <w:proofErr w:type="spellEnd"/>
      <w:r w:rsidRPr="007C64FA">
        <w:rPr>
          <w:rFonts w:ascii="inherit" w:eastAsia="Times New Roman" w:hAnsi="inherit"/>
          <w:color w:val="FF0000"/>
          <w:sz w:val="24"/>
          <w:lang w:val="it-IT"/>
        </w:rPr>
        <w:t xml:space="preserve"> </w:t>
      </w:r>
      <w:proofErr w:type="spellStart"/>
      <w:r w:rsidRPr="007C64FA">
        <w:rPr>
          <w:rFonts w:ascii="inherit" w:eastAsia="Times New Roman" w:hAnsi="inherit"/>
          <w:color w:val="FF0000"/>
          <w:sz w:val="24"/>
          <w:lang w:val="it-IT"/>
        </w:rPr>
        <w:t>author</w:t>
      </w:r>
      <w:proofErr w:type="spellEnd"/>
      <w:r w:rsidRPr="007C64FA">
        <w:rPr>
          <w:rFonts w:ascii="inherit" w:eastAsia="Times New Roman" w:hAnsi="inherit"/>
          <w:color w:val="FF0000"/>
          <w:sz w:val="24"/>
          <w:lang w:val="it-IT"/>
        </w:rPr>
        <w:t xml:space="preserve"> </w:t>
      </w:r>
      <w:r w:rsidRPr="007C64FA">
        <w:rPr>
          <w:rFonts w:ascii="inherit" w:eastAsia="Times New Roman" w:hAnsi="inherit"/>
          <w:color w:val="FF0000"/>
          <w:sz w:val="24"/>
          <w:lang w:val="it-IT"/>
        </w:rPr>
        <w:t xml:space="preserve">email: </w:t>
      </w:r>
      <w:hyperlink r:id="rId5" w:history="1">
        <w:r w:rsidRPr="007C64FA">
          <w:rPr>
            <w:rStyle w:val="Collegamentoipertestuale"/>
            <w:rFonts w:ascii="inherit" w:eastAsia="Times New Roman" w:hAnsi="inherit"/>
            <w:color w:val="FF0000"/>
            <w:sz w:val="24"/>
            <w:lang w:val="it-IT"/>
          </w:rPr>
          <w:t>claudia.tortiglione@cnr.it</w:t>
        </w:r>
      </w:hyperlink>
    </w:p>
    <w:bookmarkEnd w:id="0"/>
    <w:p w14:paraId="6142AF9B" w14:textId="77777777" w:rsidR="007C64FA" w:rsidRDefault="007C64FA" w:rsidP="007C64FA">
      <w:pPr>
        <w:jc w:val="both"/>
        <w:textAlignment w:val="baseline"/>
        <w:rPr>
          <w:rFonts w:ascii="inherit" w:eastAsia="Times New Roman" w:hAnsi="inherit"/>
          <w:color w:val="000000"/>
          <w:sz w:val="24"/>
          <w:lang w:val="it-IT"/>
        </w:rPr>
      </w:pPr>
    </w:p>
    <w:p w14:paraId="1E01633E" w14:textId="77777777" w:rsidR="007C64FA" w:rsidRPr="00544E51" w:rsidRDefault="007C64FA" w:rsidP="00B823D1">
      <w:pPr>
        <w:jc w:val="both"/>
        <w:textAlignment w:val="baseline"/>
        <w:rPr>
          <w:rFonts w:ascii="inherit" w:eastAsia="Times New Roman" w:hAnsi="inherit"/>
          <w:color w:val="000000" w:themeColor="text1"/>
          <w:sz w:val="24"/>
          <w:lang w:val="it-IT"/>
        </w:rPr>
      </w:pPr>
    </w:p>
    <w:p w14:paraId="28569364" w14:textId="77777777" w:rsidR="00B823D1" w:rsidRPr="00544E51" w:rsidRDefault="00B823D1" w:rsidP="00B823D1">
      <w:pPr>
        <w:jc w:val="both"/>
        <w:textAlignment w:val="baseline"/>
        <w:rPr>
          <w:color w:val="000000" w:themeColor="text1"/>
          <w:szCs w:val="22"/>
          <w:lang w:val="en-US"/>
        </w:rPr>
      </w:pPr>
      <w:r w:rsidRPr="00544E51">
        <w:rPr>
          <w:rFonts w:ascii="Lucida Grande" w:eastAsia="Times New Roman" w:hAnsi="Lucida Grande" w:cs="Lucida Grande"/>
          <w:color w:val="000000" w:themeColor="text1"/>
          <w:sz w:val="24"/>
          <w:lang w:val="en-US"/>
        </w:rPr>
        <w:t>§</w:t>
      </w:r>
      <w:r w:rsidRPr="00544E51">
        <w:rPr>
          <w:rFonts w:ascii="Lucida Grande" w:eastAsia="Times New Roman" w:hAnsi="Lucida Grande" w:cs="Lucida Grande"/>
          <w:color w:val="000000" w:themeColor="text1"/>
          <w:sz w:val="24"/>
          <w:vertAlign w:val="superscript"/>
          <w:lang w:val="en-US"/>
        </w:rPr>
        <w:t xml:space="preserve"> </w:t>
      </w:r>
      <w:r w:rsidRPr="00544E51">
        <w:rPr>
          <w:color w:val="000000" w:themeColor="text1"/>
          <w:szCs w:val="22"/>
          <w:lang w:val="en-US"/>
        </w:rPr>
        <w:t>Equally contributing authors</w:t>
      </w:r>
    </w:p>
    <w:p w14:paraId="1C612B09" w14:textId="77777777" w:rsidR="00B823D1" w:rsidRPr="00544E51" w:rsidRDefault="00B823D1" w:rsidP="00B823D1">
      <w:pPr>
        <w:widowControl w:val="0"/>
        <w:autoSpaceDE w:val="0"/>
        <w:autoSpaceDN w:val="0"/>
        <w:adjustRightInd w:val="0"/>
        <w:spacing w:line="240" w:lineRule="auto"/>
        <w:rPr>
          <w:color w:val="000000" w:themeColor="text1"/>
          <w:szCs w:val="22"/>
          <w:lang w:val="it-IT"/>
        </w:rPr>
      </w:pPr>
      <w:r w:rsidRPr="00544E51">
        <w:rPr>
          <w:rFonts w:eastAsia="Times New Roman"/>
          <w:color w:val="000000" w:themeColor="text1"/>
          <w:szCs w:val="22"/>
          <w:lang w:val="en-US"/>
        </w:rPr>
        <w:t>*</w:t>
      </w:r>
      <w:r>
        <w:rPr>
          <w:rFonts w:eastAsia="Times New Roman"/>
          <w:color w:val="000000" w:themeColor="text1"/>
          <w:szCs w:val="22"/>
          <w:lang w:val="en-US"/>
        </w:rPr>
        <w:t xml:space="preserve"> </w:t>
      </w:r>
      <w:proofErr w:type="gramStart"/>
      <w:r w:rsidRPr="00544E51">
        <w:rPr>
          <w:rFonts w:eastAsia="Times New Roman"/>
          <w:color w:val="000000" w:themeColor="text1"/>
          <w:szCs w:val="22"/>
          <w:lang w:val="en-US"/>
        </w:rPr>
        <w:t>present</w:t>
      </w:r>
      <w:proofErr w:type="gramEnd"/>
      <w:r w:rsidRPr="00544E51">
        <w:rPr>
          <w:rFonts w:eastAsia="Times New Roman"/>
          <w:color w:val="000000" w:themeColor="text1"/>
          <w:szCs w:val="22"/>
          <w:lang w:val="en-US"/>
        </w:rPr>
        <w:t xml:space="preserve"> address: </w:t>
      </w:r>
      <w:proofErr w:type="spellStart"/>
      <w:r w:rsidRPr="00544E51">
        <w:rPr>
          <w:color w:val="000000" w:themeColor="text1"/>
          <w:szCs w:val="22"/>
          <w:lang w:val="it-IT"/>
        </w:rPr>
        <w:t>Instituto</w:t>
      </w:r>
      <w:proofErr w:type="spellEnd"/>
      <w:r w:rsidRPr="00544E51">
        <w:rPr>
          <w:color w:val="000000" w:themeColor="text1"/>
          <w:szCs w:val="22"/>
          <w:lang w:val="it-IT"/>
        </w:rPr>
        <w:t xml:space="preserve"> de </w:t>
      </w:r>
      <w:proofErr w:type="spellStart"/>
      <w:r w:rsidRPr="00544E51">
        <w:rPr>
          <w:color w:val="000000" w:themeColor="text1"/>
          <w:szCs w:val="22"/>
          <w:lang w:val="it-IT"/>
        </w:rPr>
        <w:t>Ciencia</w:t>
      </w:r>
      <w:proofErr w:type="spellEnd"/>
      <w:r w:rsidRPr="00544E51">
        <w:rPr>
          <w:color w:val="000000" w:themeColor="text1"/>
          <w:szCs w:val="22"/>
          <w:lang w:val="it-IT"/>
        </w:rPr>
        <w:t xml:space="preserve"> de </w:t>
      </w:r>
      <w:proofErr w:type="spellStart"/>
      <w:r w:rsidRPr="00544E51">
        <w:rPr>
          <w:color w:val="000000" w:themeColor="text1"/>
          <w:szCs w:val="22"/>
          <w:lang w:val="it-IT"/>
        </w:rPr>
        <w:t>Materiales</w:t>
      </w:r>
      <w:proofErr w:type="spellEnd"/>
      <w:r w:rsidRPr="00544E51">
        <w:rPr>
          <w:color w:val="000000" w:themeColor="text1"/>
          <w:szCs w:val="22"/>
          <w:lang w:val="it-IT"/>
        </w:rPr>
        <w:t xml:space="preserve"> de </w:t>
      </w:r>
      <w:proofErr w:type="spellStart"/>
      <w:r w:rsidRPr="00544E51">
        <w:rPr>
          <w:color w:val="000000" w:themeColor="text1"/>
          <w:szCs w:val="22"/>
          <w:lang w:val="it-IT"/>
        </w:rPr>
        <w:t>Aragón</w:t>
      </w:r>
      <w:proofErr w:type="spellEnd"/>
      <w:r w:rsidRPr="00544E51">
        <w:rPr>
          <w:color w:val="000000" w:themeColor="text1"/>
          <w:szCs w:val="22"/>
          <w:lang w:val="it-IT"/>
        </w:rPr>
        <w:t xml:space="preserve">, C/ Mariano </w:t>
      </w:r>
      <w:proofErr w:type="spellStart"/>
      <w:r w:rsidRPr="00544E51">
        <w:rPr>
          <w:color w:val="000000" w:themeColor="text1"/>
          <w:szCs w:val="22"/>
          <w:lang w:val="it-IT"/>
        </w:rPr>
        <w:t>Esquillor</w:t>
      </w:r>
      <w:proofErr w:type="spellEnd"/>
      <w:r w:rsidRPr="00544E51">
        <w:rPr>
          <w:color w:val="000000" w:themeColor="text1"/>
          <w:szCs w:val="22"/>
          <w:lang w:val="it-IT"/>
        </w:rPr>
        <w:t xml:space="preserve"> s/n, 50018 Zaragoza, </w:t>
      </w:r>
      <w:proofErr w:type="spellStart"/>
      <w:r w:rsidRPr="00544E51">
        <w:rPr>
          <w:color w:val="000000" w:themeColor="text1"/>
          <w:szCs w:val="22"/>
          <w:lang w:val="it-IT"/>
        </w:rPr>
        <w:t>Spain</w:t>
      </w:r>
      <w:proofErr w:type="spellEnd"/>
    </w:p>
    <w:p w14:paraId="56BCCB97" w14:textId="77777777" w:rsidR="00437725" w:rsidRDefault="00B823D1" w:rsidP="00B823D1">
      <w:pPr>
        <w:jc w:val="both"/>
        <w:rPr>
          <w:b/>
          <w:sz w:val="24"/>
          <w:lang w:val="en-US"/>
        </w:rPr>
      </w:pPr>
      <w:r w:rsidRPr="00544E51">
        <w:rPr>
          <w:rFonts w:ascii="inherit" w:eastAsia="Times New Roman" w:hAnsi="inherit"/>
          <w:b/>
          <w:bCs/>
          <w:color w:val="000000" w:themeColor="text1"/>
          <w:sz w:val="24"/>
          <w:bdr w:val="none" w:sz="0" w:space="0" w:color="auto" w:frame="1"/>
          <w:lang w:val="en-US"/>
        </w:rPr>
        <w:br w:type="page"/>
      </w:r>
    </w:p>
    <w:p w14:paraId="23DB3919" w14:textId="77777777" w:rsidR="00B823D1" w:rsidRDefault="00B823D1" w:rsidP="00437725">
      <w:pPr>
        <w:jc w:val="both"/>
        <w:rPr>
          <w:b/>
          <w:sz w:val="24"/>
          <w:lang w:val="en-US"/>
        </w:rPr>
      </w:pPr>
    </w:p>
    <w:p w14:paraId="2C2A345F" w14:textId="77777777" w:rsidR="00437725" w:rsidRDefault="00B823D1" w:rsidP="00437725">
      <w:pPr>
        <w:jc w:val="both"/>
        <w:rPr>
          <w:b/>
          <w:sz w:val="24"/>
          <w:lang w:val="en-US"/>
        </w:rPr>
      </w:pPr>
      <w:r>
        <w:rPr>
          <w:b/>
          <w:sz w:val="24"/>
          <w:lang w:val="en-US"/>
        </w:rPr>
        <w:t>Characterization of P3HT-NP</w:t>
      </w:r>
    </w:p>
    <w:p w14:paraId="6A27F481" w14:textId="77777777" w:rsidR="00B823D1" w:rsidRDefault="00B823D1" w:rsidP="00437725">
      <w:pPr>
        <w:jc w:val="both"/>
        <w:rPr>
          <w:b/>
          <w:sz w:val="24"/>
          <w:lang w:val="en-US"/>
        </w:rPr>
      </w:pPr>
    </w:p>
    <w:p w14:paraId="19DBEA75" w14:textId="77777777" w:rsidR="00B823D1" w:rsidRPr="00594A05" w:rsidRDefault="00B823D1" w:rsidP="00437725">
      <w:pPr>
        <w:jc w:val="both"/>
        <w:rPr>
          <w:b/>
          <w:sz w:val="24"/>
          <w:lang w:val="en-US"/>
        </w:rPr>
      </w:pPr>
    </w:p>
    <w:p w14:paraId="24BE4C11" w14:textId="77777777" w:rsidR="00437725" w:rsidRDefault="00437725" w:rsidP="00437725">
      <w:pPr>
        <w:jc w:val="both"/>
        <w:rPr>
          <w:sz w:val="24"/>
          <w:lang w:val="en-US"/>
        </w:rPr>
      </w:pPr>
      <w:r>
        <w:object w:dxaOrig="25417" w:dyaOrig="17850" w14:anchorId="4F41F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pt;height:298pt" o:ole="">
            <v:imagedata r:id="rId6" o:title=""/>
          </v:shape>
          <o:OLEObject Type="Embed" ProgID="Origin50.Graph" ShapeID="_x0000_i1025" DrawAspect="Content" ObjectID="_1459257359" r:id="rId7"/>
        </w:object>
      </w:r>
    </w:p>
    <w:p w14:paraId="3378FF8B" w14:textId="77777777" w:rsidR="00B823D1" w:rsidRDefault="00B823D1" w:rsidP="00437725">
      <w:pPr>
        <w:jc w:val="both"/>
        <w:rPr>
          <w:b/>
          <w:sz w:val="24"/>
          <w:lang w:val="en-US"/>
        </w:rPr>
      </w:pPr>
    </w:p>
    <w:p w14:paraId="43F04965" w14:textId="77777777" w:rsidR="00B823D1" w:rsidRDefault="00B823D1" w:rsidP="00437725">
      <w:pPr>
        <w:jc w:val="both"/>
        <w:rPr>
          <w:b/>
          <w:sz w:val="24"/>
          <w:lang w:val="en-US"/>
        </w:rPr>
      </w:pPr>
    </w:p>
    <w:p w14:paraId="743C6F9F" w14:textId="77777777" w:rsidR="00B823D1" w:rsidRDefault="00B823D1" w:rsidP="00437725">
      <w:pPr>
        <w:jc w:val="both"/>
        <w:rPr>
          <w:b/>
          <w:sz w:val="24"/>
          <w:lang w:val="en-US"/>
        </w:rPr>
      </w:pPr>
    </w:p>
    <w:p w14:paraId="4D930EFD" w14:textId="77777777" w:rsidR="00437725" w:rsidRDefault="00437725" w:rsidP="00437725">
      <w:pPr>
        <w:jc w:val="both"/>
        <w:rPr>
          <w:sz w:val="24"/>
          <w:lang w:val="en-US"/>
        </w:rPr>
      </w:pPr>
      <w:r>
        <w:rPr>
          <w:b/>
          <w:sz w:val="24"/>
          <w:lang w:val="en-US"/>
        </w:rPr>
        <w:t>FIG.</w:t>
      </w:r>
      <w:r w:rsidRPr="00594A05">
        <w:rPr>
          <w:b/>
          <w:sz w:val="24"/>
          <w:lang w:val="en-US"/>
        </w:rPr>
        <w:t xml:space="preserve"> S1</w:t>
      </w:r>
      <w:r>
        <w:rPr>
          <w:b/>
          <w:sz w:val="24"/>
          <w:lang w:val="en-US"/>
        </w:rPr>
        <w:t xml:space="preserve">. </w:t>
      </w:r>
      <w:proofErr w:type="gramStart"/>
      <w:r w:rsidRPr="00594A05">
        <w:rPr>
          <w:sz w:val="24"/>
          <w:lang w:val="en-US"/>
        </w:rPr>
        <w:t>D</w:t>
      </w:r>
      <w:r w:rsidR="00B823D1">
        <w:rPr>
          <w:sz w:val="24"/>
          <w:lang w:val="en-US"/>
        </w:rPr>
        <w:t>ynamic light scattering of P3HT-NP</w:t>
      </w:r>
      <w:r w:rsidRPr="00594A05">
        <w:rPr>
          <w:sz w:val="24"/>
          <w:lang w:val="en-US"/>
        </w:rPr>
        <w:t xml:space="preserve"> dispersion in water (top) and optical absorption spectrum (bottom).</w:t>
      </w:r>
      <w:proofErr w:type="gramEnd"/>
    </w:p>
    <w:p w14:paraId="1DB2CCDD" w14:textId="77777777" w:rsidR="00437725" w:rsidRDefault="00437725" w:rsidP="00437725">
      <w:pPr>
        <w:spacing w:line="240" w:lineRule="auto"/>
        <w:rPr>
          <w:sz w:val="24"/>
          <w:lang w:val="en-US"/>
        </w:rPr>
      </w:pPr>
      <w:r>
        <w:rPr>
          <w:sz w:val="24"/>
          <w:lang w:val="en-US"/>
        </w:rPr>
        <w:br w:type="page"/>
      </w:r>
    </w:p>
    <w:p w14:paraId="6F6A02AA" w14:textId="77777777" w:rsidR="00437725" w:rsidRPr="00B823D1" w:rsidRDefault="00B823D1" w:rsidP="00437725">
      <w:pPr>
        <w:jc w:val="both"/>
        <w:rPr>
          <w:b/>
          <w:sz w:val="24"/>
          <w:lang w:val="en-US"/>
        </w:rPr>
      </w:pPr>
      <w:proofErr w:type="spellStart"/>
      <w:r w:rsidRPr="00B823D1">
        <w:rPr>
          <w:b/>
          <w:sz w:val="24"/>
          <w:lang w:val="en-US"/>
        </w:rPr>
        <w:t>Photoinduced</w:t>
      </w:r>
      <w:proofErr w:type="spellEnd"/>
      <w:r w:rsidRPr="00B823D1">
        <w:rPr>
          <w:b/>
          <w:sz w:val="24"/>
          <w:lang w:val="en-US"/>
        </w:rPr>
        <w:t>-absorption (PIA) spectroscopy of P3HT-NP</w:t>
      </w:r>
    </w:p>
    <w:p w14:paraId="50F51F6E" w14:textId="77777777" w:rsidR="00B823D1" w:rsidRDefault="00B823D1" w:rsidP="00437725">
      <w:pPr>
        <w:jc w:val="both"/>
        <w:rPr>
          <w:sz w:val="24"/>
          <w:lang w:val="en-US"/>
        </w:rPr>
      </w:pPr>
      <w:r w:rsidRPr="00BF6403">
        <w:rPr>
          <w:sz w:val="24"/>
          <w:lang w:val="en-US"/>
        </w:rPr>
        <w:t xml:space="preserve">In this technique, a laser beam resonant with the optical absorption of the material under study perturbs the system and populates molecular excited states; a </w:t>
      </w:r>
      <w:proofErr w:type="gramStart"/>
      <w:r w:rsidRPr="00BF6403">
        <w:rPr>
          <w:sz w:val="24"/>
          <w:lang w:val="en-US"/>
        </w:rPr>
        <w:t>broad-band</w:t>
      </w:r>
      <w:proofErr w:type="gramEnd"/>
      <w:r w:rsidRPr="00BF6403">
        <w:rPr>
          <w:sz w:val="24"/>
          <w:lang w:val="en-US"/>
        </w:rPr>
        <w:t xml:space="preserve"> probe beam is then used to monitor the changes in the optical transmission of the sample, in the presence and in the absence of optical excitation. The normalized transmittance is expressed as </w:t>
      </w:r>
      <w:r w:rsidRPr="00BF6403">
        <w:rPr>
          <w:rFonts w:ascii="Symbol" w:hAnsi="Symbol"/>
          <w:sz w:val="24"/>
          <w:lang w:val="en-US"/>
        </w:rPr>
        <w:t></w:t>
      </w:r>
      <w:r w:rsidRPr="00BF6403">
        <w:rPr>
          <w:sz w:val="24"/>
          <w:lang w:val="en-US"/>
        </w:rPr>
        <w:t>T/T = (T</w:t>
      </w:r>
      <w:r w:rsidRPr="00BF6403">
        <w:rPr>
          <w:sz w:val="24"/>
          <w:vertAlign w:val="subscript"/>
          <w:lang w:val="en-US"/>
        </w:rPr>
        <w:t>on</w:t>
      </w:r>
      <w:r w:rsidRPr="00BF6403">
        <w:rPr>
          <w:sz w:val="24"/>
          <w:lang w:val="en-US"/>
        </w:rPr>
        <w:t xml:space="preserve"> – </w:t>
      </w:r>
      <w:proofErr w:type="spellStart"/>
      <w:r w:rsidRPr="00BF6403">
        <w:rPr>
          <w:sz w:val="24"/>
          <w:lang w:val="en-US"/>
        </w:rPr>
        <w:t>T</w:t>
      </w:r>
      <w:r w:rsidRPr="00BF6403">
        <w:rPr>
          <w:sz w:val="24"/>
          <w:vertAlign w:val="subscript"/>
          <w:lang w:val="en-US"/>
        </w:rPr>
        <w:t>off</w:t>
      </w:r>
      <w:proofErr w:type="spellEnd"/>
      <w:r w:rsidRPr="00BF6403">
        <w:rPr>
          <w:sz w:val="24"/>
          <w:lang w:val="en-US"/>
        </w:rPr>
        <w:t xml:space="preserve">) / </w:t>
      </w:r>
      <w:proofErr w:type="spellStart"/>
      <w:proofErr w:type="gramStart"/>
      <w:r w:rsidRPr="00BF6403">
        <w:rPr>
          <w:sz w:val="24"/>
          <w:lang w:val="en-US"/>
        </w:rPr>
        <w:t>T</w:t>
      </w:r>
      <w:r w:rsidRPr="00BF6403">
        <w:rPr>
          <w:sz w:val="24"/>
          <w:vertAlign w:val="subscript"/>
          <w:lang w:val="en-US"/>
        </w:rPr>
        <w:t>off</w:t>
      </w:r>
      <w:proofErr w:type="spellEnd"/>
      <w:r w:rsidRPr="00BF6403">
        <w:rPr>
          <w:sz w:val="24"/>
          <w:vertAlign w:val="subscript"/>
          <w:lang w:val="en-US"/>
        </w:rPr>
        <w:t xml:space="preserve"> </w:t>
      </w:r>
      <w:r w:rsidRPr="00BF6403">
        <w:rPr>
          <w:sz w:val="24"/>
          <w:lang w:val="en-US"/>
        </w:rPr>
        <w:t>,</w:t>
      </w:r>
      <w:proofErr w:type="gramEnd"/>
      <w:r w:rsidRPr="00BF6403">
        <w:rPr>
          <w:sz w:val="24"/>
          <w:lang w:val="en-US"/>
        </w:rPr>
        <w:t xml:space="preserve"> where T</w:t>
      </w:r>
      <w:r w:rsidRPr="00BF6403">
        <w:rPr>
          <w:sz w:val="24"/>
          <w:vertAlign w:val="subscript"/>
          <w:lang w:val="en-US"/>
        </w:rPr>
        <w:t>on</w:t>
      </w:r>
      <w:r w:rsidRPr="00BF6403">
        <w:rPr>
          <w:sz w:val="24"/>
          <w:lang w:val="en-US"/>
        </w:rPr>
        <w:t xml:space="preserve"> and </w:t>
      </w:r>
      <w:proofErr w:type="spellStart"/>
      <w:r w:rsidRPr="00BF6403">
        <w:rPr>
          <w:sz w:val="24"/>
          <w:lang w:val="en-US"/>
        </w:rPr>
        <w:t>T</w:t>
      </w:r>
      <w:r w:rsidRPr="00BF6403">
        <w:rPr>
          <w:sz w:val="24"/>
          <w:vertAlign w:val="subscript"/>
          <w:lang w:val="en-US"/>
        </w:rPr>
        <w:t>off</w:t>
      </w:r>
      <w:proofErr w:type="spellEnd"/>
      <w:r w:rsidRPr="00BF6403">
        <w:rPr>
          <w:sz w:val="24"/>
          <w:lang w:val="en-US"/>
        </w:rPr>
        <w:t xml:space="preserve"> refer to the transmission of the sample when optical excitation is on and off, respectively. In particular, a negative signal (</w:t>
      </w:r>
      <w:r w:rsidRPr="00BF6403">
        <w:rPr>
          <w:rFonts w:ascii="Symbol" w:hAnsi="Symbol"/>
          <w:sz w:val="24"/>
          <w:lang w:val="en-US"/>
        </w:rPr>
        <w:t></w:t>
      </w:r>
      <w:r w:rsidRPr="00BF6403">
        <w:rPr>
          <w:sz w:val="24"/>
          <w:lang w:val="en-US"/>
        </w:rPr>
        <w:t>T/T &lt; 0) indicates the occurrence of photo-induced absorption processes</w:t>
      </w:r>
    </w:p>
    <w:p w14:paraId="66C3998C" w14:textId="77777777" w:rsidR="00B823D1" w:rsidRDefault="00B823D1" w:rsidP="00437725">
      <w:pPr>
        <w:jc w:val="both"/>
        <w:rPr>
          <w:sz w:val="24"/>
          <w:lang w:val="en-US"/>
        </w:rPr>
      </w:pPr>
    </w:p>
    <w:p w14:paraId="78E680D9" w14:textId="77777777" w:rsidR="00437725" w:rsidRDefault="00437725" w:rsidP="00437725">
      <w:pPr>
        <w:jc w:val="both"/>
        <w:rPr>
          <w:b/>
          <w:sz w:val="24"/>
          <w:lang w:val="en-US"/>
        </w:rPr>
      </w:pPr>
      <w:r>
        <w:object w:dxaOrig="25560" w:dyaOrig="17850" w14:anchorId="31B05603">
          <v:shape id="_x0000_i1026" type="#_x0000_t75" style="width:424pt;height:296pt" o:ole="">
            <v:imagedata r:id="rId8" o:title=""/>
          </v:shape>
          <o:OLEObject Type="Embed" ProgID="Origin50.Graph" ShapeID="_x0000_i1026" DrawAspect="Content" ObjectID="_1459257360" r:id="rId9"/>
        </w:object>
      </w:r>
    </w:p>
    <w:p w14:paraId="3DEA01BD" w14:textId="77777777" w:rsidR="00B823D1" w:rsidRDefault="00B823D1" w:rsidP="00437725">
      <w:pPr>
        <w:jc w:val="both"/>
        <w:rPr>
          <w:b/>
          <w:sz w:val="24"/>
          <w:lang w:val="en-US"/>
        </w:rPr>
      </w:pPr>
    </w:p>
    <w:p w14:paraId="555181B5" w14:textId="77777777" w:rsidR="00437725" w:rsidRDefault="00437725" w:rsidP="00437725">
      <w:pPr>
        <w:jc w:val="both"/>
        <w:rPr>
          <w:sz w:val="24"/>
          <w:lang w:val="en-US"/>
        </w:rPr>
      </w:pPr>
      <w:r>
        <w:rPr>
          <w:b/>
          <w:sz w:val="24"/>
          <w:lang w:val="en-US"/>
        </w:rPr>
        <w:t>FIG.</w:t>
      </w:r>
      <w:r w:rsidRPr="00594A05">
        <w:rPr>
          <w:b/>
          <w:sz w:val="24"/>
          <w:lang w:val="en-US"/>
        </w:rPr>
        <w:t xml:space="preserve"> S2</w:t>
      </w:r>
      <w:r>
        <w:rPr>
          <w:b/>
          <w:sz w:val="24"/>
          <w:lang w:val="en-US"/>
        </w:rPr>
        <w:t xml:space="preserve">. </w:t>
      </w:r>
      <w:r w:rsidRPr="00594A05">
        <w:rPr>
          <w:sz w:val="24"/>
          <w:lang w:val="en-US"/>
        </w:rPr>
        <w:t>Photo</w:t>
      </w:r>
      <w:r>
        <w:rPr>
          <w:sz w:val="24"/>
          <w:lang w:val="en-US"/>
        </w:rPr>
        <w:t xml:space="preserve">-induced absorption spectrum of P3HT NPs dispersed in electrolyte environment. Based on analogy with P3HT solid thin films, the negative </w:t>
      </w:r>
      <w:r w:rsidRPr="00594A05">
        <w:rPr>
          <w:rFonts w:ascii="Symbol" w:hAnsi="Symbol"/>
          <w:sz w:val="24"/>
          <w:lang w:val="en-US"/>
        </w:rPr>
        <w:t></w:t>
      </w:r>
      <w:r>
        <w:rPr>
          <w:sz w:val="24"/>
          <w:lang w:val="en-US"/>
        </w:rPr>
        <w:t xml:space="preserve">T/T signal in the spectral region 900 – 1100 nm is attributed to charged states. </w:t>
      </w:r>
    </w:p>
    <w:p w14:paraId="32E9D29F" w14:textId="77777777" w:rsidR="00601DF4" w:rsidRDefault="00601DF4"/>
    <w:sectPr w:rsidR="00601DF4" w:rsidSect="00D4073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inheri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25"/>
    <w:rsid w:val="000355B6"/>
    <w:rsid w:val="00437725"/>
    <w:rsid w:val="00601DF4"/>
    <w:rsid w:val="007C64FA"/>
    <w:rsid w:val="00B823D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6471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725"/>
    <w:pPr>
      <w:spacing w:line="480" w:lineRule="auto"/>
    </w:pPr>
    <w:rPr>
      <w:rFonts w:ascii="Times New Roman" w:eastAsia="MS Mincho" w:hAnsi="Times New Roman" w:cs="Times New Roman"/>
      <w:sz w:val="22"/>
      <w:lang w:val="en-C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7725"/>
    <w:pPr>
      <w:spacing w:line="240" w:lineRule="auto"/>
      <w:ind w:left="720"/>
      <w:contextualSpacing/>
    </w:pPr>
    <w:rPr>
      <w:rFonts w:eastAsia="Times New Roman"/>
      <w:sz w:val="24"/>
      <w:lang w:val="en-GB"/>
    </w:rPr>
  </w:style>
  <w:style w:type="character" w:styleId="Collegamentoipertestuale">
    <w:name w:val="Hyperlink"/>
    <w:basedOn w:val="Caratterepredefinitoparagrafo"/>
    <w:uiPriority w:val="99"/>
    <w:unhideWhenUsed/>
    <w:rsid w:val="007C64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725"/>
    <w:pPr>
      <w:spacing w:line="480" w:lineRule="auto"/>
    </w:pPr>
    <w:rPr>
      <w:rFonts w:ascii="Times New Roman" w:eastAsia="MS Mincho" w:hAnsi="Times New Roman" w:cs="Times New Roman"/>
      <w:sz w:val="22"/>
      <w:lang w:val="en-C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7725"/>
    <w:pPr>
      <w:spacing w:line="240" w:lineRule="auto"/>
      <w:ind w:left="720"/>
      <w:contextualSpacing/>
    </w:pPr>
    <w:rPr>
      <w:rFonts w:eastAsia="Times New Roman"/>
      <w:sz w:val="24"/>
      <w:lang w:val="en-GB"/>
    </w:rPr>
  </w:style>
  <w:style w:type="character" w:styleId="Collegamentoipertestuale">
    <w:name w:val="Hyperlink"/>
    <w:basedOn w:val="Caratterepredefinitoparagrafo"/>
    <w:uiPriority w:val="99"/>
    <w:unhideWhenUsed/>
    <w:rsid w:val="007C6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laudia.tortiglione@cnr.it" TargetMode="Externa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oleObject" Target="embeddings/oleObject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2062</Characters>
  <Application>Microsoft Macintosh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TORTIGLIONE</dc:creator>
  <cp:keywords/>
  <dc:description/>
  <cp:lastModifiedBy>CLAUDIA TORTIGLIONE</cp:lastModifiedBy>
  <cp:revision>2</cp:revision>
  <dcterms:created xsi:type="dcterms:W3CDTF">2018-04-16T14:29:00Z</dcterms:created>
  <dcterms:modified xsi:type="dcterms:W3CDTF">2018-04-16T14:29:00Z</dcterms:modified>
</cp:coreProperties>
</file>