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1DEFB5" w14:textId="77777777" w:rsidR="004C4682" w:rsidRPr="00F94E7E" w:rsidRDefault="004C4682" w:rsidP="004C4682">
      <w:pPr>
        <w:jc w:val="both"/>
        <w:rPr>
          <w:sz w:val="28"/>
          <w:szCs w:val="28"/>
        </w:rPr>
      </w:pPr>
      <w:bookmarkStart w:id="0" w:name="_Hlk500760103"/>
      <w:bookmarkStart w:id="1" w:name="_GoBack"/>
      <w:bookmarkEnd w:id="1"/>
      <w:r w:rsidRPr="00F94E7E">
        <w:rPr>
          <w:sz w:val="28"/>
          <w:szCs w:val="28"/>
        </w:rPr>
        <w:t>Electronic Supplementary Information (</w:t>
      </w:r>
      <w:r w:rsidRPr="00F94E7E">
        <w:rPr>
          <w:rFonts w:asciiTheme="majorBidi" w:hAnsiTheme="majorBidi" w:cstheme="majorBidi"/>
          <w:b/>
          <w:sz w:val="28"/>
          <w:szCs w:val="28"/>
        </w:rPr>
        <w:t>ESI</w:t>
      </w:r>
      <w:r w:rsidRPr="00F94E7E">
        <w:rPr>
          <w:rFonts w:asciiTheme="majorBidi" w:hAnsiTheme="majorBidi" w:cstheme="majorBidi"/>
          <w:sz w:val="28"/>
          <w:szCs w:val="28"/>
        </w:rPr>
        <w:t>†).</w:t>
      </w:r>
    </w:p>
    <w:p w14:paraId="0381E519" w14:textId="77777777" w:rsidR="004C4682" w:rsidRDefault="004C4682" w:rsidP="004C4682">
      <w:pPr>
        <w:rPr>
          <w:b/>
          <w:sz w:val="32"/>
          <w:szCs w:val="32"/>
        </w:rPr>
      </w:pPr>
    </w:p>
    <w:p w14:paraId="293EAA9A" w14:textId="77777777" w:rsidR="00C100EA" w:rsidRDefault="00C100EA" w:rsidP="00C100E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Alkyne Modified Water Stable Alkylammonium Lead(II) Iodide Perovskite</w:t>
      </w:r>
    </w:p>
    <w:p w14:paraId="6423AA76" w14:textId="77777777" w:rsidR="00F43184" w:rsidRDefault="00F43184" w:rsidP="004C4682">
      <w:pPr>
        <w:jc w:val="center"/>
        <w:rPr>
          <w:b/>
          <w:sz w:val="32"/>
          <w:szCs w:val="32"/>
        </w:rPr>
      </w:pPr>
    </w:p>
    <w:p w14:paraId="474F6CE0" w14:textId="77777777" w:rsidR="00854F68" w:rsidRPr="00F43184" w:rsidRDefault="00854F68" w:rsidP="00F43184">
      <w:pPr>
        <w:spacing w:line="276" w:lineRule="auto"/>
        <w:jc w:val="both"/>
        <w:rPr>
          <w:iCs/>
          <w:color w:val="000000" w:themeColor="text1"/>
        </w:rPr>
      </w:pPr>
      <w:r w:rsidRPr="00F43184">
        <w:rPr>
          <w:b/>
          <w:color w:val="000000"/>
        </w:rPr>
        <w:t>Sayantan Sasmal</w:t>
      </w:r>
      <w:r w:rsidRPr="00F43184">
        <w:rPr>
          <w:color w:val="000000"/>
        </w:rPr>
        <w:t xml:space="preserve"> and </w:t>
      </w:r>
      <w:r w:rsidRPr="00F43184">
        <w:rPr>
          <w:b/>
          <w:color w:val="000000"/>
        </w:rPr>
        <w:t xml:space="preserve">Suresh </w:t>
      </w:r>
      <w:r w:rsidRPr="00F43184">
        <w:rPr>
          <w:rFonts w:eastAsia="Calibri"/>
          <w:b/>
          <w:bCs/>
          <w:color w:val="000000"/>
        </w:rPr>
        <w:t>V</w:t>
      </w:r>
      <w:r w:rsidRPr="00F43184">
        <w:rPr>
          <w:b/>
          <w:bCs/>
          <w:color w:val="000000"/>
        </w:rPr>
        <w:t>aliyaveettil</w:t>
      </w:r>
      <w:r w:rsidRPr="00F43184">
        <w:rPr>
          <w:color w:val="000000"/>
        </w:rPr>
        <w:t xml:space="preserve"> </w:t>
      </w:r>
      <w:r w:rsidRPr="00F43184">
        <w:rPr>
          <w:iCs/>
          <w:color w:val="000000" w:themeColor="text1"/>
        </w:rPr>
        <w:t>Department of Chemistry, National University of Singapore, 3 Science Drive 3, Singapore 117543</w:t>
      </w:r>
    </w:p>
    <w:p w14:paraId="4D109874" w14:textId="77777777" w:rsidR="00854F68" w:rsidRPr="00F43184" w:rsidRDefault="00854F68" w:rsidP="00F43184">
      <w:pPr>
        <w:spacing w:line="276" w:lineRule="auto"/>
        <w:jc w:val="both"/>
        <w:rPr>
          <w:rFonts w:eastAsiaTheme="minorHAnsi"/>
          <w:iCs/>
          <w:color w:val="000000" w:themeColor="text1"/>
        </w:rPr>
      </w:pPr>
      <w:r w:rsidRPr="00F43184">
        <w:rPr>
          <w:b/>
          <w:color w:val="000000"/>
        </w:rPr>
        <w:t xml:space="preserve">Sayantan Sasmal, Arun P. Upadhyay, Raj G. S. Pala </w:t>
      </w:r>
      <w:r w:rsidRPr="00F43184">
        <w:rPr>
          <w:color w:val="000000"/>
        </w:rPr>
        <w:t>and</w:t>
      </w:r>
      <w:r w:rsidRPr="00F43184">
        <w:rPr>
          <w:b/>
          <w:color w:val="000000"/>
        </w:rPr>
        <w:t xml:space="preserve"> Sri Sivakumar</w:t>
      </w:r>
      <w:r w:rsidRPr="00F43184">
        <w:rPr>
          <w:color w:val="000000"/>
        </w:rPr>
        <w:t xml:space="preserve">, </w:t>
      </w:r>
      <w:r w:rsidRPr="00F43184">
        <w:rPr>
          <w:iCs/>
          <w:color w:val="000000" w:themeColor="text1"/>
        </w:rPr>
        <w:t>Department of Chemical Engineering,</w:t>
      </w:r>
      <w:r w:rsidRPr="00F43184">
        <w:rPr>
          <w:iCs/>
          <w:color w:val="000000" w:themeColor="text1"/>
          <w:vertAlign w:val="superscript"/>
        </w:rPr>
        <w:t xml:space="preserve"> </w:t>
      </w:r>
      <w:r w:rsidRPr="00F43184">
        <w:rPr>
          <w:iCs/>
          <w:color w:val="000000" w:themeColor="text1"/>
        </w:rPr>
        <w:t>Material</w:t>
      </w:r>
      <w:r w:rsidR="007614A1">
        <w:rPr>
          <w:iCs/>
          <w:color w:val="000000" w:themeColor="text1"/>
        </w:rPr>
        <w:t>s</w:t>
      </w:r>
      <w:r w:rsidRPr="00F43184">
        <w:rPr>
          <w:iCs/>
          <w:color w:val="000000" w:themeColor="text1"/>
        </w:rPr>
        <w:t xml:space="preserve"> Science Programme, Indian Institute of Technology Kanpur, UP-208016, India</w:t>
      </w:r>
    </w:p>
    <w:p w14:paraId="10B57422" w14:textId="77777777" w:rsidR="00854F68" w:rsidRPr="00F43184" w:rsidRDefault="00854F68" w:rsidP="00F43184">
      <w:pPr>
        <w:spacing w:line="276" w:lineRule="auto"/>
        <w:jc w:val="both"/>
        <w:rPr>
          <w:iCs/>
          <w:color w:val="000000" w:themeColor="text1"/>
        </w:rPr>
      </w:pPr>
      <w:r w:rsidRPr="00F43184">
        <w:rPr>
          <w:b/>
          <w:color w:val="000000"/>
        </w:rPr>
        <w:t xml:space="preserve">Dharmadoss Sornadurai </w:t>
      </w:r>
      <w:r w:rsidRPr="00F43184">
        <w:rPr>
          <w:color w:val="000000"/>
        </w:rPr>
        <w:t>and</w:t>
      </w:r>
      <w:r w:rsidRPr="00F43184">
        <w:rPr>
          <w:b/>
          <w:color w:val="000000"/>
        </w:rPr>
        <w:t xml:space="preserve"> Chakram S. Sundar</w:t>
      </w:r>
      <w:r w:rsidRPr="00F43184">
        <w:rPr>
          <w:color w:val="000000"/>
        </w:rPr>
        <w:t>,</w:t>
      </w:r>
      <w:r w:rsidRPr="00F43184">
        <w:rPr>
          <w:iCs/>
          <w:color w:val="000000" w:themeColor="text1"/>
        </w:rPr>
        <w:t xml:space="preserve"> </w:t>
      </w:r>
      <w:r w:rsidRPr="00F43184">
        <w:rPr>
          <w:bCs/>
          <w:iCs/>
          <w:color w:val="000000" w:themeColor="text1"/>
        </w:rPr>
        <w:t>Materials Science Group, Indira Gandhi Centre for Atomic Research,</w:t>
      </w:r>
      <w:r w:rsidRPr="00F43184">
        <w:rPr>
          <w:iCs/>
          <w:color w:val="000000" w:themeColor="text1"/>
        </w:rPr>
        <w:t xml:space="preserve"> </w:t>
      </w:r>
      <w:r w:rsidRPr="00F43184">
        <w:rPr>
          <w:bCs/>
          <w:iCs/>
          <w:color w:val="000000" w:themeColor="text1"/>
        </w:rPr>
        <w:t>Kalpakkam 603102, India</w:t>
      </w:r>
    </w:p>
    <w:p w14:paraId="1C34F599" w14:textId="77777777" w:rsidR="00854F68" w:rsidRPr="00F43184" w:rsidRDefault="00854F68" w:rsidP="00F43184">
      <w:pPr>
        <w:pStyle w:val="Abstract"/>
        <w:spacing w:after="0" w:line="240" w:lineRule="auto"/>
        <w:rPr>
          <w:rFonts w:ascii="Times New Roman" w:eastAsiaTheme="minorHAnsi" w:hAnsi="Times New Roman"/>
          <w:sz w:val="24"/>
          <w:szCs w:val="24"/>
          <w:lang w:val="en-SG" w:eastAsia="en-US"/>
        </w:rPr>
      </w:pPr>
    </w:p>
    <w:p w14:paraId="36BEBFBB" w14:textId="77777777" w:rsidR="00854F68" w:rsidRDefault="00854F68" w:rsidP="00F43184">
      <w:pPr>
        <w:pStyle w:val="Abstract"/>
        <w:spacing w:after="0" w:line="240" w:lineRule="auto"/>
        <w:rPr>
          <w:rStyle w:val="Hyperlink"/>
          <w:rFonts w:ascii="Times New Roman" w:hAnsi="Times New Roman"/>
          <w:sz w:val="24"/>
          <w:szCs w:val="24"/>
          <w:shd w:val="clear" w:color="auto" w:fill="FFFFFF"/>
        </w:rPr>
      </w:pPr>
      <w:r w:rsidRPr="00F43184">
        <w:rPr>
          <w:rFonts w:ascii="Times New Roman" w:eastAsiaTheme="minorHAnsi" w:hAnsi="Times New Roman"/>
          <w:sz w:val="24"/>
          <w:szCs w:val="24"/>
          <w:lang w:val="en-SG" w:eastAsia="en-US"/>
        </w:rPr>
        <w:t xml:space="preserve">Address all correspondence to </w:t>
      </w:r>
      <w:r w:rsidRPr="00F43184">
        <w:rPr>
          <w:rFonts w:ascii="Times New Roman" w:hAnsi="Times New Roman"/>
          <w:b/>
          <w:color w:val="000000"/>
          <w:sz w:val="24"/>
          <w:szCs w:val="24"/>
        </w:rPr>
        <w:t xml:space="preserve">Raj G. S. Pala, Sri Sivakumar </w:t>
      </w:r>
      <w:r w:rsidRPr="00F43184">
        <w:rPr>
          <w:rFonts w:ascii="Times New Roman" w:hAnsi="Times New Roman"/>
          <w:color w:val="000000"/>
          <w:sz w:val="24"/>
          <w:szCs w:val="24"/>
        </w:rPr>
        <w:t>and</w:t>
      </w:r>
      <w:r w:rsidRPr="00F43184">
        <w:rPr>
          <w:rFonts w:ascii="Times New Roman" w:hAnsi="Times New Roman"/>
          <w:b/>
          <w:color w:val="000000"/>
          <w:sz w:val="24"/>
          <w:szCs w:val="24"/>
        </w:rPr>
        <w:t xml:space="preserve"> Suresh </w:t>
      </w:r>
      <w:r w:rsidRPr="00F43184">
        <w:rPr>
          <w:rFonts w:ascii="Times New Roman" w:eastAsia="Calibri" w:hAnsi="Times New Roman"/>
          <w:b/>
          <w:bCs/>
          <w:color w:val="000000"/>
          <w:sz w:val="24"/>
          <w:szCs w:val="24"/>
        </w:rPr>
        <w:t>V</w:t>
      </w:r>
      <w:r w:rsidRPr="00F43184">
        <w:rPr>
          <w:rFonts w:ascii="Times New Roman" w:hAnsi="Times New Roman"/>
          <w:b/>
          <w:bCs/>
          <w:color w:val="000000"/>
          <w:sz w:val="24"/>
          <w:szCs w:val="24"/>
        </w:rPr>
        <w:t xml:space="preserve">aliyaveettil, at </w:t>
      </w:r>
      <w:hyperlink r:id="rId5" w:history="1">
        <w:r w:rsidRPr="00F43184">
          <w:rPr>
            <w:rStyle w:val="Hyperlink"/>
            <w:rFonts w:ascii="Times New Roman" w:hAnsi="Times New Roman"/>
            <w:sz w:val="24"/>
            <w:szCs w:val="24"/>
            <w:shd w:val="clear" w:color="auto" w:fill="FFFFFF"/>
          </w:rPr>
          <w:t>rpala@iitk.ac.in</w:t>
        </w:r>
      </w:hyperlink>
      <w:r w:rsidRPr="00F43184">
        <w:rPr>
          <w:rStyle w:val="Hyperlink"/>
          <w:rFonts w:ascii="Times New Roman" w:hAnsi="Times New Roman"/>
          <w:sz w:val="24"/>
          <w:szCs w:val="24"/>
          <w:shd w:val="clear" w:color="auto" w:fill="FFFFFF"/>
        </w:rPr>
        <w:t xml:space="preserve">; </w:t>
      </w:r>
      <w:hyperlink r:id="rId6" w:history="1">
        <w:r w:rsidRPr="00F43184">
          <w:rPr>
            <w:rStyle w:val="Hyperlink"/>
            <w:rFonts w:ascii="Times New Roman" w:hAnsi="Times New Roman"/>
            <w:sz w:val="24"/>
            <w:szCs w:val="24"/>
            <w:shd w:val="clear" w:color="auto" w:fill="FFFFFF"/>
          </w:rPr>
          <w:t>srisiva@iitk.ac.in</w:t>
        </w:r>
      </w:hyperlink>
      <w:r w:rsidRPr="00F43184">
        <w:rPr>
          <w:rStyle w:val="Hyperlink"/>
          <w:rFonts w:ascii="Times New Roman" w:hAnsi="Times New Roman"/>
          <w:sz w:val="24"/>
          <w:szCs w:val="24"/>
          <w:shd w:val="clear" w:color="auto" w:fill="FFFFFF"/>
        </w:rPr>
        <w:t xml:space="preserve">; </w:t>
      </w:r>
      <w:hyperlink r:id="rId7" w:history="1">
        <w:r w:rsidRPr="00F43184">
          <w:rPr>
            <w:rStyle w:val="Hyperlink"/>
            <w:rFonts w:ascii="Times New Roman" w:hAnsi="Times New Roman"/>
            <w:sz w:val="24"/>
            <w:szCs w:val="24"/>
            <w:shd w:val="clear" w:color="auto" w:fill="FFFFFF"/>
          </w:rPr>
          <w:t>chmsv@nus.edu.sg</w:t>
        </w:r>
      </w:hyperlink>
      <w:r>
        <w:rPr>
          <w:rStyle w:val="Hyperlink"/>
          <w:rFonts w:ascii="Times New Roman" w:hAnsi="Times New Roman"/>
          <w:sz w:val="24"/>
          <w:szCs w:val="24"/>
          <w:shd w:val="clear" w:color="auto" w:fill="FFFFFF"/>
        </w:rPr>
        <w:t>.</w:t>
      </w:r>
    </w:p>
    <w:p w14:paraId="4ECE37E8" w14:textId="77777777" w:rsidR="00854F68" w:rsidRPr="00D21A85" w:rsidRDefault="00D21A85" w:rsidP="00D21A85">
      <w:pPr>
        <w:spacing w:after="160" w:line="259" w:lineRule="auto"/>
        <w:rPr>
          <w:b/>
          <w:lang w:val="en-US"/>
        </w:rPr>
      </w:pPr>
      <w:r>
        <w:rPr>
          <w:b/>
          <w:lang w:val="en-US"/>
        </w:rPr>
        <w:br w:type="page"/>
      </w:r>
    </w:p>
    <w:bookmarkEnd w:id="0"/>
    <w:p w14:paraId="5843AA5A" w14:textId="77777777" w:rsidR="00FE7A44" w:rsidRPr="004E1EB4" w:rsidRDefault="00FE7A44" w:rsidP="00FE7A44">
      <w:pPr>
        <w:pStyle w:val="HExperimentalSection"/>
        <w:rPr>
          <w:i/>
        </w:rPr>
      </w:pPr>
      <w:r w:rsidRPr="004E1EB4">
        <w:rPr>
          <w:i/>
        </w:rPr>
        <w:lastRenderedPageBreak/>
        <w:t>Materials and characterization</w:t>
      </w:r>
    </w:p>
    <w:p w14:paraId="36EB2E31" w14:textId="77777777" w:rsidR="00FE7A44" w:rsidRPr="004E1EB4" w:rsidRDefault="00FE7A44" w:rsidP="00FE7A44">
      <w:pPr>
        <w:spacing w:line="480" w:lineRule="auto"/>
        <w:jc w:val="both"/>
      </w:pPr>
      <w:r w:rsidRPr="004E1EB4">
        <w:t xml:space="preserve">Methylamine (40% </w:t>
      </w:r>
      <w:r>
        <w:t>in methanol) and γ-B</w:t>
      </w:r>
      <w:r w:rsidRPr="004E1EB4">
        <w:t>utyrolactone w</w:t>
      </w:r>
      <w:r>
        <w:t>ere</w:t>
      </w:r>
      <w:r w:rsidRPr="004E1EB4">
        <w:t xml:space="preserve"> purchased from TCI C</w:t>
      </w:r>
      <w:r>
        <w:t>hemicals. HI (57% in water), 4-A</w:t>
      </w:r>
      <w:r w:rsidRPr="004E1EB4">
        <w:t xml:space="preserve">minobenzoic acid, Lead Iodide (98%), </w:t>
      </w:r>
      <w:r w:rsidRPr="00090F23">
        <w:t>1-Ethyl-3-(3-dimethylaminopropyl)carbodiimide</w:t>
      </w:r>
      <w:r>
        <w:t xml:space="preserve"> (</w:t>
      </w:r>
      <w:r w:rsidRPr="004E1EB4">
        <w:t>EDC</w:t>
      </w:r>
      <w:r>
        <w:t>)</w:t>
      </w:r>
      <w:r w:rsidRPr="004E1EB4">
        <w:t xml:space="preserve"> and 1-Amino-3-butyne (95%) were purchased from Sigma Aldrich. A Millipore system was used to purify the water. Powder X-ray diffraction analyses of all samples were done at room temperature using a X’Pert Pro diffractometer, PAN Analytical, Netherlands, with Cu-Kα (1.54 Å) radiation. TEM micrographs were obtained using FEI Technai G2 Twin TEM 120 KV instrument. 4-[(N-3-butyne)carboxyamido]anilinium lead iodide encapsulated MAPbI</w:t>
      </w:r>
      <w:r w:rsidRPr="004E1EB4">
        <w:rPr>
          <w:vertAlign w:val="subscript"/>
        </w:rPr>
        <w:t>3</w:t>
      </w:r>
      <w:r w:rsidRPr="004E1EB4">
        <w:t xml:space="preserve"> sample was deposited on the TEM grid using ethanol as a dispersant. All other samples were prepared by placing one drop of precursor solution on a TEM grid and heated to remove the solvents. The absorbance and diffuse reflectance spectra of the samples were measured using Uv-Vis-NIR spectrophotometer (Cary 5000, Agilent Technologies). The hydrophobicity of the sample was characterized </w:t>
      </w:r>
      <w:r>
        <w:t>by</w:t>
      </w:r>
      <w:r w:rsidRPr="004E1EB4">
        <w:t xml:space="preserve"> contact angle measurements using a goniometer with a CCD camera. XPS analyses were done with PHI 5000 Versa Probe II, FEI INC instrument. Infrared spectra were recorded on a Bruker Vector 22 FT-IR spectrophotometer using KBr as the matrix. All photoelectrochemical water splitting measurements were done using a Potentiostat (Autolab 302N, Metrohm India Ltd, the Netherlands) and solar simulator (ORIEL SOI3A, Newport suppliers, the Netherlands) in 0.1M NaOH solution. Syntheses requiring inert atmosphere were done inside a Glove box (Campus, JACOMEX). </w:t>
      </w:r>
    </w:p>
    <w:p w14:paraId="7757CC10" w14:textId="02A6D3EF" w:rsidR="00FE7A44" w:rsidRPr="004E1EB4" w:rsidRDefault="00FE7A44" w:rsidP="00FE7A44">
      <w:pPr>
        <w:spacing w:line="480" w:lineRule="auto"/>
        <w:ind w:firstLine="567"/>
        <w:jc w:val="both"/>
      </w:pPr>
      <w:r w:rsidRPr="004E1EB4">
        <w:t xml:space="preserve">Photoelectrochemical water splitting performance of </w:t>
      </w:r>
      <w:r w:rsidR="00010521">
        <w:t xml:space="preserve">the </w:t>
      </w:r>
      <w:r w:rsidRPr="004E1EB4">
        <w:t xml:space="preserve">modified hydrophobic perovskite photoanode was evaluated in three electrodes set up using a potentiostat (Autolab 302N, Metrohm India Ltd., The Netherlands). In a typical water splitting experiment, Ag/AgCl electrode and a platinum wire mesh (1 cm × 1 cm) were used as a reference and counter electrodes, respectively, in aqueous NaOH (20 ml, 0.1M, pH ~12.57) electrolyte solution. </w:t>
      </w:r>
      <w:r w:rsidRPr="004E1EB4">
        <w:lastRenderedPageBreak/>
        <w:t>Applied bias was measured between working and counter electrode (Pt) using a voltmeter and plotted against the observed current density. The scans were done in dark and in presence of light using a solar simulator (ORIEL, SOI3A, Newport suppliers, the Netherlands) having AM 1.5G filter with power intensity of 100 mW/cm</w:t>
      </w:r>
      <w:r w:rsidRPr="004E1EB4">
        <w:rPr>
          <w:vertAlign w:val="superscript"/>
        </w:rPr>
        <w:t>2</w:t>
      </w:r>
      <w:r w:rsidRPr="004E1EB4">
        <w:t xml:space="preserve"> and using a scan rate of 1 mV/sec. To estimate the Applied bias Photon-to-current Efficiency (ABPE), applied bias was measured between working and counter (Pt) electrodes using a voltmeter with the same electrochemical cell described above. Evolved gas was detected using a gas chromatograph (Thermo Fisher Scientific trace GC 800) equipped with a </w:t>
      </w:r>
      <w:r w:rsidRPr="004E1EB4">
        <w:rPr>
          <w:color w:val="000000" w:themeColor="text1"/>
        </w:rPr>
        <w:t>TCD</w:t>
      </w:r>
      <w:r w:rsidRPr="004E1EB4">
        <w:t xml:space="preserve"> detector at 2V applied bias. As regeneration of NBCAnPbI</w:t>
      </w:r>
      <w:r w:rsidRPr="004E1EB4">
        <w:rPr>
          <w:vertAlign w:val="subscript"/>
        </w:rPr>
        <w:t>3</w:t>
      </w:r>
      <w:r w:rsidRPr="004E1EB4">
        <w:t>{MAPbI</w:t>
      </w:r>
      <w:r w:rsidRPr="004E1EB4">
        <w:rPr>
          <w:vertAlign w:val="subscript"/>
        </w:rPr>
        <w:t>3</w:t>
      </w:r>
      <w:r w:rsidRPr="004E1EB4">
        <w:t>} was limited by low activity of p25-TiO</w:t>
      </w:r>
      <w:r w:rsidRPr="004E1EB4">
        <w:rPr>
          <w:vertAlign w:val="subscript"/>
        </w:rPr>
        <w:t xml:space="preserve">2, </w:t>
      </w:r>
      <w:r w:rsidRPr="004E1EB4">
        <w:t>quantitative measurement of evolved H</w:t>
      </w:r>
      <w:r w:rsidRPr="004E1EB4">
        <w:rPr>
          <w:vertAlign w:val="subscript"/>
        </w:rPr>
        <w:t>2</w:t>
      </w:r>
      <w:r w:rsidRPr="004E1EB4">
        <w:t xml:space="preserve"> and O</w:t>
      </w:r>
      <w:r w:rsidRPr="004E1EB4">
        <w:rPr>
          <w:vertAlign w:val="subscript"/>
        </w:rPr>
        <w:t>2</w:t>
      </w:r>
      <w:r w:rsidRPr="004E1EB4">
        <w:t xml:space="preserve"> were not performed but the qualitative measurement was done by passing evolved gas through GC and examined with the previously calibrated position.</w:t>
      </w:r>
      <w:r w:rsidRPr="004E1EB4">
        <w:rPr>
          <w:shd w:val="clear" w:color="auto" w:fill="FFFFFF"/>
        </w:rPr>
        <w:t xml:space="preserve"> I</w:t>
      </w:r>
      <w:r w:rsidRPr="004E1EB4">
        <w:t>mpedance spectroscopy and Mott-Schottky equation were used to calculate the flat band potential. Here 4-[(N-3-butyne)carboxyamido]anilinium lead(II) iodide coated over ITO, Pt wire mesh and Ag/AgCl electrode were used as working, counter and reference electrodes, respectively. K</w:t>
      </w:r>
      <w:r w:rsidRPr="004E1EB4">
        <w:rPr>
          <w:vertAlign w:val="subscript"/>
        </w:rPr>
        <w:t>3</w:t>
      </w:r>
      <w:r w:rsidRPr="004E1EB4">
        <w:t>[Fe(CN)</w:t>
      </w:r>
      <w:r w:rsidRPr="004E1EB4">
        <w:rPr>
          <w:vertAlign w:val="subscript"/>
        </w:rPr>
        <w:t>6</w:t>
      </w:r>
      <w:r w:rsidRPr="004E1EB4">
        <w:t>] (7 × 10</w:t>
      </w:r>
      <w:r w:rsidRPr="004E1EB4">
        <w:rPr>
          <w:vertAlign w:val="superscript"/>
        </w:rPr>
        <w:t>-4</w:t>
      </w:r>
      <w:r w:rsidRPr="004E1EB4">
        <w:t xml:space="preserve"> M) dissolved in 1 M KCl solution was used as electrolyte to study the impedance spectroscopy using the potential window from +0.8 to -0.35 V (Ag/AgCl). We used the equation, E (vs. NHE) = E (Ag/AgCl) + 0.197V to convert the observed potential against the normal hydrogen electrode (vs. NHE</w:t>
      </w:r>
      <w:r w:rsidRPr="009D07CC">
        <w:t>).</w:t>
      </w:r>
      <w:r w:rsidRPr="009D07CC">
        <w:rPr>
          <w:vertAlign w:val="superscript"/>
        </w:rPr>
        <w:t>[</w:t>
      </w:r>
      <w:r w:rsidR="009D07CC" w:rsidRPr="009D07CC">
        <w:rPr>
          <w:vertAlign w:val="superscript"/>
        </w:rPr>
        <w:t>1</w:t>
      </w:r>
      <w:r w:rsidRPr="009D07CC">
        <w:rPr>
          <w:vertAlign w:val="superscript"/>
        </w:rPr>
        <w:t>]</w:t>
      </w:r>
    </w:p>
    <w:p w14:paraId="7E3C7FD7" w14:textId="77777777" w:rsidR="00FE7A44" w:rsidRDefault="00FE7A44">
      <w:pPr>
        <w:spacing w:after="160" w:line="259" w:lineRule="auto"/>
      </w:pPr>
      <w:r>
        <w:br w:type="page"/>
      </w:r>
    </w:p>
    <w:p w14:paraId="72014906" w14:textId="77777777" w:rsidR="00FE7A44" w:rsidRDefault="00FE7A44"/>
    <w:p w14:paraId="69258386" w14:textId="2B462D5E" w:rsidR="00D21A85" w:rsidRPr="00FE02C8" w:rsidRDefault="004C4682" w:rsidP="00FE02C8">
      <w:r>
        <w:rPr>
          <w:noProof/>
          <w:lang w:val="en-SG" w:eastAsia="en-SG"/>
        </w:rPr>
        <w:drawing>
          <wp:inline distT="0" distB="0" distL="0" distR="0" wp14:anchorId="484CF0F8" wp14:editId="4AC544F1">
            <wp:extent cx="5731510" cy="1534160"/>
            <wp:effectExtent l="0" t="0" r="254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3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33946E" w14:textId="3FFC1C5F" w:rsidR="004C4682" w:rsidRDefault="004C4682" w:rsidP="003C53BF">
      <w:pPr>
        <w:spacing w:line="360" w:lineRule="auto"/>
        <w:jc w:val="both"/>
        <w:rPr>
          <w:vertAlign w:val="subscript"/>
        </w:rPr>
      </w:pPr>
      <w:r w:rsidRPr="004C4682">
        <w:rPr>
          <w:b/>
        </w:rPr>
        <w:t>F</w:t>
      </w:r>
      <w:r w:rsidR="00010521">
        <w:rPr>
          <w:b/>
        </w:rPr>
        <w:t>ig</w:t>
      </w:r>
      <w:r w:rsidR="00A64E53">
        <w:rPr>
          <w:b/>
        </w:rPr>
        <w:t>.</w:t>
      </w:r>
      <w:r w:rsidRPr="004C4682">
        <w:rPr>
          <w:b/>
        </w:rPr>
        <w:t xml:space="preserve"> S1: </w:t>
      </w:r>
      <w:r w:rsidRPr="004C4682">
        <w:t>XPS survey scan on three different points (A), (B) and (C) of</w:t>
      </w:r>
      <w:r w:rsidRPr="004C4682">
        <w:rPr>
          <w:color w:val="000000" w:themeColor="text1"/>
        </w:rPr>
        <w:t xml:space="preserve"> bare </w:t>
      </w:r>
      <w:r w:rsidRPr="004C4682">
        <w:t>4-[(N-3-butyne) carboxyamido]anilinium lead iodide film. The atomic ratio of Pb: I is 1 : 3.2</w:t>
      </w:r>
      <w:r w:rsidR="00010521">
        <w:t xml:space="preserve"> </w:t>
      </w:r>
      <w:r w:rsidR="00010521" w:rsidRPr="004C4682">
        <w:t>(A)</w:t>
      </w:r>
      <w:r w:rsidRPr="004C4682">
        <w:t>, 1 : 2.88</w:t>
      </w:r>
      <w:r w:rsidR="00010521">
        <w:t xml:space="preserve"> </w:t>
      </w:r>
      <w:r w:rsidR="00010521" w:rsidRPr="004C4682">
        <w:t>(B)</w:t>
      </w:r>
      <w:r w:rsidRPr="004C4682">
        <w:t xml:space="preserve">, 1 : 2.75  </w:t>
      </w:r>
      <w:r w:rsidR="00010521" w:rsidRPr="004C4682">
        <w:t xml:space="preserve">(C) </w:t>
      </w:r>
      <w:r w:rsidRPr="004C4682">
        <w:t xml:space="preserve">which </w:t>
      </w:r>
      <w:r w:rsidR="00010521">
        <w:t>implies a</w:t>
      </w:r>
      <w:r w:rsidRPr="004C4682">
        <w:t xml:space="preserve"> formula of the sample </w:t>
      </w:r>
      <w:r w:rsidR="00010521">
        <w:t>as</w:t>
      </w:r>
      <w:r w:rsidRPr="004C4682">
        <w:t xml:space="preserve"> NBCAnPbI</w:t>
      </w:r>
      <w:r w:rsidRPr="004C4682">
        <w:rPr>
          <w:vertAlign w:val="subscript"/>
        </w:rPr>
        <w:t>3.</w:t>
      </w:r>
    </w:p>
    <w:p w14:paraId="58D21740" w14:textId="3312729D" w:rsidR="00D21A85" w:rsidRDefault="00775533" w:rsidP="003C53BF">
      <w:pPr>
        <w:spacing w:line="360" w:lineRule="auto"/>
        <w:jc w:val="both"/>
        <w:rPr>
          <w:vertAlign w:val="subscript"/>
        </w:rPr>
      </w:pPr>
      <w:r>
        <w:rPr>
          <w:noProof/>
          <w:lang w:val="en-SG" w:eastAsia="en-SG"/>
        </w:rPr>
        <w:drawing>
          <wp:inline distT="0" distB="0" distL="0" distR="0" wp14:anchorId="0A878A6C" wp14:editId="7149CE87">
            <wp:extent cx="5731510" cy="485525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5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3BEBC" w14:textId="21793101" w:rsidR="00775533" w:rsidRPr="00775533" w:rsidRDefault="00775533" w:rsidP="003C53BF">
      <w:pPr>
        <w:spacing w:line="360" w:lineRule="auto"/>
        <w:jc w:val="both"/>
        <w:rPr>
          <w:vertAlign w:val="subscript"/>
        </w:rPr>
      </w:pPr>
      <w:r w:rsidRPr="003C651C">
        <w:rPr>
          <w:b/>
          <w:shd w:val="clear" w:color="auto" w:fill="FFFFFF"/>
        </w:rPr>
        <w:t>Fig S2</w:t>
      </w:r>
      <w:r w:rsidRPr="00775533">
        <w:rPr>
          <w:shd w:val="clear" w:color="auto" w:fill="FFFFFF"/>
        </w:rPr>
        <w:t>: UV-Vis absorption spectra of pure MAPbI</w:t>
      </w:r>
      <w:r w:rsidRPr="00775533">
        <w:rPr>
          <w:shd w:val="clear" w:color="auto" w:fill="FFFFFF"/>
          <w:vertAlign w:val="subscript"/>
        </w:rPr>
        <w:t>3</w:t>
      </w:r>
      <w:r w:rsidRPr="00775533">
        <w:rPr>
          <w:shd w:val="clear" w:color="auto" w:fill="FFFFFF"/>
        </w:rPr>
        <w:t xml:space="preserve"> (i), NBCAnPbI</w:t>
      </w:r>
      <w:r w:rsidRPr="00775533">
        <w:rPr>
          <w:shd w:val="clear" w:color="auto" w:fill="FFFFFF"/>
          <w:vertAlign w:val="subscript"/>
        </w:rPr>
        <w:t xml:space="preserve">3 </w:t>
      </w:r>
      <w:r w:rsidRPr="00775533">
        <w:rPr>
          <w:shd w:val="clear" w:color="auto" w:fill="FFFFFF"/>
        </w:rPr>
        <w:t>(ii) and NBCAnPbI</w:t>
      </w:r>
      <w:r w:rsidRPr="00775533">
        <w:rPr>
          <w:shd w:val="clear" w:color="auto" w:fill="FFFFFF"/>
          <w:vertAlign w:val="subscript"/>
        </w:rPr>
        <w:t>3</w:t>
      </w:r>
      <w:r w:rsidRPr="00775533">
        <w:rPr>
          <w:shd w:val="clear" w:color="auto" w:fill="FFFFFF"/>
        </w:rPr>
        <w:t>{MAPbI</w:t>
      </w:r>
      <w:r w:rsidRPr="00775533">
        <w:rPr>
          <w:shd w:val="clear" w:color="auto" w:fill="FFFFFF"/>
          <w:vertAlign w:val="subscript"/>
        </w:rPr>
        <w:t>3</w:t>
      </w:r>
      <w:r w:rsidRPr="00775533">
        <w:rPr>
          <w:shd w:val="clear" w:color="auto" w:fill="FFFFFF"/>
        </w:rPr>
        <w:t>} (iii).</w:t>
      </w:r>
    </w:p>
    <w:p w14:paraId="0ED2E38B" w14:textId="77777777" w:rsidR="00D21A85" w:rsidRPr="004C4682" w:rsidRDefault="00D21A85" w:rsidP="003C53BF">
      <w:pPr>
        <w:spacing w:line="360" w:lineRule="auto"/>
        <w:jc w:val="both"/>
        <w:rPr>
          <w:vertAlign w:val="subscript"/>
        </w:rPr>
      </w:pPr>
    </w:p>
    <w:p w14:paraId="4B70178C" w14:textId="77777777" w:rsidR="004C4682" w:rsidRDefault="003C53BF" w:rsidP="003C53BF">
      <w:pPr>
        <w:jc w:val="center"/>
      </w:pPr>
      <w:r>
        <w:rPr>
          <w:noProof/>
          <w:lang w:val="en-SG" w:eastAsia="en-SG"/>
        </w:rPr>
        <w:lastRenderedPageBreak/>
        <w:drawing>
          <wp:inline distT="0" distB="0" distL="0" distR="0" wp14:anchorId="0CF2AC24" wp14:editId="54C2ABB5">
            <wp:extent cx="3166910" cy="3107438"/>
            <wp:effectExtent l="0" t="0" r="0" b="0"/>
            <wp:docPr id="2" name="Picture 2" descr="C:\Users\sayantan sasmal\AppData\Local\Microsoft\Windows\INetCache\Content.Word\SSSSSSS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yantan sasmal\AppData\Local\Microsoft\Windows\INetCache\Content.Word\SSSSSSSS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803" cy="311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43DB6" w14:textId="77777777" w:rsidR="00D21A85" w:rsidRDefault="00D21A85" w:rsidP="003C53BF">
      <w:pPr>
        <w:spacing w:line="360" w:lineRule="auto"/>
        <w:jc w:val="both"/>
        <w:rPr>
          <w:b/>
        </w:rPr>
      </w:pPr>
    </w:p>
    <w:p w14:paraId="23003F84" w14:textId="0E458D38" w:rsidR="003C53BF" w:rsidRDefault="003C53BF" w:rsidP="003C53BF">
      <w:pPr>
        <w:spacing w:line="360" w:lineRule="auto"/>
        <w:jc w:val="both"/>
      </w:pPr>
      <w:r w:rsidRPr="003C53BF">
        <w:rPr>
          <w:b/>
        </w:rPr>
        <w:t>F</w:t>
      </w:r>
      <w:r w:rsidR="00010521">
        <w:rPr>
          <w:b/>
        </w:rPr>
        <w:t>ig</w:t>
      </w:r>
      <w:r w:rsidR="00A64E53">
        <w:rPr>
          <w:b/>
        </w:rPr>
        <w:t>.</w:t>
      </w:r>
      <w:r w:rsidRPr="003C53BF">
        <w:rPr>
          <w:b/>
        </w:rPr>
        <w:t xml:space="preserve"> S</w:t>
      </w:r>
      <w:r w:rsidR="003C651C">
        <w:rPr>
          <w:b/>
        </w:rPr>
        <w:t>3</w:t>
      </w:r>
      <w:r w:rsidRPr="003C53BF">
        <w:rPr>
          <w:b/>
        </w:rPr>
        <w:t>:</w:t>
      </w:r>
      <w:r w:rsidRPr="003C53BF">
        <w:t xml:space="preserve"> TEM micrographs of </w:t>
      </w:r>
      <w:r w:rsidR="00010521">
        <w:t xml:space="preserve">discrete crystals of </w:t>
      </w:r>
      <w:r w:rsidRPr="003C53BF">
        <w:t>MAPbI</w:t>
      </w:r>
      <w:r w:rsidRPr="003C53BF">
        <w:rPr>
          <w:vertAlign w:val="subscript"/>
        </w:rPr>
        <w:t>3</w:t>
      </w:r>
      <w:r w:rsidRPr="003C53BF">
        <w:t xml:space="preserve"> </w:t>
      </w:r>
      <w:r w:rsidR="00010521">
        <w:t>with</w:t>
      </w:r>
      <w:r w:rsidRPr="003C53BF">
        <w:t xml:space="preserve"> no network structure. Inset shows the d-spacing </w:t>
      </w:r>
      <w:r w:rsidR="00010521">
        <w:t xml:space="preserve">of </w:t>
      </w:r>
      <w:r w:rsidRPr="003C53BF">
        <w:t>~ 0.278 nm</w:t>
      </w:r>
      <w:r w:rsidR="00010521">
        <w:t>, which</w:t>
      </w:r>
      <w:r w:rsidRPr="003C53BF">
        <w:t xml:space="preserve"> correspond to the tetragonal MAPbI</w:t>
      </w:r>
      <w:r w:rsidRPr="003C53BF">
        <w:rPr>
          <w:vertAlign w:val="subscript"/>
        </w:rPr>
        <w:t>3</w:t>
      </w:r>
      <w:r w:rsidRPr="003C53BF">
        <w:t>.</w:t>
      </w:r>
    </w:p>
    <w:p w14:paraId="5B9180F8" w14:textId="77777777" w:rsidR="003C53BF" w:rsidRPr="003C53BF" w:rsidRDefault="003C53BF" w:rsidP="003C53BF">
      <w:pPr>
        <w:spacing w:line="360" w:lineRule="auto"/>
        <w:jc w:val="both"/>
      </w:pPr>
    </w:p>
    <w:p w14:paraId="3C8D96D6" w14:textId="3766901E" w:rsidR="00D21A85" w:rsidRPr="00FE02C8" w:rsidRDefault="003C53BF" w:rsidP="00FE02C8">
      <w:pPr>
        <w:jc w:val="center"/>
      </w:pPr>
      <w:r>
        <w:rPr>
          <w:noProof/>
          <w:lang w:val="en-SG" w:eastAsia="en-SG"/>
        </w:rPr>
        <w:drawing>
          <wp:inline distT="0" distB="0" distL="0" distR="0" wp14:anchorId="4B42154C" wp14:editId="4137D695">
            <wp:extent cx="4150238" cy="34575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069" cy="3545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6A3D5A" w14:textId="54A39644" w:rsidR="00D21A85" w:rsidRDefault="003C53BF" w:rsidP="003C53BF">
      <w:pPr>
        <w:spacing w:line="360" w:lineRule="auto"/>
      </w:pPr>
      <w:r w:rsidRPr="003C53BF">
        <w:rPr>
          <w:b/>
        </w:rPr>
        <w:t>F</w:t>
      </w:r>
      <w:r w:rsidR="00010521">
        <w:rPr>
          <w:b/>
        </w:rPr>
        <w:t>ig</w:t>
      </w:r>
      <w:r w:rsidR="00A64E53">
        <w:rPr>
          <w:b/>
        </w:rPr>
        <w:t>.</w:t>
      </w:r>
      <w:r w:rsidR="00010521">
        <w:rPr>
          <w:b/>
        </w:rPr>
        <w:t xml:space="preserve"> </w:t>
      </w:r>
      <w:r w:rsidRPr="003C53BF">
        <w:rPr>
          <w:b/>
        </w:rPr>
        <w:t>S</w:t>
      </w:r>
      <w:r w:rsidR="003C651C">
        <w:rPr>
          <w:b/>
        </w:rPr>
        <w:t>4</w:t>
      </w:r>
      <w:r w:rsidRPr="003C53BF">
        <w:t>: Comparison of XRD spectra of CAnPbI</w:t>
      </w:r>
      <w:r w:rsidRPr="003C53BF">
        <w:rPr>
          <w:vertAlign w:val="subscript"/>
        </w:rPr>
        <w:t>3</w:t>
      </w:r>
      <w:r w:rsidRPr="003C53BF">
        <w:t xml:space="preserve"> </w:t>
      </w:r>
      <w:r w:rsidR="00010521">
        <w:t xml:space="preserve">(A), </w:t>
      </w:r>
      <w:r w:rsidRPr="003C53BF">
        <w:t>CAnPbI</w:t>
      </w:r>
      <w:r w:rsidRPr="003C53BF">
        <w:rPr>
          <w:vertAlign w:val="subscript"/>
        </w:rPr>
        <w:t>3</w:t>
      </w:r>
      <w:r w:rsidRPr="003C53BF">
        <w:t>{MAPbI</w:t>
      </w:r>
      <w:r w:rsidRPr="003C53BF">
        <w:rPr>
          <w:vertAlign w:val="subscript"/>
        </w:rPr>
        <w:t>3</w:t>
      </w:r>
      <w:r w:rsidRPr="003C53BF">
        <w:t xml:space="preserve">} </w:t>
      </w:r>
      <w:r w:rsidR="00010521" w:rsidRPr="003C53BF">
        <w:t>(B)</w:t>
      </w:r>
      <w:r w:rsidR="00010521">
        <w:t xml:space="preserve">, </w:t>
      </w:r>
      <w:r w:rsidRPr="003C53BF">
        <w:t>TPbI</w:t>
      </w:r>
      <w:r w:rsidRPr="003C53BF">
        <w:rPr>
          <w:vertAlign w:val="subscript"/>
        </w:rPr>
        <w:t>3</w:t>
      </w:r>
      <w:r w:rsidRPr="003C53BF">
        <w:t>{MAPbI</w:t>
      </w:r>
      <w:r w:rsidRPr="003C53BF">
        <w:rPr>
          <w:vertAlign w:val="subscript"/>
        </w:rPr>
        <w:t>3</w:t>
      </w:r>
      <w:r w:rsidRPr="003C53BF">
        <w:t>}</w:t>
      </w:r>
      <w:r w:rsidR="00010521" w:rsidRPr="003C53BF">
        <w:t xml:space="preserve">(C) </w:t>
      </w:r>
      <w:r w:rsidRPr="003C53BF">
        <w:rPr>
          <w:vertAlign w:val="subscript"/>
        </w:rPr>
        <w:t xml:space="preserve"> </w:t>
      </w:r>
      <w:r w:rsidRPr="003C53BF">
        <w:t>and TPbI</w:t>
      </w:r>
      <w:r w:rsidRPr="003C53BF">
        <w:rPr>
          <w:vertAlign w:val="subscript"/>
        </w:rPr>
        <w:t>3</w:t>
      </w:r>
      <w:r w:rsidRPr="003C53BF">
        <w:t xml:space="preserve"> </w:t>
      </w:r>
      <w:r w:rsidR="00010521">
        <w:t xml:space="preserve">(D); </w:t>
      </w:r>
      <w:r w:rsidRPr="003C53BF">
        <w:t>* represents presence of MAPbI</w:t>
      </w:r>
      <w:r w:rsidRPr="003C53BF">
        <w:rPr>
          <w:vertAlign w:val="subscript"/>
        </w:rPr>
        <w:t xml:space="preserve">3 </w:t>
      </w:r>
      <w:r w:rsidR="00010521">
        <w:t>.</w:t>
      </w:r>
    </w:p>
    <w:p w14:paraId="028DD292" w14:textId="0B8DF817" w:rsidR="001A00F9" w:rsidRDefault="001A00F9" w:rsidP="003C53BF">
      <w:pPr>
        <w:spacing w:line="360" w:lineRule="auto"/>
      </w:pPr>
    </w:p>
    <w:p w14:paraId="607334D7" w14:textId="77777777" w:rsidR="001A00F9" w:rsidRDefault="001A00F9" w:rsidP="003C53BF">
      <w:pPr>
        <w:spacing w:line="360" w:lineRule="auto"/>
      </w:pPr>
    </w:p>
    <w:p w14:paraId="1BDB489A" w14:textId="7A9F4A19" w:rsidR="00D21A85" w:rsidRPr="00FE02C8" w:rsidRDefault="009C676E" w:rsidP="001A00F9">
      <w:pPr>
        <w:spacing w:line="360" w:lineRule="auto"/>
        <w:jc w:val="center"/>
      </w:pPr>
      <w:r>
        <w:rPr>
          <w:noProof/>
          <w:lang w:val="en-SG" w:eastAsia="en-SG"/>
        </w:rPr>
        <w:lastRenderedPageBreak/>
        <w:drawing>
          <wp:inline distT="0" distB="0" distL="0" distR="0" wp14:anchorId="3C749FE6" wp14:editId="7F160A16">
            <wp:extent cx="3924300" cy="30705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358" cy="307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3C33D" w14:textId="0372BF6E" w:rsidR="00FE02C8" w:rsidRDefault="003C53BF" w:rsidP="003C53BF">
      <w:pPr>
        <w:spacing w:line="360" w:lineRule="auto"/>
        <w:jc w:val="both"/>
      </w:pPr>
      <w:r w:rsidRPr="003C53BF">
        <w:rPr>
          <w:b/>
        </w:rPr>
        <w:t>F</w:t>
      </w:r>
      <w:r w:rsidR="00010521">
        <w:rPr>
          <w:b/>
        </w:rPr>
        <w:t>ig</w:t>
      </w:r>
      <w:r w:rsidR="00A64E53">
        <w:rPr>
          <w:b/>
        </w:rPr>
        <w:t>.</w:t>
      </w:r>
      <w:r w:rsidR="00010521">
        <w:rPr>
          <w:b/>
        </w:rPr>
        <w:t xml:space="preserve"> </w:t>
      </w:r>
      <w:r w:rsidRPr="003C53BF">
        <w:rPr>
          <w:b/>
        </w:rPr>
        <w:t>S</w:t>
      </w:r>
      <w:r w:rsidR="003C651C">
        <w:rPr>
          <w:b/>
        </w:rPr>
        <w:t>5</w:t>
      </w:r>
      <w:r w:rsidRPr="003C53BF">
        <w:t>: Comparison of XRD spectra of NBCAnPbI</w:t>
      </w:r>
      <w:r w:rsidRPr="003C53BF">
        <w:rPr>
          <w:vertAlign w:val="subscript"/>
        </w:rPr>
        <w:t>3</w:t>
      </w:r>
      <w:r w:rsidRPr="003C53BF">
        <w:t>{MAPbI</w:t>
      </w:r>
      <w:r w:rsidRPr="003C53BF">
        <w:rPr>
          <w:vertAlign w:val="subscript"/>
        </w:rPr>
        <w:t>3</w:t>
      </w:r>
      <w:r w:rsidRPr="003C53BF">
        <w:t>} exposed to 95% humidity for 2 days (A), 10 days (B), dotted line indicates the presence of 110 plane of MAPbI</w:t>
      </w:r>
      <w:r w:rsidRPr="003C53BF">
        <w:rPr>
          <w:vertAlign w:val="subscript"/>
        </w:rPr>
        <w:t xml:space="preserve">3 </w:t>
      </w:r>
      <w:r w:rsidRPr="003C53BF">
        <w:t xml:space="preserve">in both the samples proved the presence </w:t>
      </w:r>
      <w:r w:rsidR="00010521">
        <w:t>and</w:t>
      </w:r>
      <w:r w:rsidRPr="003C53BF">
        <w:t xml:space="preserve"> stability of the MAPbI</w:t>
      </w:r>
      <w:r w:rsidRPr="003C53BF">
        <w:rPr>
          <w:vertAlign w:val="subscript"/>
        </w:rPr>
        <w:t>3</w:t>
      </w:r>
      <w:r w:rsidRPr="003C53BF">
        <w:t xml:space="preserve"> in NBCAnPbI</w:t>
      </w:r>
      <w:r w:rsidRPr="003C53BF">
        <w:rPr>
          <w:vertAlign w:val="subscript"/>
        </w:rPr>
        <w:t>3</w:t>
      </w:r>
      <w:r w:rsidRPr="003C53BF">
        <w:t>{MAPbI</w:t>
      </w:r>
      <w:r w:rsidRPr="003C53BF">
        <w:rPr>
          <w:vertAlign w:val="subscript"/>
        </w:rPr>
        <w:t>3</w:t>
      </w:r>
      <w:r w:rsidRPr="003C53BF">
        <w:t>}.</w:t>
      </w:r>
    </w:p>
    <w:p w14:paraId="020AFED9" w14:textId="77777777" w:rsidR="00FE02C8" w:rsidRPr="003C53BF" w:rsidRDefault="00FE02C8" w:rsidP="003C53BF">
      <w:pPr>
        <w:spacing w:line="360" w:lineRule="auto"/>
        <w:jc w:val="both"/>
      </w:pPr>
    </w:p>
    <w:p w14:paraId="42784E37" w14:textId="77777777" w:rsidR="003C53BF" w:rsidRDefault="00560FBE" w:rsidP="003C53BF">
      <w:pPr>
        <w:spacing w:line="360" w:lineRule="auto"/>
        <w:jc w:val="center"/>
      </w:pPr>
      <w:r>
        <w:rPr>
          <w:noProof/>
          <w:lang w:val="en-SG" w:eastAsia="en-SG"/>
        </w:rPr>
        <w:drawing>
          <wp:inline distT="0" distB="0" distL="0" distR="0" wp14:anchorId="248A868F" wp14:editId="7158D9D6">
            <wp:extent cx="4832776" cy="299085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470" cy="2992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CC11A2" w14:textId="05D20481" w:rsidR="00D21A85" w:rsidRPr="00560FBE" w:rsidRDefault="00560FBE" w:rsidP="00560FBE">
      <w:pPr>
        <w:spacing w:line="360" w:lineRule="auto"/>
        <w:jc w:val="both"/>
      </w:pPr>
      <w:r w:rsidRPr="00560FBE">
        <w:rPr>
          <w:b/>
        </w:rPr>
        <w:t>F</w:t>
      </w:r>
      <w:r w:rsidR="00010521">
        <w:rPr>
          <w:b/>
        </w:rPr>
        <w:t>ig</w:t>
      </w:r>
      <w:r w:rsidR="00A64E53">
        <w:rPr>
          <w:b/>
        </w:rPr>
        <w:t>.</w:t>
      </w:r>
      <w:r w:rsidRPr="00560FBE">
        <w:rPr>
          <w:b/>
        </w:rPr>
        <w:t xml:space="preserve"> S</w:t>
      </w:r>
      <w:r w:rsidR="00CE3813">
        <w:rPr>
          <w:b/>
        </w:rPr>
        <w:t>6</w:t>
      </w:r>
      <w:r w:rsidRPr="00560FBE">
        <w:rPr>
          <w:b/>
        </w:rPr>
        <w:t xml:space="preserve">: </w:t>
      </w:r>
      <w:r w:rsidRPr="00560FBE">
        <w:t>Schematic representation of photogenerated electron -</w:t>
      </w:r>
      <w:r w:rsidR="00010521">
        <w:t xml:space="preserve"> </w:t>
      </w:r>
      <w:r w:rsidRPr="00560FBE">
        <w:t>hole separation in presence of NBCAnPbI</w:t>
      </w:r>
      <w:r w:rsidRPr="00560FBE">
        <w:rPr>
          <w:vertAlign w:val="subscript"/>
        </w:rPr>
        <w:t>3</w:t>
      </w:r>
      <w:r w:rsidRPr="00560FBE">
        <w:t>{MAPbI</w:t>
      </w:r>
      <w:r w:rsidRPr="00560FBE">
        <w:rPr>
          <w:vertAlign w:val="subscript"/>
        </w:rPr>
        <w:t>3</w:t>
      </w:r>
      <w:r w:rsidRPr="00560FBE">
        <w:t>}.</w:t>
      </w:r>
    </w:p>
    <w:p w14:paraId="77D46BDF" w14:textId="3090DCE4" w:rsidR="00D21A85" w:rsidRDefault="00560FBE" w:rsidP="00FE02C8">
      <w:pPr>
        <w:spacing w:line="360" w:lineRule="auto"/>
        <w:jc w:val="center"/>
      </w:pPr>
      <w:r>
        <w:rPr>
          <w:noProof/>
          <w:lang w:val="en-SG" w:eastAsia="en-SG"/>
        </w:rPr>
        <w:lastRenderedPageBreak/>
        <w:drawing>
          <wp:inline distT="0" distB="0" distL="0" distR="0" wp14:anchorId="78A9E84A" wp14:editId="64DF40B9">
            <wp:extent cx="3872980" cy="3133725"/>
            <wp:effectExtent l="0" t="0" r="0" b="0"/>
            <wp:docPr id="9" name="Picture 3" descr="C:\Users\HP\Desktop\GC3 10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GC3 1000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314" cy="31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3B3097" w14:textId="50AC33F3" w:rsidR="00560FBE" w:rsidRDefault="00560FBE" w:rsidP="00560FBE">
      <w:pPr>
        <w:spacing w:line="360" w:lineRule="auto"/>
        <w:jc w:val="both"/>
      </w:pPr>
      <w:r w:rsidRPr="00560FBE">
        <w:rPr>
          <w:b/>
        </w:rPr>
        <w:t>F</w:t>
      </w:r>
      <w:r w:rsidR="00010521">
        <w:rPr>
          <w:b/>
        </w:rPr>
        <w:t>ig</w:t>
      </w:r>
      <w:r w:rsidR="00A64E53">
        <w:rPr>
          <w:b/>
        </w:rPr>
        <w:t>.</w:t>
      </w:r>
      <w:r w:rsidRPr="00560FBE">
        <w:rPr>
          <w:b/>
        </w:rPr>
        <w:t xml:space="preserve"> S</w:t>
      </w:r>
      <w:r w:rsidR="00CE3813">
        <w:rPr>
          <w:b/>
        </w:rPr>
        <w:t>7</w:t>
      </w:r>
      <w:r w:rsidRPr="00560FBE">
        <w:rPr>
          <w:b/>
        </w:rPr>
        <w:t>:</w:t>
      </w:r>
      <w:r w:rsidRPr="00560FBE">
        <w:t xml:space="preserve"> Gas chromatography curve comparing calibration curve of oxygen</w:t>
      </w:r>
      <w:r w:rsidR="00010521">
        <w:t xml:space="preserve"> </w:t>
      </w:r>
      <w:r w:rsidR="00010521" w:rsidRPr="00560FBE">
        <w:t>(A)</w:t>
      </w:r>
      <w:r w:rsidR="00010521">
        <w:t xml:space="preserve"> and</w:t>
      </w:r>
      <w:r w:rsidR="00010521" w:rsidRPr="00560FBE">
        <w:t xml:space="preserve"> </w:t>
      </w:r>
      <w:r w:rsidRPr="00560FBE">
        <w:t xml:space="preserve"> gas evolved from NBCAnPbI</w:t>
      </w:r>
      <w:r w:rsidRPr="00560FBE">
        <w:rPr>
          <w:vertAlign w:val="subscript"/>
        </w:rPr>
        <w:t>3</w:t>
      </w:r>
      <w:r w:rsidRPr="00560FBE">
        <w:t>{MAPbI</w:t>
      </w:r>
      <w:r w:rsidRPr="00560FBE">
        <w:rPr>
          <w:vertAlign w:val="subscript"/>
        </w:rPr>
        <w:t>3</w:t>
      </w:r>
      <w:r w:rsidRPr="00560FBE">
        <w:t>}</w:t>
      </w:r>
      <w:r w:rsidRPr="00560FBE">
        <w:rPr>
          <w:vertAlign w:val="subscript"/>
        </w:rPr>
        <w:t xml:space="preserve"> </w:t>
      </w:r>
      <w:r w:rsidRPr="00560FBE">
        <w:t xml:space="preserve">anode </w:t>
      </w:r>
      <w:r w:rsidR="00010521" w:rsidRPr="00560FBE">
        <w:t xml:space="preserve">(B) </w:t>
      </w:r>
      <w:r w:rsidRPr="00560FBE">
        <w:t>confirming the evolution of oxygen from NBCAnPbI</w:t>
      </w:r>
      <w:r w:rsidRPr="00560FBE">
        <w:rPr>
          <w:vertAlign w:val="subscript"/>
        </w:rPr>
        <w:t>3</w:t>
      </w:r>
      <w:r w:rsidRPr="00560FBE">
        <w:t>{MAPbI</w:t>
      </w:r>
      <w:r w:rsidRPr="00560FBE">
        <w:rPr>
          <w:vertAlign w:val="subscript"/>
        </w:rPr>
        <w:t>3</w:t>
      </w:r>
      <w:r w:rsidRPr="00560FBE">
        <w:t>}</w:t>
      </w:r>
      <w:r w:rsidRPr="00560FBE">
        <w:rPr>
          <w:vertAlign w:val="subscript"/>
        </w:rPr>
        <w:t xml:space="preserve"> </w:t>
      </w:r>
      <w:r w:rsidRPr="00560FBE">
        <w:t xml:space="preserve">during water splitting reaction. </w:t>
      </w:r>
    </w:p>
    <w:p w14:paraId="6A53D600" w14:textId="2D45BB5B" w:rsidR="00FE02C8" w:rsidRDefault="00FE02C8" w:rsidP="00560FBE">
      <w:pPr>
        <w:spacing w:line="360" w:lineRule="auto"/>
        <w:jc w:val="both"/>
      </w:pPr>
    </w:p>
    <w:p w14:paraId="6731677A" w14:textId="77777777" w:rsidR="00FE02C8" w:rsidRPr="00560FBE" w:rsidRDefault="00FE02C8" w:rsidP="00560FBE">
      <w:pPr>
        <w:spacing w:line="360" w:lineRule="auto"/>
        <w:jc w:val="both"/>
      </w:pPr>
    </w:p>
    <w:p w14:paraId="2D26D653" w14:textId="654C060C" w:rsidR="00D21A85" w:rsidRDefault="00F7792C" w:rsidP="00FE02C8">
      <w:pPr>
        <w:spacing w:line="480" w:lineRule="auto"/>
        <w:jc w:val="center"/>
      </w:pPr>
      <w:r>
        <w:rPr>
          <w:noProof/>
          <w:lang w:val="en-SG" w:eastAsia="en-SG"/>
        </w:rPr>
        <w:drawing>
          <wp:inline distT="0" distB="0" distL="0" distR="0" wp14:anchorId="4C3FDCDC" wp14:editId="4908BBBD">
            <wp:extent cx="4651375" cy="36029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649E9A" w14:textId="54E0ED6D" w:rsidR="00D46A08" w:rsidRPr="00FE02C8" w:rsidRDefault="00F7792C" w:rsidP="00FE02C8">
      <w:pPr>
        <w:spacing w:line="360" w:lineRule="auto"/>
        <w:jc w:val="both"/>
        <w:rPr>
          <w:szCs w:val="28"/>
        </w:rPr>
      </w:pPr>
      <w:r w:rsidRPr="00F7792C">
        <w:rPr>
          <w:b/>
          <w:szCs w:val="28"/>
        </w:rPr>
        <w:t>F</w:t>
      </w:r>
      <w:r w:rsidR="00010521">
        <w:rPr>
          <w:b/>
          <w:szCs w:val="28"/>
        </w:rPr>
        <w:t>ig</w:t>
      </w:r>
      <w:r w:rsidR="00A64E53">
        <w:rPr>
          <w:b/>
          <w:szCs w:val="28"/>
        </w:rPr>
        <w:t>.</w:t>
      </w:r>
      <w:r w:rsidRPr="00F7792C">
        <w:rPr>
          <w:b/>
          <w:szCs w:val="28"/>
        </w:rPr>
        <w:t xml:space="preserve"> S</w:t>
      </w:r>
      <w:r w:rsidR="00CE3813">
        <w:rPr>
          <w:b/>
          <w:szCs w:val="28"/>
        </w:rPr>
        <w:t>8</w:t>
      </w:r>
      <w:r w:rsidRPr="00F7792C">
        <w:rPr>
          <w:b/>
          <w:szCs w:val="28"/>
        </w:rPr>
        <w:t>:</w:t>
      </w:r>
      <w:r w:rsidRPr="00F7792C">
        <w:rPr>
          <w:szCs w:val="28"/>
        </w:rPr>
        <w:t xml:space="preserve"> Chronoamperometry analysis with and without methylene blue at 0.5 V applied potential (vs. Ag/AgCl) in 0.1M NaOH.</w:t>
      </w:r>
    </w:p>
    <w:p w14:paraId="2425834A" w14:textId="77777777" w:rsidR="00560FBE" w:rsidRPr="00D46A08" w:rsidRDefault="00D46A08" w:rsidP="00D46A08">
      <w:pPr>
        <w:spacing w:line="480" w:lineRule="auto"/>
        <w:jc w:val="both"/>
        <w:rPr>
          <w:b/>
        </w:rPr>
      </w:pPr>
      <w:r w:rsidRPr="004D50DE">
        <w:rPr>
          <w:b/>
        </w:rPr>
        <w:lastRenderedPageBreak/>
        <w:t>References</w:t>
      </w:r>
    </w:p>
    <w:p w14:paraId="4E2A85C6" w14:textId="77777777" w:rsidR="00D46A08" w:rsidRPr="004D50DE" w:rsidRDefault="00D46A08" w:rsidP="00D46A08">
      <w:pPr>
        <w:pStyle w:val="ListParagraph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4D50DE">
        <w:rPr>
          <w:rFonts w:ascii="Times New Roman" w:hAnsi="Times New Roman" w:cs="Times New Roman"/>
          <w:sz w:val="20"/>
          <w:szCs w:val="20"/>
        </w:rPr>
        <w:t>X. Tang, Q. Tay, Z. Chen, Y. Chen; G. K. L. Goh,</w:t>
      </w:r>
      <w:r>
        <w:rPr>
          <w:rFonts w:ascii="Times New Roman" w:hAnsi="Times New Roman" w:cs="Times New Roman"/>
          <w:sz w:val="20"/>
          <w:szCs w:val="20"/>
        </w:rPr>
        <w:t xml:space="preserve"> and</w:t>
      </w:r>
      <w:r w:rsidRPr="004D50DE">
        <w:rPr>
          <w:rFonts w:ascii="Times New Roman" w:hAnsi="Times New Roman" w:cs="Times New Roman"/>
          <w:sz w:val="20"/>
          <w:szCs w:val="20"/>
        </w:rPr>
        <w:t xml:space="preserve"> J. </w:t>
      </w:r>
      <w:proofErr w:type="spellStart"/>
      <w:r w:rsidRPr="004D50DE">
        <w:rPr>
          <w:rFonts w:ascii="Times New Roman" w:hAnsi="Times New Roman" w:cs="Times New Roman"/>
          <w:sz w:val="20"/>
          <w:szCs w:val="20"/>
        </w:rPr>
        <w:t>Xue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A96670">
        <w:rPr>
          <w:rFonts w:ascii="Times New Roman" w:hAnsi="Times New Roman" w:cs="Times New Roman"/>
          <w:sz w:val="20"/>
          <w:szCs w:val="20"/>
        </w:rPr>
        <w:t>CuInZnS</w:t>
      </w:r>
      <w:proofErr w:type="spellEnd"/>
      <w:r w:rsidRPr="00A96670">
        <w:rPr>
          <w:rFonts w:ascii="Times New Roman" w:hAnsi="Times New Roman" w:cs="Times New Roman"/>
          <w:sz w:val="20"/>
          <w:szCs w:val="20"/>
        </w:rPr>
        <w:t xml:space="preserve">-decorated graphene </w:t>
      </w:r>
      <w:proofErr w:type="spellStart"/>
      <w:r w:rsidRPr="00A96670">
        <w:rPr>
          <w:rFonts w:ascii="Times New Roman" w:hAnsi="Times New Roman" w:cs="Times New Roman"/>
          <w:sz w:val="20"/>
          <w:szCs w:val="20"/>
        </w:rPr>
        <w:t>nanosheets</w:t>
      </w:r>
      <w:proofErr w:type="spellEnd"/>
      <w:r w:rsidRPr="00A96670">
        <w:rPr>
          <w:rFonts w:ascii="Times New Roman" w:hAnsi="Times New Roman" w:cs="Times New Roman"/>
          <w:sz w:val="20"/>
          <w:szCs w:val="20"/>
        </w:rPr>
        <w:t xml:space="preserve"> for highly efficient visible-light-driven photocatalytic hydrogen production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Pr="00A96670">
        <w:rPr>
          <w:rFonts w:ascii="Times New Roman" w:hAnsi="Times New Roman" w:cs="Times New Roman"/>
          <w:i/>
          <w:sz w:val="20"/>
          <w:szCs w:val="20"/>
        </w:rPr>
        <w:t>J</w:t>
      </w:r>
      <w:r w:rsidRPr="004D50DE">
        <w:rPr>
          <w:rFonts w:ascii="Times New Roman" w:hAnsi="Times New Roman" w:cs="Times New Roman"/>
          <w:i/>
          <w:sz w:val="20"/>
          <w:szCs w:val="20"/>
        </w:rPr>
        <w:t>. Mater. Chem. A</w:t>
      </w:r>
      <w:r>
        <w:rPr>
          <w:rFonts w:ascii="Times New Roman" w:hAnsi="Times New Roman" w:cs="Times New Roman"/>
          <w:iCs/>
          <w:sz w:val="20"/>
          <w:szCs w:val="20"/>
        </w:rPr>
        <w:t>.</w:t>
      </w:r>
      <w:r w:rsidRPr="004D50DE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A96670">
        <w:rPr>
          <w:rFonts w:ascii="Times New Roman" w:hAnsi="Times New Roman" w:cs="Times New Roman"/>
          <w:b/>
          <w:sz w:val="20"/>
          <w:szCs w:val="20"/>
        </w:rPr>
        <w:t>1</w:t>
      </w:r>
      <w:r w:rsidRPr="004D50DE">
        <w:rPr>
          <w:rFonts w:ascii="Times New Roman" w:hAnsi="Times New Roman" w:cs="Times New Roman"/>
          <w:sz w:val="20"/>
          <w:szCs w:val="20"/>
        </w:rPr>
        <w:t>, 6359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96670">
        <w:rPr>
          <w:rFonts w:ascii="Times New Roman" w:hAnsi="Times New Roman" w:cs="Times New Roman"/>
          <w:sz w:val="20"/>
          <w:szCs w:val="20"/>
        </w:rPr>
        <w:t>(</w:t>
      </w:r>
      <w:r w:rsidRPr="00A96670">
        <w:rPr>
          <w:rFonts w:ascii="Times New Roman" w:hAnsi="Times New Roman" w:cs="Times New Roman"/>
          <w:bCs/>
          <w:iCs/>
          <w:sz w:val="20"/>
          <w:szCs w:val="20"/>
        </w:rPr>
        <w:t>2013)</w:t>
      </w:r>
      <w:r w:rsidRPr="00A96670">
        <w:rPr>
          <w:rFonts w:ascii="Times New Roman" w:hAnsi="Times New Roman" w:cs="Times New Roman"/>
          <w:sz w:val="20"/>
          <w:szCs w:val="20"/>
        </w:rPr>
        <w:t>.</w:t>
      </w:r>
    </w:p>
    <w:p w14:paraId="505AD93E" w14:textId="77777777" w:rsidR="00D46A08" w:rsidRPr="00F7792C" w:rsidRDefault="00D46A08" w:rsidP="00D46A08">
      <w:pPr>
        <w:spacing w:line="360" w:lineRule="auto"/>
      </w:pPr>
    </w:p>
    <w:sectPr w:rsidR="00D46A08" w:rsidRPr="00F779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09499F"/>
    <w:multiLevelType w:val="hybridMultilevel"/>
    <w:tmpl w:val="E2E4C064"/>
    <w:lvl w:ilvl="0" w:tplc="44AA7BEA">
      <w:start w:val="1"/>
      <w:numFmt w:val="decimal"/>
      <w:pStyle w:val="SectionSubtitle"/>
      <w:lvlText w:val="%1."/>
      <w:lvlJc w:val="left"/>
      <w:pPr>
        <w:ind w:left="644" w:hanging="360"/>
      </w:pPr>
      <w:rPr>
        <w:b w:val="0"/>
        <w:bCs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682"/>
    <w:rsid w:val="00010521"/>
    <w:rsid w:val="001634FC"/>
    <w:rsid w:val="001A00F9"/>
    <w:rsid w:val="003C53BF"/>
    <w:rsid w:val="003C651C"/>
    <w:rsid w:val="003F3140"/>
    <w:rsid w:val="003F6C4A"/>
    <w:rsid w:val="004C4682"/>
    <w:rsid w:val="00560FBE"/>
    <w:rsid w:val="007614A1"/>
    <w:rsid w:val="00775533"/>
    <w:rsid w:val="00841CC9"/>
    <w:rsid w:val="00843E05"/>
    <w:rsid w:val="00854F68"/>
    <w:rsid w:val="009C676E"/>
    <w:rsid w:val="009D07CC"/>
    <w:rsid w:val="00A21A20"/>
    <w:rsid w:val="00A64E53"/>
    <w:rsid w:val="00C100EA"/>
    <w:rsid w:val="00CE3813"/>
    <w:rsid w:val="00D21A85"/>
    <w:rsid w:val="00D46A08"/>
    <w:rsid w:val="00DE1AC6"/>
    <w:rsid w:val="00F43184"/>
    <w:rsid w:val="00F7792C"/>
    <w:rsid w:val="00FE02C8"/>
    <w:rsid w:val="00FE7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DA56EE"/>
  <w15:chartTrackingRefBased/>
  <w15:docId w15:val="{49D7F156-09EF-4EAB-9631-0C9E9DAE3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468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de-D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stract">
    <w:name w:val="Abstract"/>
    <w:basedOn w:val="Normal"/>
    <w:qFormat/>
    <w:rsid w:val="00854F68"/>
    <w:pPr>
      <w:spacing w:after="600" w:line="225" w:lineRule="exact"/>
      <w:jc w:val="both"/>
    </w:pPr>
    <w:rPr>
      <w:rFonts w:ascii="Arial" w:hAnsi="Arial"/>
      <w:sz w:val="16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854F68"/>
    <w:rPr>
      <w:color w:val="0563C1" w:themeColor="hyperlink"/>
      <w:u w:val="single"/>
    </w:rPr>
  </w:style>
  <w:style w:type="paragraph" w:customStyle="1" w:styleId="HExperimentalSection">
    <w:name w:val="HExperimental_Section"/>
    <w:basedOn w:val="Normal"/>
    <w:autoRedefine/>
    <w:qFormat/>
    <w:rsid w:val="00FE7A44"/>
    <w:pPr>
      <w:spacing w:line="480" w:lineRule="auto"/>
    </w:pPr>
    <w:rPr>
      <w:b/>
      <w:lang w:val="en-US"/>
    </w:rPr>
  </w:style>
  <w:style w:type="paragraph" w:customStyle="1" w:styleId="SectionSubtitle">
    <w:name w:val="Section_Subtitle"/>
    <w:basedOn w:val="Normal"/>
    <w:autoRedefine/>
    <w:rsid w:val="00D46A08"/>
    <w:pPr>
      <w:numPr>
        <w:numId w:val="1"/>
      </w:numPr>
      <w:ind w:left="426" w:hanging="426"/>
      <w:jc w:val="both"/>
    </w:pPr>
    <w:rPr>
      <w:rFonts w:eastAsia="Times New Roman"/>
      <w:color w:val="000000" w:themeColor="text1"/>
      <w:kern w:val="21"/>
      <w:sz w:val="20"/>
      <w:szCs w:val="20"/>
      <w:shd w:val="clear" w:color="auto" w:fill="FFFFFF"/>
      <w:lang w:val="en-US"/>
    </w:rPr>
  </w:style>
  <w:style w:type="paragraph" w:styleId="ListParagraph">
    <w:name w:val="List Paragraph"/>
    <w:basedOn w:val="Normal"/>
    <w:uiPriority w:val="34"/>
    <w:qFormat/>
    <w:rsid w:val="00D46A0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35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chmsv@nus.edu.sg" TargetMode="External"/><Relationship Id="rId12" Type="http://schemas.openxmlformats.org/officeDocument/2006/relationships/image" Target="media/image5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srisiva@iitk.ac.in" TargetMode="External"/><Relationship Id="rId11" Type="http://schemas.openxmlformats.org/officeDocument/2006/relationships/image" Target="media/image4.png"/><Relationship Id="rId5" Type="http://schemas.openxmlformats.org/officeDocument/2006/relationships/hyperlink" Target="mailto:rpala@iitk.ac.in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908</Words>
  <Characters>5178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Sayantan Sasmal</dc:creator>
  <cp:keywords/>
  <dc:description/>
  <cp:lastModifiedBy>Valiyaveettil, Suresh</cp:lastModifiedBy>
  <cp:revision>2</cp:revision>
  <dcterms:created xsi:type="dcterms:W3CDTF">2018-03-22T01:53:00Z</dcterms:created>
  <dcterms:modified xsi:type="dcterms:W3CDTF">2018-03-22T01:53:00Z</dcterms:modified>
</cp:coreProperties>
</file>