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3A" w:rsidRDefault="006C293A" w:rsidP="00AA0441">
      <w:pPr>
        <w:pStyle w:val="BATitle"/>
        <w:spacing w:line="240" w:lineRule="auto"/>
        <w:jc w:val="left"/>
        <w:rPr>
          <w:b/>
          <w:bCs/>
        </w:rPr>
      </w:pPr>
      <w:r>
        <w:rPr>
          <w:b/>
          <w:bCs/>
        </w:rPr>
        <w:t>Supplementary Material</w:t>
      </w:r>
    </w:p>
    <w:p w:rsidR="00AA0441" w:rsidRPr="006C293A" w:rsidRDefault="00AA0441" w:rsidP="006C293A">
      <w:pPr>
        <w:pStyle w:val="BATitle"/>
        <w:spacing w:line="240" w:lineRule="auto"/>
        <w:jc w:val="both"/>
        <w:rPr>
          <w:b/>
          <w:sz w:val="36"/>
        </w:rPr>
      </w:pPr>
      <w:r w:rsidRPr="006C293A">
        <w:rPr>
          <w:b/>
          <w:bCs/>
          <w:sz w:val="36"/>
        </w:rPr>
        <w:t xml:space="preserve">Na-doped oriented </w:t>
      </w:r>
      <w:proofErr w:type="spellStart"/>
      <w:r w:rsidRPr="006C293A">
        <w:rPr>
          <w:b/>
          <w:bCs/>
          <w:sz w:val="36"/>
        </w:rPr>
        <w:t>ZnO</w:t>
      </w:r>
      <w:proofErr w:type="spellEnd"/>
      <w:r w:rsidRPr="006C293A">
        <w:rPr>
          <w:b/>
          <w:bCs/>
          <w:sz w:val="36"/>
        </w:rPr>
        <w:t xml:space="preserve"> nanorod-arrays: Insights into their aqueous growth design, crystal structure and optical properties</w:t>
      </w:r>
    </w:p>
    <w:p w:rsidR="00AA0441" w:rsidRPr="005D15FE" w:rsidRDefault="00AA0441" w:rsidP="00AA0441">
      <w:pPr>
        <w:pStyle w:val="BBAuthorName"/>
        <w:jc w:val="left"/>
      </w:pPr>
      <w:r w:rsidRPr="005D15FE">
        <w:t xml:space="preserve">Amir </w:t>
      </w:r>
      <w:proofErr w:type="spellStart"/>
      <w:proofErr w:type="gramStart"/>
      <w:r w:rsidRPr="005D15FE">
        <w:t>Hassanpour</w:t>
      </w:r>
      <w:proofErr w:type="spellEnd"/>
      <w:r w:rsidRPr="005D15FE">
        <w:t>,</w:t>
      </w:r>
      <w:r w:rsidRPr="005D15FE">
        <w:rPr>
          <w:vertAlign w:val="superscript"/>
        </w:rPr>
        <w:t>[</w:t>
      </w:r>
      <w:proofErr w:type="spellStart"/>
      <w:proofErr w:type="gramEnd"/>
      <w:r w:rsidRPr="005D15FE">
        <w:rPr>
          <w:vertAlign w:val="superscript"/>
        </w:rPr>
        <w:t>a,b,c</w:t>
      </w:r>
      <w:proofErr w:type="spellEnd"/>
      <w:r w:rsidRPr="005D15FE">
        <w:rPr>
          <w:vertAlign w:val="superscript"/>
        </w:rPr>
        <w:t>]</w:t>
      </w:r>
      <w:r w:rsidRPr="005D15FE">
        <w:t xml:space="preserve">, </w:t>
      </w:r>
      <w:proofErr w:type="spellStart"/>
      <w:r w:rsidRPr="005D15FE">
        <w:t>Shaohua</w:t>
      </w:r>
      <w:proofErr w:type="spellEnd"/>
      <w:r w:rsidRPr="005D15FE">
        <w:t xml:space="preserve"> Shen,</w:t>
      </w:r>
      <w:r w:rsidRPr="005D15FE">
        <w:rPr>
          <w:vertAlign w:val="superscript"/>
        </w:rPr>
        <w:t>[c]</w:t>
      </w:r>
      <w:r w:rsidRPr="005D15FE">
        <w:t xml:space="preserve"> and Pablo Bianucci*</w:t>
      </w:r>
      <w:r w:rsidRPr="005D15FE">
        <w:rPr>
          <w:vertAlign w:val="superscript"/>
        </w:rPr>
        <w:t>[a]</w:t>
      </w:r>
    </w:p>
    <w:p w:rsidR="00AA0441" w:rsidRPr="005D15FE" w:rsidRDefault="00AA0441" w:rsidP="00AA0441">
      <w:pPr>
        <w:pStyle w:val="BBAuthorName"/>
        <w:spacing w:line="360" w:lineRule="auto"/>
        <w:jc w:val="left"/>
      </w:pPr>
      <w:r>
        <w:t xml:space="preserve"> </w:t>
      </w:r>
      <w:r w:rsidRPr="005D15FE">
        <w:t xml:space="preserve">[a] Department of Physics, Concordia University, </w:t>
      </w:r>
      <w:r w:rsidR="000C11F5">
        <w:t>Montreal,</w:t>
      </w:r>
      <w:bookmarkStart w:id="0" w:name="_GoBack"/>
      <w:bookmarkEnd w:id="0"/>
      <w:r w:rsidRPr="005D15FE">
        <w:t xml:space="preserve"> </w:t>
      </w:r>
      <w:r w:rsidR="00014524">
        <w:t xml:space="preserve">H4B 1R6, </w:t>
      </w:r>
      <w:r w:rsidRPr="005D15FE">
        <w:t>Canada</w:t>
      </w:r>
    </w:p>
    <w:p w:rsidR="00AA0441" w:rsidRPr="005D15FE" w:rsidRDefault="00AA0441" w:rsidP="00AA0441">
      <w:pPr>
        <w:pStyle w:val="BBAuthorName"/>
        <w:spacing w:line="360" w:lineRule="auto"/>
        <w:jc w:val="left"/>
      </w:pPr>
      <w:proofErr w:type="gramStart"/>
      <w:r w:rsidRPr="005D15FE">
        <w:t>E-mail:Pablo.bianucci@concordia.ca</w:t>
      </w:r>
      <w:proofErr w:type="gramEnd"/>
    </w:p>
    <w:p w:rsidR="00AA0441" w:rsidRPr="005D15FE" w:rsidRDefault="00AA0441" w:rsidP="00AA0441">
      <w:pPr>
        <w:pStyle w:val="BBAuthorName"/>
        <w:spacing w:line="360" w:lineRule="auto"/>
        <w:jc w:val="left"/>
        <w:rPr>
          <w:iCs/>
        </w:rPr>
      </w:pPr>
      <w:r w:rsidRPr="005D15FE">
        <w:t xml:space="preserve">[b] </w:t>
      </w:r>
      <w:proofErr w:type="spellStart"/>
      <w:r w:rsidRPr="005D15FE">
        <w:t>Institut</w:t>
      </w:r>
      <w:proofErr w:type="spellEnd"/>
      <w:r w:rsidRPr="005D15FE">
        <w:t xml:space="preserve"> National de la Recherche </w:t>
      </w:r>
      <w:proofErr w:type="spellStart"/>
      <w:r w:rsidRPr="005D15FE">
        <w:t>Scientifique</w:t>
      </w:r>
      <w:proofErr w:type="spellEnd"/>
      <w:r w:rsidRPr="005D15FE">
        <w:t xml:space="preserve">, Centre </w:t>
      </w:r>
      <w:proofErr w:type="spellStart"/>
      <w:r w:rsidRPr="005D15FE">
        <w:t>Énérgie</w:t>
      </w:r>
      <w:proofErr w:type="spellEnd"/>
      <w:r w:rsidRPr="005D15FE">
        <w:t xml:space="preserve">, </w:t>
      </w:r>
      <w:proofErr w:type="spellStart"/>
      <w:r w:rsidRPr="005D15FE">
        <w:t>Matériaux</w:t>
      </w:r>
      <w:proofErr w:type="spellEnd"/>
      <w:r w:rsidRPr="005D15FE">
        <w:t xml:space="preserve">, </w:t>
      </w:r>
      <w:proofErr w:type="spellStart"/>
      <w:r w:rsidRPr="005D15FE">
        <w:t>Télécommunications</w:t>
      </w:r>
      <w:proofErr w:type="spellEnd"/>
      <w:r w:rsidRPr="005D15FE">
        <w:t xml:space="preserve"> 1650, boulevard Lionel-</w:t>
      </w:r>
      <w:proofErr w:type="spellStart"/>
      <w:proofErr w:type="gramStart"/>
      <w:r w:rsidRPr="005D15FE">
        <w:t>Boulet,Varennes</w:t>
      </w:r>
      <w:proofErr w:type="spellEnd"/>
      <w:proofErr w:type="gramEnd"/>
      <w:r w:rsidRPr="005D15FE">
        <w:t>, J3X 1S2, Canada</w:t>
      </w:r>
      <w:r w:rsidRPr="005D15FE">
        <w:br/>
        <w:t>[</w:t>
      </w:r>
      <w:r>
        <w:t>c</w:t>
      </w:r>
      <w:r w:rsidRPr="005D15FE">
        <w:t xml:space="preserve">] </w:t>
      </w:r>
      <w:r w:rsidRPr="005D15FE">
        <w:rPr>
          <w:iCs/>
        </w:rPr>
        <w:t xml:space="preserve">International Research Center for Renewable Energy (IRCRE), School of Energy &amp; Power Engineering, Xi’an </w:t>
      </w:r>
      <w:proofErr w:type="spellStart"/>
      <w:r w:rsidRPr="005D15FE">
        <w:rPr>
          <w:iCs/>
        </w:rPr>
        <w:t>Jiaotong</w:t>
      </w:r>
      <w:proofErr w:type="spellEnd"/>
      <w:r w:rsidRPr="005D15FE">
        <w:rPr>
          <w:iCs/>
        </w:rPr>
        <w:t xml:space="preserve"> University, Xi’an 710049, (People’s Republic of China)</w:t>
      </w:r>
    </w:p>
    <w:p w:rsidR="00AA0441" w:rsidRDefault="00AA0441">
      <w:pPr>
        <w:rPr>
          <w:rFonts w:ascii="Times" w:hAnsi="Times" w:cs="Times"/>
          <w:b/>
          <w:sz w:val="28"/>
        </w:rPr>
      </w:pPr>
    </w:p>
    <w:p w:rsidR="00FA5A0A" w:rsidRPr="006C293A" w:rsidRDefault="00AA0441" w:rsidP="00FA5A0A">
      <w:pPr>
        <w:pStyle w:val="TAMainText"/>
        <w:numPr>
          <w:ilvl w:val="0"/>
          <w:numId w:val="1"/>
        </w:numPr>
        <w:rPr>
          <w:b/>
        </w:rPr>
      </w:pPr>
      <w:r w:rsidRPr="006C293A">
        <w:rPr>
          <w:b/>
        </w:rPr>
        <w:t>Cleaning and seeding</w:t>
      </w:r>
      <w:r w:rsidR="00FA5A0A" w:rsidRPr="006C293A">
        <w:rPr>
          <w:b/>
        </w:rPr>
        <w:t>:</w:t>
      </w:r>
    </w:p>
    <w:p w:rsidR="00842A14" w:rsidRDefault="00FA5A0A" w:rsidP="00842A14">
      <w:pPr>
        <w:pStyle w:val="TAMainText"/>
      </w:pPr>
      <w:r w:rsidRPr="00991DEF">
        <w:t>Zinc nitrate hexahydrate (Zn(NO</w:t>
      </w:r>
      <w:proofErr w:type="gramStart"/>
      <w:r w:rsidRPr="00991DEF">
        <w:t>₃)₂</w:t>
      </w:r>
      <w:proofErr w:type="gramEnd"/>
      <w:r w:rsidRPr="00991DEF">
        <w:t>.6H₂O), zinc acetate anhydrous (Zn(CH</w:t>
      </w:r>
      <w:r w:rsidRPr="00991DEF">
        <w:rPr>
          <w:vertAlign w:val="subscript"/>
        </w:rPr>
        <w:t>3</w:t>
      </w:r>
      <w:r w:rsidRPr="00991DEF">
        <w:t>COO)</w:t>
      </w:r>
      <w:r w:rsidRPr="00991DEF">
        <w:rPr>
          <w:vertAlign w:val="subscript"/>
        </w:rPr>
        <w:t>2</w:t>
      </w:r>
      <w:r w:rsidRPr="00991DEF">
        <w:t xml:space="preserve">), </w:t>
      </w:r>
      <w:r>
        <w:t>s</w:t>
      </w:r>
      <w:r w:rsidRPr="00991DEF">
        <w:t>odium nitrate (NaNO</w:t>
      </w:r>
      <w:r w:rsidRPr="00991DEF">
        <w:rPr>
          <w:vertAlign w:val="subscript"/>
        </w:rPr>
        <w:t>3</w:t>
      </w:r>
      <w:r w:rsidRPr="00991DEF">
        <w:t xml:space="preserve">), and </w:t>
      </w:r>
      <w:r>
        <w:t>h</w:t>
      </w:r>
      <w:r w:rsidRPr="00991DEF">
        <w:t>examethylenetetramine (HMTA) were all of analytical grade and used without further purification in our experiment. For all the samples substrate preparation was as follows: silicon -</w:t>
      </w:r>
      <w:proofErr w:type="gramStart"/>
      <w:r w:rsidRPr="00991DEF">
        <w:t>Si(</w:t>
      </w:r>
      <w:proofErr w:type="gramEnd"/>
      <w:r w:rsidRPr="00991DEF">
        <w:t xml:space="preserve">100)- substrates were cleaned by performing three 10 minutes steps in an ultrasonic bath with acetone, isopropyl alcohol, and DI water, respectively. A </w:t>
      </w:r>
      <w:proofErr w:type="gramStart"/>
      <w:r w:rsidRPr="00991DEF">
        <w:t xml:space="preserve">5 </w:t>
      </w:r>
      <w:proofErr w:type="spellStart"/>
      <w:r w:rsidRPr="00991DEF">
        <w:t>mM</w:t>
      </w:r>
      <w:proofErr w:type="spellEnd"/>
      <w:proofErr w:type="gramEnd"/>
      <w:r w:rsidRPr="00991DEF">
        <w:t xml:space="preserve"> solution of 99.98% zinc acetate in pure ethanol was prepared as a seeding solution. The seeding solution was drop casted on substrates for 7 times, followed by a 400 ̊C annealing for 30 minutes so that </w:t>
      </w:r>
      <w:r w:rsidRPr="00991DEF">
        <w:lastRenderedPageBreak/>
        <w:t xml:space="preserve">the zinc acetate decomposed, forming </w:t>
      </w:r>
      <w:proofErr w:type="spellStart"/>
      <w:r w:rsidRPr="00991DEF">
        <w:t>ZnO</w:t>
      </w:r>
      <w:proofErr w:type="spellEnd"/>
      <w:r w:rsidRPr="00991DEF">
        <w:t xml:space="preserve"> nanoparticles. The whole process was repeated 2 times for each sample to ensure a full coverage of substrate with </w:t>
      </w:r>
      <w:proofErr w:type="spellStart"/>
      <w:r w:rsidRPr="00991DEF">
        <w:t>ZnO</w:t>
      </w:r>
      <w:proofErr w:type="spellEnd"/>
      <w:r w:rsidRPr="00991DEF">
        <w:t xml:space="preserve"> nuclei. </w:t>
      </w:r>
    </w:p>
    <w:p w:rsidR="009831B4" w:rsidRDefault="009831B4" w:rsidP="00842A14">
      <w:pPr>
        <w:pStyle w:val="TAMainText"/>
      </w:pPr>
    </w:p>
    <w:p w:rsidR="00FA5A0A" w:rsidRPr="006C293A" w:rsidRDefault="00FA5A0A" w:rsidP="00842A14">
      <w:pPr>
        <w:pStyle w:val="TAMainText"/>
        <w:numPr>
          <w:ilvl w:val="0"/>
          <w:numId w:val="1"/>
        </w:numPr>
        <w:rPr>
          <w:b/>
        </w:rPr>
      </w:pPr>
      <w:r w:rsidRPr="006C293A">
        <w:rPr>
          <w:b/>
        </w:rPr>
        <w:t>Characterization</w:t>
      </w:r>
    </w:p>
    <w:p w:rsidR="00FA5A0A" w:rsidRDefault="00FA5A0A" w:rsidP="00FA5A0A">
      <w:pPr>
        <w:pStyle w:val="TAMainText"/>
      </w:pPr>
      <w:r w:rsidRPr="00991DEF">
        <w:t xml:space="preserve">The morphological, structural and optical properties of samples were thoroughly investigated by using different techniques. The pH of the growth solution was measured by an Orion </w:t>
      </w:r>
      <w:proofErr w:type="gramStart"/>
      <w:r w:rsidRPr="00991DEF">
        <w:t>2 star</w:t>
      </w:r>
      <w:proofErr w:type="gramEnd"/>
      <w:r w:rsidRPr="00991DEF">
        <w:t xml:space="preserve"> pH meter </w:t>
      </w:r>
      <w:r>
        <w:t>with an electrode</w:t>
      </w:r>
      <w:r w:rsidRPr="00991DEF">
        <w:t xml:space="preserve"> optimized for measurements at room temperature.</w:t>
      </w:r>
      <w:r>
        <w:t xml:space="preserve"> T</w:t>
      </w:r>
      <w:r w:rsidRPr="00991DEF">
        <w:t xml:space="preserve">he electrode was calibrated for both room temperature and 60 ̊C to minimize the temperature effect error in our pH measurements. A JEOL JSM-7600 FE SEM was employed to image the nanorods from the top and cross section. </w:t>
      </w:r>
      <w:r>
        <w:t>The c</w:t>
      </w:r>
      <w:r w:rsidRPr="00991DEF">
        <w:t xml:space="preserve">rystal structure of the samples was investigated using a </w:t>
      </w:r>
      <w:proofErr w:type="spellStart"/>
      <w:r w:rsidRPr="00991DEF">
        <w:t>PANalytical</w:t>
      </w:r>
      <w:proofErr w:type="spellEnd"/>
      <w:r w:rsidRPr="00991DEF">
        <w:t xml:space="preserve"> </w:t>
      </w:r>
      <w:proofErr w:type="spellStart"/>
      <w:r w:rsidRPr="00991DEF">
        <w:t>X’pert</w:t>
      </w:r>
      <w:proofErr w:type="spellEnd"/>
      <w:r w:rsidRPr="00991DEF">
        <w:t xml:space="preserve"> MPD Pro diffractometer operated at 40 kV and 40 mA using Ni-filtered Cu Kα irradiation (wavelength 1.5406 Å). Local Raman shifts were measured at room temperature using a Renishaw </w:t>
      </w:r>
      <w:proofErr w:type="spellStart"/>
      <w:r w:rsidRPr="00991DEF">
        <w:t>inVia</w:t>
      </w:r>
      <w:proofErr w:type="spellEnd"/>
      <w:r w:rsidRPr="00991DEF">
        <w:t xml:space="preserve"> micro-Raman system, with a </w:t>
      </w:r>
      <w:proofErr w:type="gramStart"/>
      <w:r w:rsidRPr="00991DEF">
        <w:t>532 nm</w:t>
      </w:r>
      <w:proofErr w:type="gramEnd"/>
      <w:r w:rsidRPr="00991DEF">
        <w:t xml:space="preserve"> excitation laser and no polarization detection, in the 0 to 900 cm</w:t>
      </w:r>
      <w:r w:rsidRPr="00991DEF">
        <w:rPr>
          <w:vertAlign w:val="superscript"/>
        </w:rPr>
        <w:t xml:space="preserve">-1 </w:t>
      </w:r>
      <w:r w:rsidRPr="00991DEF">
        <w:t xml:space="preserve">range. The chemical composition was investigated by X-ray photo-electron spectroscopy (XPS) (Axis </w:t>
      </w:r>
      <w:proofErr w:type="spellStart"/>
      <w:r w:rsidRPr="00991DEF">
        <w:t>UltraDLD</w:t>
      </w:r>
      <w:proofErr w:type="spellEnd"/>
      <w:r w:rsidRPr="00991DEF">
        <w:t xml:space="preserve">, </w:t>
      </w:r>
      <w:proofErr w:type="spellStart"/>
      <w:r w:rsidRPr="00991DEF">
        <w:t>Kratos</w:t>
      </w:r>
      <w:proofErr w:type="spellEnd"/>
      <w:r w:rsidRPr="00991DEF">
        <w:t xml:space="preserve">) with monochromatic </w:t>
      </w:r>
      <w:proofErr w:type="spellStart"/>
      <w:r w:rsidRPr="00991DEF">
        <w:t>aluminium</w:t>
      </w:r>
      <w:proofErr w:type="spellEnd"/>
      <w:r w:rsidRPr="00991DEF">
        <w:t xml:space="preserve"> Kα radiation and EDS. An Al X-ray source (1486.6 eV) was used and the spectra were detected in the range from 0 to 1200 eV. The charge calibration was done by setting the C 1s line of adventitious carbon to 284.8 eV to compensate for charge effects. For lower doping concentration Energy-dispersive X-ray spectroscopy (EDS) was used. Finally, room temperature PL spectroscopy was performed with a PTI QM-4 fluorescence spectrophotometer with </w:t>
      </w:r>
      <w:r>
        <w:t xml:space="preserve">an </w:t>
      </w:r>
      <w:r w:rsidRPr="00991DEF">
        <w:t>excitation wavelength of 340 nm.</w:t>
      </w:r>
    </w:p>
    <w:p w:rsidR="006C293A" w:rsidRDefault="006C293A" w:rsidP="00FA5A0A">
      <w:pPr>
        <w:pStyle w:val="TAMainText"/>
      </w:pPr>
    </w:p>
    <w:p w:rsidR="006C293A" w:rsidRDefault="006C293A" w:rsidP="00FA5A0A">
      <w:pPr>
        <w:pStyle w:val="TAMainText"/>
      </w:pPr>
    </w:p>
    <w:p w:rsidR="006C293A" w:rsidRPr="006C293A" w:rsidRDefault="006C293A" w:rsidP="006C293A">
      <w:pPr>
        <w:pStyle w:val="TAMainText"/>
        <w:numPr>
          <w:ilvl w:val="0"/>
          <w:numId w:val="1"/>
        </w:numPr>
        <w:rPr>
          <w:b/>
        </w:rPr>
      </w:pPr>
      <w:bookmarkStart w:id="1" w:name="_Ref485654109"/>
      <w:r w:rsidRPr="006C293A">
        <w:rPr>
          <w:b/>
        </w:rPr>
        <w:lastRenderedPageBreak/>
        <w:t>Figures:</w:t>
      </w:r>
    </w:p>
    <w:p w:rsidR="00AA0441" w:rsidRDefault="00EB4D01" w:rsidP="00E61F8F">
      <w:pPr>
        <w:pStyle w:val="TAMainText"/>
        <w:spacing w:line="240" w:lineRule="auto"/>
        <w:jc w:val="center"/>
        <w:rPr>
          <w:b/>
          <w:bCs/>
        </w:rPr>
      </w:pPr>
      <w:r>
        <w:rPr>
          <w:b/>
          <w:bCs/>
          <w:noProof/>
          <w:lang w:val="en-CA" w:eastAsia="en-CA"/>
        </w:rPr>
        <w:drawing>
          <wp:inline distT="0" distB="0" distL="0" distR="0" wp14:anchorId="0A13F9C2" wp14:editId="3B6138C8">
            <wp:extent cx="4000500" cy="3223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-suppli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7693" r="9775"/>
                    <a:stretch/>
                  </pic:blipFill>
                  <pic:spPr bwMode="auto">
                    <a:xfrm>
                      <a:off x="0" y="0"/>
                      <a:ext cx="4038094" cy="3253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93A" w:rsidRDefault="006C293A" w:rsidP="006C293A">
      <w:pPr>
        <w:pStyle w:val="TAMainText"/>
        <w:jc w:val="center"/>
      </w:pPr>
      <w:r>
        <w:rPr>
          <w:b/>
          <w:bCs/>
        </w:rPr>
        <w:t xml:space="preserve">FIG. </w:t>
      </w:r>
      <w:r w:rsidR="00E61F8F">
        <w:rPr>
          <w:b/>
          <w:bCs/>
        </w:rPr>
        <w:t>S1</w:t>
      </w:r>
      <w:r w:rsidRPr="006C293A">
        <w:t xml:space="preserve"> </w:t>
      </w:r>
      <w:r w:rsidRPr="00991DEF">
        <w:t>Evolution of the pH during the growth as a function of time (temperature up to 6</w:t>
      </w:r>
      <w:r w:rsidR="00C763C0">
        <w:t>5</w:t>
      </w:r>
      <w:r w:rsidRPr="00991DEF">
        <w:t xml:space="preserve"> ̊C).</w:t>
      </w:r>
    </w:p>
    <w:p w:rsidR="00FF6B85" w:rsidRPr="00991DEF" w:rsidRDefault="00FF6B85" w:rsidP="006C293A">
      <w:pPr>
        <w:pStyle w:val="TAMainText"/>
        <w:jc w:val="center"/>
      </w:pPr>
    </w:p>
    <w:bookmarkEnd w:id="1"/>
    <w:p w:rsidR="000D6DE8" w:rsidRPr="00DC0D26" w:rsidRDefault="004E47D1" w:rsidP="00120BD6">
      <w:pPr>
        <w:ind w:left="202"/>
        <w:jc w:val="center"/>
        <w:rPr>
          <w:rFonts w:asciiTheme="minorBidi" w:hAnsiTheme="minorBidi"/>
          <w:noProof/>
          <w:sz w:val="17"/>
          <w:szCs w:val="17"/>
          <w:lang w:eastAsia="zh-CN"/>
        </w:rPr>
      </w:pPr>
      <w:r>
        <w:rPr>
          <w:rFonts w:asciiTheme="minorBidi" w:hAnsiTheme="minorBidi"/>
          <w:b/>
          <w:noProof/>
          <w:sz w:val="24"/>
          <w:szCs w:val="17"/>
          <w:lang w:eastAsia="en-CA"/>
        </w:rPr>
        <w:drawing>
          <wp:inline distT="0" distB="0" distL="0" distR="0" wp14:anchorId="1C329D97" wp14:editId="5CD46114">
            <wp:extent cx="3113288" cy="2276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. height-01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 t="7373"/>
                    <a:stretch/>
                  </pic:blipFill>
                  <pic:spPr bwMode="auto">
                    <a:xfrm>
                      <a:off x="0" y="0"/>
                      <a:ext cx="3123362" cy="228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47D1">
        <w:rPr>
          <w:rFonts w:asciiTheme="minorBidi" w:hAnsiTheme="minorBidi"/>
          <w:b/>
          <w:noProof/>
          <w:sz w:val="24"/>
          <w:szCs w:val="17"/>
          <w:lang w:val="en-US"/>
        </w:rPr>
        <w:t xml:space="preserve"> </w:t>
      </w:r>
      <w:r>
        <w:rPr>
          <w:rFonts w:asciiTheme="minorBidi" w:hAnsiTheme="minorBidi"/>
          <w:b/>
          <w:noProof/>
          <w:sz w:val="24"/>
          <w:szCs w:val="17"/>
          <w:lang w:eastAsia="en-CA"/>
        </w:rPr>
        <w:drawing>
          <wp:inline distT="0" distB="0" distL="0" distR="0" wp14:anchorId="5A9D2816" wp14:editId="5A17BC71">
            <wp:extent cx="2614025" cy="2242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. height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" t="7373" r="12746"/>
                    <a:stretch/>
                  </pic:blipFill>
                  <pic:spPr bwMode="auto">
                    <a:xfrm>
                      <a:off x="0" y="0"/>
                      <a:ext cx="2631930" cy="2257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17"/>
          <w:szCs w:val="17"/>
          <w:lang w:val="en-US"/>
        </w:rPr>
        <w:t xml:space="preserve"> </w:t>
      </w:r>
    </w:p>
    <w:p w:rsidR="006C293A" w:rsidRPr="001A1D81" w:rsidRDefault="006C293A" w:rsidP="00120BD6">
      <w:pPr>
        <w:pStyle w:val="TAMainText"/>
        <w:spacing w:line="360" w:lineRule="auto"/>
        <w:jc w:val="center"/>
        <w:rPr>
          <w:rFonts w:ascii="Times New Roman" w:hAnsi="Times New Roman"/>
        </w:rPr>
      </w:pPr>
      <w:r w:rsidRPr="001A1D81">
        <w:rPr>
          <w:rFonts w:ascii="Times New Roman" w:hAnsi="Times New Roman"/>
          <w:b/>
          <w:noProof/>
          <w:szCs w:val="17"/>
          <w:lang w:eastAsia="zh-CN"/>
        </w:rPr>
        <w:t xml:space="preserve">FIG. </w:t>
      </w:r>
      <w:r w:rsidR="000D6DE8" w:rsidRPr="001A1D81">
        <w:rPr>
          <w:rFonts w:ascii="Times New Roman" w:hAnsi="Times New Roman"/>
          <w:b/>
          <w:noProof/>
          <w:szCs w:val="17"/>
          <w:lang w:eastAsia="zh-CN"/>
        </w:rPr>
        <w:t>S2</w:t>
      </w:r>
      <w:r w:rsidRPr="001A1D81">
        <w:rPr>
          <w:rFonts w:ascii="Times New Roman" w:hAnsi="Times New Roman"/>
        </w:rPr>
        <w:t xml:space="preserve"> A) Height and diameter distribution and B) Aspect ratio of </w:t>
      </w:r>
      <w:proofErr w:type="spellStart"/>
      <w:r w:rsidRPr="001A1D81">
        <w:rPr>
          <w:rFonts w:ascii="Times New Roman" w:hAnsi="Times New Roman"/>
        </w:rPr>
        <w:t>undoped</w:t>
      </w:r>
      <w:proofErr w:type="spellEnd"/>
      <w:r w:rsidRPr="001A1D81">
        <w:rPr>
          <w:rFonts w:ascii="Times New Roman" w:hAnsi="Times New Roman"/>
        </w:rPr>
        <w:t xml:space="preserve"> and Na-doped </w:t>
      </w:r>
      <w:proofErr w:type="spellStart"/>
      <w:r w:rsidRPr="001A1D81">
        <w:rPr>
          <w:rFonts w:ascii="Times New Roman" w:hAnsi="Times New Roman"/>
        </w:rPr>
        <w:t>ZnO</w:t>
      </w:r>
      <w:proofErr w:type="spellEnd"/>
      <w:r w:rsidRPr="001A1D81">
        <w:rPr>
          <w:rFonts w:ascii="Times New Roman" w:hAnsi="Times New Roman"/>
        </w:rPr>
        <w:t xml:space="preserve"> nanorods</w:t>
      </w:r>
      <w:r w:rsidR="001A1D81" w:rsidRPr="001A1D81">
        <w:rPr>
          <w:rFonts w:ascii="Times New Roman" w:hAnsi="Times New Roman"/>
        </w:rPr>
        <w:t xml:space="preserve"> with different concentration</w:t>
      </w:r>
      <w:r w:rsidR="005D3AF4">
        <w:rPr>
          <w:rFonts w:ascii="Times New Roman" w:hAnsi="Times New Roman"/>
        </w:rPr>
        <w:t>s grown</w:t>
      </w:r>
      <w:r w:rsidR="001A1D81" w:rsidRPr="001A1D81">
        <w:rPr>
          <w:rFonts w:ascii="Times New Roman" w:hAnsi="Times New Roman"/>
        </w:rPr>
        <w:t xml:space="preserve"> at 60 ˚C on silicon</w:t>
      </w:r>
      <w:r w:rsidRPr="001A1D81">
        <w:rPr>
          <w:rFonts w:ascii="Times New Roman" w:hAnsi="Times New Roman"/>
        </w:rPr>
        <w:t>.</w:t>
      </w:r>
    </w:p>
    <w:p w:rsidR="00DC0D26" w:rsidRPr="00C763C0" w:rsidRDefault="00DC0D26" w:rsidP="00C763C0">
      <w:pPr>
        <w:rPr>
          <w:rFonts w:asciiTheme="minorBidi" w:hAnsiTheme="minorBidi"/>
          <w:b/>
          <w:noProof/>
          <w:sz w:val="24"/>
          <w:szCs w:val="17"/>
          <w:lang w:eastAsia="zh-CN"/>
        </w:rPr>
      </w:pPr>
    </w:p>
    <w:p w:rsidR="00DC0D26" w:rsidRDefault="00DC0D26" w:rsidP="00DC0D26">
      <w:pPr>
        <w:pStyle w:val="ListParagraph"/>
        <w:ind w:left="202"/>
        <w:jc w:val="center"/>
        <w:rPr>
          <w:rFonts w:asciiTheme="minorBidi" w:hAnsiTheme="minorBidi"/>
          <w:b/>
          <w:noProof/>
          <w:sz w:val="24"/>
          <w:szCs w:val="17"/>
          <w:lang w:eastAsia="zh-CN"/>
        </w:rPr>
      </w:pPr>
    </w:p>
    <w:p w:rsidR="00DC0D26" w:rsidRDefault="00FF6B85" w:rsidP="00DC0D26">
      <w:pPr>
        <w:pStyle w:val="ListParagraph"/>
        <w:ind w:left="202"/>
        <w:jc w:val="center"/>
        <w:rPr>
          <w:lang w:val="en-GB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3886200" cy="317719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-d-spacing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r="12981"/>
                    <a:stretch/>
                  </pic:blipFill>
                  <pic:spPr bwMode="auto">
                    <a:xfrm>
                      <a:off x="0" y="0"/>
                      <a:ext cx="3908218" cy="3195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93A" w:rsidRPr="001A1D81" w:rsidRDefault="006C293A" w:rsidP="00120B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D81">
        <w:rPr>
          <w:rFonts w:ascii="Times New Roman" w:hAnsi="Times New Roman" w:cs="Times New Roman"/>
          <w:b/>
          <w:noProof/>
          <w:sz w:val="24"/>
          <w:szCs w:val="17"/>
          <w:lang w:eastAsia="zh-CN"/>
        </w:rPr>
        <w:t xml:space="preserve">FIG. </w:t>
      </w:r>
      <w:r w:rsidR="00DC0D26" w:rsidRPr="001A1D81">
        <w:rPr>
          <w:rFonts w:ascii="Times New Roman" w:hAnsi="Times New Roman" w:cs="Times New Roman"/>
          <w:b/>
          <w:noProof/>
          <w:sz w:val="24"/>
          <w:szCs w:val="17"/>
          <w:lang w:eastAsia="zh-CN"/>
        </w:rPr>
        <w:t>S</w:t>
      </w:r>
      <w:r w:rsidR="00C763C0" w:rsidRPr="001A1D81">
        <w:rPr>
          <w:rFonts w:ascii="Times New Roman" w:hAnsi="Times New Roman" w:cs="Times New Roman"/>
          <w:b/>
          <w:noProof/>
          <w:sz w:val="24"/>
          <w:szCs w:val="17"/>
          <w:lang w:eastAsia="zh-CN"/>
        </w:rPr>
        <w:t>3</w:t>
      </w:r>
      <w:r w:rsidRPr="001A1D81">
        <w:rPr>
          <w:rFonts w:ascii="Times New Roman" w:hAnsi="Times New Roman" w:cs="Times New Roman"/>
          <w:b/>
          <w:noProof/>
          <w:sz w:val="24"/>
          <w:szCs w:val="17"/>
          <w:lang w:eastAsia="zh-CN"/>
        </w:rPr>
        <w:t xml:space="preserve"> </w:t>
      </w:r>
      <w:r w:rsidRPr="001A1D81">
        <w:rPr>
          <w:rFonts w:ascii="Times New Roman" w:hAnsi="Times New Roman" w:cs="Times New Roman"/>
          <w:sz w:val="24"/>
          <w:szCs w:val="24"/>
        </w:rPr>
        <w:t xml:space="preserve">Plane spacing of </w:t>
      </w:r>
      <w:proofErr w:type="spellStart"/>
      <w:r w:rsidRPr="001A1D81">
        <w:rPr>
          <w:rFonts w:ascii="Times New Roman" w:hAnsi="Times New Roman" w:cs="Times New Roman"/>
          <w:sz w:val="24"/>
          <w:szCs w:val="24"/>
        </w:rPr>
        <w:t>undoped</w:t>
      </w:r>
      <w:proofErr w:type="spellEnd"/>
      <w:r w:rsidRPr="001A1D81">
        <w:rPr>
          <w:rFonts w:ascii="Times New Roman" w:hAnsi="Times New Roman" w:cs="Times New Roman"/>
          <w:sz w:val="24"/>
          <w:szCs w:val="24"/>
        </w:rPr>
        <w:t xml:space="preserve"> and Na-doped </w:t>
      </w:r>
      <w:proofErr w:type="spellStart"/>
      <w:r w:rsidRPr="001A1D81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1A1D81">
        <w:rPr>
          <w:rFonts w:ascii="Times New Roman" w:hAnsi="Times New Roman" w:cs="Times New Roman"/>
          <w:sz w:val="24"/>
          <w:szCs w:val="24"/>
        </w:rPr>
        <w:t xml:space="preserve"> nanorods</w:t>
      </w:r>
      <w:r w:rsidR="001A1D81" w:rsidRPr="001A1D81">
        <w:rPr>
          <w:rFonts w:ascii="Times New Roman" w:hAnsi="Times New Roman" w:cs="Times New Roman"/>
          <w:sz w:val="24"/>
          <w:szCs w:val="24"/>
        </w:rPr>
        <w:t xml:space="preserve"> </w:t>
      </w:r>
      <w:r w:rsidR="001A1D81" w:rsidRPr="001A1D81">
        <w:rPr>
          <w:rFonts w:ascii="Times New Roman" w:hAnsi="Times New Roman" w:cs="Times New Roman"/>
        </w:rPr>
        <w:t>with different concentration</w:t>
      </w:r>
      <w:r w:rsidR="00120BD6">
        <w:rPr>
          <w:rFonts w:ascii="Times New Roman" w:hAnsi="Times New Roman" w:cs="Times New Roman"/>
        </w:rPr>
        <w:t xml:space="preserve"> grown</w:t>
      </w:r>
      <w:r w:rsidR="001A1D81" w:rsidRPr="001A1D81">
        <w:rPr>
          <w:rFonts w:ascii="Times New Roman" w:hAnsi="Times New Roman" w:cs="Times New Roman"/>
        </w:rPr>
        <w:t xml:space="preserve"> at 60 ˚C on silicon.</w:t>
      </w:r>
    </w:p>
    <w:p w:rsidR="00DC0D26" w:rsidRDefault="00EA3038" w:rsidP="00DC0D26">
      <w:pPr>
        <w:pStyle w:val="ListParagraph"/>
        <w:ind w:left="202"/>
        <w:jc w:val="center"/>
        <w:rPr>
          <w:rFonts w:asciiTheme="minorBidi" w:hAnsiTheme="minorBidi"/>
          <w:b/>
          <w:noProof/>
          <w:sz w:val="24"/>
          <w:szCs w:val="17"/>
          <w:lang w:eastAsia="zh-CN"/>
        </w:rPr>
      </w:pPr>
      <w:r w:rsidRPr="00991DEF">
        <w:rPr>
          <w:b/>
          <w:noProof/>
          <w:lang w:eastAsia="en-CA"/>
        </w:rPr>
        <w:lastRenderedPageBreak/>
        <w:drawing>
          <wp:inline distT="0" distB="0" distL="0" distR="0">
            <wp:extent cx="3960952" cy="737899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S-XPS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884" cy="747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93A" w:rsidRPr="006C293A" w:rsidRDefault="006C293A" w:rsidP="006C293A">
      <w:pPr>
        <w:jc w:val="center"/>
        <w:rPr>
          <w:rFonts w:ascii="Times" w:hAnsi="Times" w:cs="Times"/>
          <w:noProof/>
          <w:sz w:val="28"/>
          <w:szCs w:val="17"/>
          <w:lang w:eastAsia="zh-CN"/>
        </w:rPr>
      </w:pPr>
      <w:r>
        <w:rPr>
          <w:rFonts w:asciiTheme="minorBidi" w:hAnsiTheme="minorBidi"/>
          <w:b/>
          <w:noProof/>
          <w:sz w:val="24"/>
          <w:szCs w:val="17"/>
          <w:lang w:eastAsia="zh-CN"/>
        </w:rPr>
        <w:t xml:space="preserve">FIG. </w:t>
      </w:r>
      <w:r w:rsidR="00151132" w:rsidRPr="006C293A">
        <w:rPr>
          <w:rFonts w:asciiTheme="minorBidi" w:hAnsiTheme="minorBidi"/>
          <w:b/>
          <w:noProof/>
          <w:sz w:val="24"/>
          <w:szCs w:val="17"/>
          <w:lang w:eastAsia="zh-CN"/>
        </w:rPr>
        <w:t>S</w:t>
      </w:r>
      <w:r w:rsidR="00C763C0">
        <w:rPr>
          <w:rFonts w:asciiTheme="minorBidi" w:hAnsiTheme="minorBidi"/>
          <w:b/>
          <w:noProof/>
          <w:sz w:val="24"/>
          <w:szCs w:val="17"/>
          <w:lang w:eastAsia="zh-CN"/>
        </w:rPr>
        <w:t>4</w:t>
      </w:r>
      <w:r w:rsidRPr="006C293A">
        <w:rPr>
          <w:rFonts w:ascii="Times" w:hAnsi="Times" w:cs="Times"/>
          <w:bCs/>
          <w:sz w:val="24"/>
        </w:rPr>
        <w:t xml:space="preserve"> High-resolution XPS spectra of the O 1s core level of A) </w:t>
      </w:r>
      <w:proofErr w:type="spellStart"/>
      <w:r w:rsidRPr="006C293A">
        <w:rPr>
          <w:rFonts w:ascii="Times" w:hAnsi="Times" w:cs="Times"/>
          <w:bCs/>
          <w:sz w:val="24"/>
        </w:rPr>
        <w:t>undoped</w:t>
      </w:r>
      <w:proofErr w:type="spellEnd"/>
      <w:r w:rsidR="005D3AF4">
        <w:rPr>
          <w:rFonts w:ascii="Times" w:hAnsi="Times" w:cs="Times"/>
          <w:bCs/>
          <w:sz w:val="24"/>
        </w:rPr>
        <w:t xml:space="preserve"> </w:t>
      </w:r>
      <w:proofErr w:type="spellStart"/>
      <w:r w:rsidR="005D3AF4">
        <w:rPr>
          <w:rFonts w:ascii="Times" w:hAnsi="Times" w:cs="Times"/>
          <w:bCs/>
          <w:sz w:val="24"/>
        </w:rPr>
        <w:t>ZnO</w:t>
      </w:r>
      <w:proofErr w:type="spellEnd"/>
      <w:r w:rsidR="005D3AF4">
        <w:rPr>
          <w:rFonts w:ascii="Times" w:hAnsi="Times" w:cs="Times"/>
          <w:bCs/>
          <w:sz w:val="24"/>
        </w:rPr>
        <w:t xml:space="preserve"> nanorods</w:t>
      </w:r>
      <w:r w:rsidRPr="006C293A">
        <w:rPr>
          <w:rFonts w:ascii="Times" w:hAnsi="Times" w:cs="Times"/>
          <w:bCs/>
          <w:sz w:val="24"/>
        </w:rPr>
        <w:t xml:space="preserve"> B) 0.1 M C) 0.25 M D) 0.50 M</w:t>
      </w:r>
      <w:r w:rsidRPr="006C293A">
        <w:rPr>
          <w:rFonts w:ascii="Times" w:hAnsi="Times" w:cs="Times"/>
          <w:bCs/>
          <w:sz w:val="24"/>
          <w:vertAlign w:val="subscript"/>
        </w:rPr>
        <w:t xml:space="preserve"> </w:t>
      </w:r>
      <w:r w:rsidRPr="006C293A">
        <w:rPr>
          <w:rFonts w:ascii="Times" w:hAnsi="Times" w:cs="Times"/>
          <w:bCs/>
          <w:sz w:val="24"/>
        </w:rPr>
        <w:t xml:space="preserve">E) 1 M </w:t>
      </w:r>
      <w:r w:rsidR="001A1D81">
        <w:rPr>
          <w:rFonts w:ascii="Times" w:hAnsi="Times" w:cs="Times"/>
          <w:bCs/>
          <w:sz w:val="24"/>
        </w:rPr>
        <w:t xml:space="preserve">Na-doped </w:t>
      </w:r>
      <w:proofErr w:type="spellStart"/>
      <w:r w:rsidR="001A1D81">
        <w:rPr>
          <w:rFonts w:ascii="Times" w:hAnsi="Times" w:cs="Times"/>
          <w:bCs/>
          <w:sz w:val="24"/>
        </w:rPr>
        <w:t>ZnO</w:t>
      </w:r>
      <w:proofErr w:type="spellEnd"/>
      <w:r w:rsidR="001A1D81">
        <w:rPr>
          <w:rFonts w:ascii="Times" w:hAnsi="Times" w:cs="Times"/>
          <w:bCs/>
          <w:sz w:val="24"/>
        </w:rPr>
        <w:t xml:space="preserve"> nanorods grown at 60 ˚C on silicon</w:t>
      </w:r>
      <w:r w:rsidRPr="006C293A">
        <w:rPr>
          <w:rFonts w:ascii="Times" w:hAnsi="Times" w:cs="Times"/>
          <w:bCs/>
          <w:sz w:val="24"/>
        </w:rPr>
        <w:t>.</w:t>
      </w:r>
    </w:p>
    <w:p w:rsidR="00151132" w:rsidRDefault="00151132" w:rsidP="00DC0D26">
      <w:pPr>
        <w:pStyle w:val="ListParagraph"/>
        <w:ind w:left="202"/>
        <w:jc w:val="center"/>
        <w:rPr>
          <w:rFonts w:asciiTheme="minorBidi" w:hAnsiTheme="minorBidi"/>
          <w:b/>
          <w:noProof/>
          <w:sz w:val="24"/>
          <w:szCs w:val="17"/>
          <w:lang w:eastAsia="zh-CN"/>
        </w:rPr>
      </w:pPr>
    </w:p>
    <w:p w:rsidR="00151132" w:rsidRDefault="00151132" w:rsidP="00DC0D26">
      <w:pPr>
        <w:pStyle w:val="ListParagraph"/>
        <w:ind w:left="202"/>
        <w:jc w:val="center"/>
        <w:rPr>
          <w:rFonts w:asciiTheme="minorBidi" w:hAnsiTheme="minorBidi"/>
          <w:b/>
          <w:noProof/>
          <w:sz w:val="24"/>
          <w:szCs w:val="17"/>
          <w:lang w:eastAsia="zh-CN"/>
        </w:rPr>
      </w:pPr>
    </w:p>
    <w:p w:rsidR="00151132" w:rsidRDefault="00151132" w:rsidP="00DC0D26">
      <w:pPr>
        <w:pStyle w:val="ListParagraph"/>
        <w:ind w:left="202"/>
        <w:jc w:val="center"/>
        <w:rPr>
          <w:rFonts w:asciiTheme="minorBidi" w:hAnsiTheme="minorBidi"/>
          <w:b/>
          <w:noProof/>
          <w:sz w:val="24"/>
          <w:szCs w:val="17"/>
          <w:lang w:eastAsia="zh-CN"/>
        </w:rPr>
      </w:pPr>
      <w:r>
        <w:rPr>
          <w:b/>
          <w:noProof/>
          <w:lang w:eastAsia="en-CA"/>
        </w:rPr>
        <w:drawing>
          <wp:inline distT="0" distB="0" distL="0" distR="0" wp14:anchorId="4D638386" wp14:editId="7DB995C6">
            <wp:extent cx="5573529" cy="2715904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te6-spec8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755" cy="272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93A" w:rsidRPr="006C293A" w:rsidRDefault="006C293A" w:rsidP="006C293A">
      <w:pPr>
        <w:jc w:val="center"/>
        <w:rPr>
          <w:rFonts w:ascii="Times" w:hAnsi="Times" w:cs="Times"/>
          <w:b/>
          <w:noProof/>
          <w:sz w:val="28"/>
          <w:szCs w:val="17"/>
          <w:lang w:eastAsia="zh-CN"/>
        </w:rPr>
      </w:pPr>
      <w:r>
        <w:rPr>
          <w:rFonts w:asciiTheme="minorBidi" w:hAnsiTheme="minorBidi"/>
          <w:b/>
          <w:noProof/>
          <w:sz w:val="24"/>
          <w:szCs w:val="17"/>
          <w:lang w:eastAsia="zh-CN"/>
        </w:rPr>
        <w:t xml:space="preserve">FIG. </w:t>
      </w:r>
      <w:r w:rsidR="00151132" w:rsidRPr="006C293A">
        <w:rPr>
          <w:rFonts w:asciiTheme="minorBidi" w:hAnsiTheme="minorBidi"/>
          <w:b/>
          <w:noProof/>
          <w:sz w:val="24"/>
          <w:szCs w:val="17"/>
          <w:lang w:eastAsia="zh-CN"/>
        </w:rPr>
        <w:t>S</w:t>
      </w:r>
      <w:r w:rsidR="00C763C0">
        <w:rPr>
          <w:rFonts w:asciiTheme="minorBidi" w:hAnsiTheme="minorBidi"/>
          <w:b/>
          <w:noProof/>
          <w:sz w:val="24"/>
          <w:szCs w:val="17"/>
          <w:lang w:eastAsia="zh-CN"/>
        </w:rPr>
        <w:t>5</w:t>
      </w:r>
      <w:r w:rsidRPr="006C293A">
        <w:rPr>
          <w:rFonts w:ascii="Times" w:hAnsi="Times" w:cs="Times"/>
          <w:bCs/>
          <w:sz w:val="24"/>
        </w:rPr>
        <w:t xml:space="preserve"> </w:t>
      </w:r>
      <w:r w:rsidR="005E766B">
        <w:rPr>
          <w:rFonts w:ascii="Times" w:hAnsi="Times" w:cs="Times"/>
          <w:bCs/>
          <w:sz w:val="24"/>
        </w:rPr>
        <w:t xml:space="preserve">EDS elemental microanalysis of </w:t>
      </w:r>
      <w:r w:rsidRPr="006C293A">
        <w:rPr>
          <w:rFonts w:ascii="Times" w:hAnsi="Times" w:cs="Times"/>
          <w:bCs/>
          <w:sz w:val="24"/>
        </w:rPr>
        <w:t xml:space="preserve">0.5 M Na-doped </w:t>
      </w:r>
      <w:proofErr w:type="spellStart"/>
      <w:r w:rsidRPr="006C293A">
        <w:rPr>
          <w:rFonts w:ascii="Times" w:hAnsi="Times" w:cs="Times"/>
          <w:bCs/>
          <w:sz w:val="24"/>
        </w:rPr>
        <w:t>ZnO</w:t>
      </w:r>
      <w:proofErr w:type="spellEnd"/>
      <w:r w:rsidRPr="006C293A">
        <w:rPr>
          <w:rFonts w:ascii="Times" w:hAnsi="Times" w:cs="Times"/>
          <w:bCs/>
          <w:sz w:val="24"/>
        </w:rPr>
        <w:t xml:space="preserve"> </w:t>
      </w:r>
      <w:r w:rsidR="001A1D81">
        <w:rPr>
          <w:rFonts w:ascii="Times" w:hAnsi="Times" w:cs="Times"/>
          <w:bCs/>
          <w:sz w:val="24"/>
        </w:rPr>
        <w:t>nanorods</w:t>
      </w:r>
      <w:r w:rsidR="00073230">
        <w:rPr>
          <w:rFonts w:ascii="Times" w:hAnsi="Times" w:cs="Times"/>
          <w:bCs/>
          <w:sz w:val="24"/>
        </w:rPr>
        <w:t xml:space="preserve">, showing the presence of Na in the </w:t>
      </w:r>
      <w:proofErr w:type="spellStart"/>
      <w:r w:rsidR="009A5F57">
        <w:rPr>
          <w:rFonts w:ascii="Times" w:hAnsi="Times" w:cs="Times"/>
          <w:bCs/>
          <w:sz w:val="24"/>
        </w:rPr>
        <w:t>ZnO</w:t>
      </w:r>
      <w:proofErr w:type="spellEnd"/>
      <w:r w:rsidR="009A5F57">
        <w:rPr>
          <w:rFonts w:ascii="Times" w:hAnsi="Times" w:cs="Times"/>
          <w:bCs/>
          <w:sz w:val="24"/>
        </w:rPr>
        <w:t xml:space="preserve"> host lattice</w:t>
      </w:r>
      <w:r w:rsidR="005D3AF4">
        <w:rPr>
          <w:rFonts w:ascii="Times" w:hAnsi="Times" w:cs="Times"/>
          <w:bCs/>
          <w:sz w:val="24"/>
        </w:rPr>
        <w:t>.</w:t>
      </w:r>
    </w:p>
    <w:p w:rsidR="00151132" w:rsidRDefault="00151132" w:rsidP="00DC0D26">
      <w:pPr>
        <w:pStyle w:val="ListParagraph"/>
        <w:ind w:left="202"/>
        <w:jc w:val="center"/>
        <w:rPr>
          <w:rFonts w:asciiTheme="minorBidi" w:hAnsiTheme="minorBidi"/>
          <w:b/>
          <w:noProof/>
          <w:sz w:val="24"/>
          <w:szCs w:val="17"/>
          <w:lang w:eastAsia="zh-CN"/>
        </w:rPr>
      </w:pPr>
    </w:p>
    <w:p w:rsidR="00DC0D26" w:rsidRDefault="00DC0D26" w:rsidP="00DC0D26">
      <w:pPr>
        <w:pStyle w:val="ListParagraph"/>
        <w:ind w:left="202"/>
        <w:jc w:val="center"/>
        <w:rPr>
          <w:rFonts w:asciiTheme="minorBidi" w:hAnsiTheme="minorBidi"/>
          <w:b/>
          <w:noProof/>
          <w:sz w:val="24"/>
          <w:szCs w:val="17"/>
          <w:lang w:eastAsia="zh-CN"/>
        </w:rPr>
      </w:pPr>
    </w:p>
    <w:p w:rsidR="006C293A" w:rsidRDefault="006C293A" w:rsidP="00DC0D26">
      <w:pPr>
        <w:pStyle w:val="ListParagraph"/>
        <w:ind w:left="202"/>
        <w:jc w:val="center"/>
        <w:rPr>
          <w:rFonts w:asciiTheme="minorBidi" w:hAnsiTheme="minorBidi"/>
          <w:b/>
          <w:noProof/>
          <w:sz w:val="24"/>
          <w:szCs w:val="17"/>
          <w:lang w:eastAsia="zh-CN"/>
        </w:rPr>
      </w:pPr>
    </w:p>
    <w:p w:rsidR="006C293A" w:rsidRDefault="00FF6B85" w:rsidP="00FF6B85">
      <w:pPr>
        <w:pStyle w:val="ListParagraph"/>
        <w:numPr>
          <w:ilvl w:val="0"/>
          <w:numId w:val="1"/>
        </w:numPr>
        <w:rPr>
          <w:rFonts w:asciiTheme="minorBidi" w:hAnsiTheme="minorBidi"/>
          <w:b/>
          <w:noProof/>
          <w:sz w:val="24"/>
          <w:szCs w:val="17"/>
          <w:lang w:eastAsia="zh-CN"/>
        </w:rPr>
      </w:pPr>
      <w:r>
        <w:rPr>
          <w:rFonts w:asciiTheme="minorBidi" w:hAnsiTheme="minorBidi"/>
          <w:b/>
          <w:noProof/>
          <w:sz w:val="24"/>
          <w:szCs w:val="17"/>
          <w:lang w:eastAsia="zh-CN"/>
        </w:rPr>
        <w:t>Tables:</w:t>
      </w:r>
    </w:p>
    <w:p w:rsidR="001F7EE4" w:rsidRPr="006C293A" w:rsidRDefault="001F7EE4">
      <w:pPr>
        <w:rPr>
          <w:rFonts w:ascii="Times" w:hAnsi="Times" w:cs="Times"/>
          <w:sz w:val="24"/>
          <w:lang w:val="en-GB"/>
        </w:rPr>
      </w:pPr>
    </w:p>
    <w:tbl>
      <w:tblPr>
        <w:tblStyle w:val="TableGrid"/>
        <w:tblpPr w:leftFromText="180" w:rightFromText="180" w:vertAnchor="text" w:horzAnchor="margin" w:tblpY="-147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2212"/>
        <w:gridCol w:w="1601"/>
        <w:gridCol w:w="1756"/>
        <w:gridCol w:w="1339"/>
        <w:gridCol w:w="1187"/>
      </w:tblGrid>
      <w:tr w:rsidR="00DC0D26" w:rsidRPr="00B73230" w:rsidTr="00EB4D01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DC0D26" w:rsidRPr="006C293A" w:rsidRDefault="006C293A" w:rsidP="006C293A">
            <w:pPr>
              <w:rPr>
                <w:rFonts w:ascii="Times" w:hAnsi="Times" w:cs="Times"/>
                <w:b/>
                <w:sz w:val="24"/>
                <w:lang w:val="en-GB"/>
              </w:rPr>
            </w:pPr>
            <w:r w:rsidRPr="00B73230">
              <w:rPr>
                <w:rFonts w:ascii="Times" w:hAnsi="Times" w:cs="Times"/>
                <w:sz w:val="24"/>
              </w:rPr>
              <w:t xml:space="preserve">Table </w:t>
            </w:r>
            <w:r>
              <w:rPr>
                <w:rFonts w:ascii="Times" w:hAnsi="Times" w:cs="Times"/>
                <w:sz w:val="24"/>
              </w:rPr>
              <w:t>S</w:t>
            </w:r>
            <w:r w:rsidRPr="00B73230">
              <w:rPr>
                <w:rFonts w:ascii="Times" w:hAnsi="Times" w:cs="Times"/>
                <w:sz w:val="24"/>
              </w:rPr>
              <w:t xml:space="preserve">I - Experimental results of crystal characterization of </w:t>
            </w:r>
            <w:proofErr w:type="spellStart"/>
            <w:r w:rsidRPr="00B73230">
              <w:rPr>
                <w:rFonts w:ascii="Times" w:hAnsi="Times" w:cs="Times"/>
                <w:sz w:val="24"/>
              </w:rPr>
              <w:t>undoped</w:t>
            </w:r>
            <w:proofErr w:type="spellEnd"/>
            <w:r w:rsidRPr="00B73230">
              <w:rPr>
                <w:rFonts w:ascii="Times" w:hAnsi="Times" w:cs="Times"/>
                <w:sz w:val="24"/>
              </w:rPr>
              <w:t xml:space="preserve"> and Na-doped </w:t>
            </w:r>
            <w:proofErr w:type="spellStart"/>
            <w:r w:rsidRPr="00B73230">
              <w:rPr>
                <w:rFonts w:ascii="Times" w:hAnsi="Times" w:cs="Times"/>
                <w:sz w:val="24"/>
              </w:rPr>
              <w:t>ZnO</w:t>
            </w:r>
            <w:proofErr w:type="spellEnd"/>
            <w:r w:rsidRPr="00B73230">
              <w:rPr>
                <w:rFonts w:ascii="Times" w:hAnsi="Times" w:cs="Times"/>
                <w:sz w:val="24"/>
              </w:rPr>
              <w:t xml:space="preserve"> nanorods</w:t>
            </w:r>
          </w:p>
        </w:tc>
      </w:tr>
      <w:tr w:rsidR="00DC0D26" w:rsidRPr="00B73230" w:rsidTr="00EB4D01">
        <w:trPr>
          <w:trHeight w:val="20"/>
        </w:trPr>
        <w:tc>
          <w:tcPr>
            <w:tcW w:w="773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</w:p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Sample ID</w:t>
            </w:r>
          </w:p>
        </w:tc>
        <w:tc>
          <w:tcPr>
            <w:tcW w:w="1155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 xml:space="preserve">(002) peak position </w:t>
            </w:r>
            <w:r w:rsidRPr="00B73230">
              <w:rPr>
                <w:i/>
                <w:iCs/>
                <w:sz w:val="24"/>
              </w:rPr>
              <w:t xml:space="preserve">2ϴ </w:t>
            </w:r>
            <w:proofErr w:type="gramStart"/>
            <w:r w:rsidRPr="00B73230">
              <w:rPr>
                <w:sz w:val="24"/>
              </w:rPr>
              <w:t>(  ̊</w:t>
            </w:r>
            <w:proofErr w:type="gramEnd"/>
            <w:r w:rsidRPr="00B73230">
              <w:rPr>
                <w:sz w:val="24"/>
              </w:rPr>
              <w:t xml:space="preserve"> )</w:t>
            </w:r>
          </w:p>
        </w:tc>
        <w:tc>
          <w:tcPr>
            <w:tcW w:w="836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Plane spacing (Å)</w:t>
            </w:r>
          </w:p>
        </w:tc>
        <w:tc>
          <w:tcPr>
            <w:tcW w:w="917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Lattice constant (Å)</w:t>
            </w:r>
          </w:p>
        </w:tc>
        <w:tc>
          <w:tcPr>
            <w:tcW w:w="699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FWHM</w:t>
            </w:r>
          </w:p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( ̊ )</w:t>
            </w:r>
          </w:p>
        </w:tc>
        <w:tc>
          <w:tcPr>
            <w:tcW w:w="620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Degree of texture</w:t>
            </w:r>
          </w:p>
        </w:tc>
      </w:tr>
      <w:tr w:rsidR="00DC0D26" w:rsidRPr="00B73230" w:rsidTr="00EB4D01">
        <w:trPr>
          <w:trHeight w:val="20"/>
        </w:trPr>
        <w:tc>
          <w:tcPr>
            <w:tcW w:w="773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B73230">
              <w:rPr>
                <w:sz w:val="24"/>
              </w:rPr>
              <w:t>Undoped</w:t>
            </w:r>
            <w:proofErr w:type="spellEnd"/>
            <w:r w:rsidRPr="00B73230">
              <w:rPr>
                <w:sz w:val="24"/>
              </w:rPr>
              <w:t xml:space="preserve"> </w:t>
            </w:r>
            <w:proofErr w:type="spellStart"/>
            <w:r w:rsidRPr="00B73230">
              <w:rPr>
                <w:sz w:val="24"/>
              </w:rPr>
              <w:t>ZnO</w:t>
            </w:r>
            <w:proofErr w:type="spellEnd"/>
          </w:p>
        </w:tc>
        <w:tc>
          <w:tcPr>
            <w:tcW w:w="1155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34.52</w:t>
            </w:r>
          </w:p>
        </w:tc>
        <w:tc>
          <w:tcPr>
            <w:tcW w:w="836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2.594</w:t>
            </w:r>
          </w:p>
        </w:tc>
        <w:tc>
          <w:tcPr>
            <w:tcW w:w="917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5.189</w:t>
            </w:r>
          </w:p>
        </w:tc>
        <w:tc>
          <w:tcPr>
            <w:tcW w:w="699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0.3957</w:t>
            </w:r>
          </w:p>
        </w:tc>
        <w:tc>
          <w:tcPr>
            <w:tcW w:w="620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82%</w:t>
            </w:r>
          </w:p>
        </w:tc>
      </w:tr>
      <w:tr w:rsidR="00DC0D26" w:rsidRPr="00B73230" w:rsidTr="00EB4D01">
        <w:trPr>
          <w:trHeight w:val="20"/>
        </w:trPr>
        <w:tc>
          <w:tcPr>
            <w:tcW w:w="773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0.10M NaNO</w:t>
            </w:r>
            <w:r w:rsidRPr="00B73230">
              <w:rPr>
                <w:sz w:val="24"/>
                <w:vertAlign w:val="subscript"/>
              </w:rPr>
              <w:t>3</w:t>
            </w:r>
          </w:p>
        </w:tc>
        <w:tc>
          <w:tcPr>
            <w:tcW w:w="1155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34.39</w:t>
            </w:r>
          </w:p>
        </w:tc>
        <w:tc>
          <w:tcPr>
            <w:tcW w:w="836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2.604</w:t>
            </w:r>
          </w:p>
        </w:tc>
        <w:tc>
          <w:tcPr>
            <w:tcW w:w="917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5.208</w:t>
            </w:r>
          </w:p>
        </w:tc>
        <w:tc>
          <w:tcPr>
            <w:tcW w:w="699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0.3469</w:t>
            </w:r>
          </w:p>
        </w:tc>
        <w:tc>
          <w:tcPr>
            <w:tcW w:w="620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83%</w:t>
            </w:r>
          </w:p>
        </w:tc>
      </w:tr>
      <w:tr w:rsidR="00DC0D26" w:rsidRPr="00B73230" w:rsidTr="00EB4D01">
        <w:trPr>
          <w:trHeight w:val="20"/>
        </w:trPr>
        <w:tc>
          <w:tcPr>
            <w:tcW w:w="773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0.25M NaNO</w:t>
            </w:r>
            <w:r w:rsidRPr="00B73230">
              <w:rPr>
                <w:sz w:val="24"/>
                <w:vertAlign w:val="subscript"/>
              </w:rPr>
              <w:t>3</w:t>
            </w:r>
          </w:p>
        </w:tc>
        <w:tc>
          <w:tcPr>
            <w:tcW w:w="1155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34.43</w:t>
            </w:r>
          </w:p>
        </w:tc>
        <w:tc>
          <w:tcPr>
            <w:tcW w:w="836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2.601</w:t>
            </w:r>
          </w:p>
        </w:tc>
        <w:tc>
          <w:tcPr>
            <w:tcW w:w="917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5.203</w:t>
            </w:r>
          </w:p>
        </w:tc>
        <w:tc>
          <w:tcPr>
            <w:tcW w:w="699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0.4021</w:t>
            </w:r>
          </w:p>
        </w:tc>
        <w:tc>
          <w:tcPr>
            <w:tcW w:w="620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90%</w:t>
            </w:r>
          </w:p>
        </w:tc>
      </w:tr>
      <w:tr w:rsidR="00DC0D26" w:rsidRPr="00B73230" w:rsidTr="00EB4D01">
        <w:trPr>
          <w:trHeight w:val="20"/>
        </w:trPr>
        <w:tc>
          <w:tcPr>
            <w:tcW w:w="773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0.50M NaNO</w:t>
            </w:r>
            <w:r w:rsidRPr="00B73230">
              <w:rPr>
                <w:sz w:val="24"/>
                <w:vertAlign w:val="subscript"/>
              </w:rPr>
              <w:t>3</w:t>
            </w:r>
          </w:p>
        </w:tc>
        <w:tc>
          <w:tcPr>
            <w:tcW w:w="1155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34.37</w:t>
            </w:r>
          </w:p>
        </w:tc>
        <w:tc>
          <w:tcPr>
            <w:tcW w:w="836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2.606</w:t>
            </w:r>
          </w:p>
        </w:tc>
        <w:tc>
          <w:tcPr>
            <w:tcW w:w="917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5.212</w:t>
            </w:r>
          </w:p>
        </w:tc>
        <w:tc>
          <w:tcPr>
            <w:tcW w:w="699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0.4247</w:t>
            </w:r>
          </w:p>
        </w:tc>
        <w:tc>
          <w:tcPr>
            <w:tcW w:w="620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76%</w:t>
            </w:r>
          </w:p>
        </w:tc>
      </w:tr>
      <w:tr w:rsidR="00DC0D26" w:rsidRPr="00B73230" w:rsidTr="00EB4D01">
        <w:trPr>
          <w:trHeight w:val="20"/>
        </w:trPr>
        <w:tc>
          <w:tcPr>
            <w:tcW w:w="773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1M NaNO</w:t>
            </w:r>
            <w:r w:rsidRPr="00B73230">
              <w:rPr>
                <w:sz w:val="24"/>
                <w:vertAlign w:val="subscript"/>
              </w:rPr>
              <w:t>3</w:t>
            </w:r>
          </w:p>
        </w:tc>
        <w:tc>
          <w:tcPr>
            <w:tcW w:w="1155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34.34</w:t>
            </w:r>
          </w:p>
        </w:tc>
        <w:tc>
          <w:tcPr>
            <w:tcW w:w="836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2.608</w:t>
            </w:r>
          </w:p>
        </w:tc>
        <w:tc>
          <w:tcPr>
            <w:tcW w:w="917" w:type="pct"/>
            <w:vAlign w:val="center"/>
            <w:hideMark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5.216</w:t>
            </w:r>
          </w:p>
        </w:tc>
        <w:tc>
          <w:tcPr>
            <w:tcW w:w="699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0.8338</w:t>
            </w:r>
          </w:p>
        </w:tc>
        <w:tc>
          <w:tcPr>
            <w:tcW w:w="620" w:type="pct"/>
            <w:vAlign w:val="center"/>
          </w:tcPr>
          <w:p w:rsidR="00DC0D26" w:rsidRPr="00B73230" w:rsidRDefault="00DC0D26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39%</w:t>
            </w:r>
          </w:p>
        </w:tc>
      </w:tr>
    </w:tbl>
    <w:p w:rsidR="00DC0D26" w:rsidRDefault="00DC0D26">
      <w:pPr>
        <w:rPr>
          <w:rFonts w:ascii="Times" w:hAnsi="Times" w:cs="Times"/>
          <w:sz w:val="24"/>
          <w:szCs w:val="24"/>
        </w:rPr>
      </w:pPr>
    </w:p>
    <w:p w:rsidR="006C293A" w:rsidRDefault="006C293A">
      <w:pPr>
        <w:rPr>
          <w:rFonts w:ascii="Times" w:hAnsi="Times" w:cs="Times"/>
          <w:sz w:val="24"/>
          <w:szCs w:val="24"/>
        </w:rPr>
      </w:pPr>
    </w:p>
    <w:p w:rsidR="001F7EE4" w:rsidRDefault="001F7EE4">
      <w:pPr>
        <w:rPr>
          <w:rFonts w:ascii="Times" w:hAnsi="Times" w:cs="Times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962"/>
        <w:gridCol w:w="962"/>
        <w:gridCol w:w="1665"/>
        <w:gridCol w:w="1066"/>
        <w:gridCol w:w="1539"/>
        <w:gridCol w:w="2124"/>
      </w:tblGrid>
      <w:tr w:rsidR="006C293A" w:rsidRPr="0007285E" w:rsidTr="005A23E4">
        <w:trPr>
          <w:trHeight w:val="432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93A" w:rsidRPr="00B73230" w:rsidRDefault="006C293A" w:rsidP="00B7323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Table SII - </w:t>
            </w:r>
            <w:r w:rsidRPr="00B73230">
              <w:rPr>
                <w:rFonts w:ascii="Times" w:hAnsi="Times" w:cs="Times"/>
                <w:sz w:val="24"/>
                <w:szCs w:val="24"/>
              </w:rPr>
              <w:t xml:space="preserve">Experimental XPS measurement results of </w:t>
            </w:r>
            <w:proofErr w:type="spellStart"/>
            <w:r w:rsidRPr="00B73230">
              <w:rPr>
                <w:rFonts w:ascii="Times" w:hAnsi="Times" w:cs="Times"/>
                <w:sz w:val="24"/>
                <w:szCs w:val="24"/>
              </w:rPr>
              <w:t>undoped</w:t>
            </w:r>
            <w:proofErr w:type="spellEnd"/>
            <w:r w:rsidRPr="00B73230">
              <w:rPr>
                <w:rFonts w:ascii="Times" w:hAnsi="Times" w:cs="Times"/>
                <w:sz w:val="24"/>
                <w:szCs w:val="24"/>
              </w:rPr>
              <w:t xml:space="preserve"> and Na-doped </w:t>
            </w:r>
            <w:proofErr w:type="spellStart"/>
            <w:r w:rsidRPr="00B73230">
              <w:rPr>
                <w:rFonts w:ascii="Times" w:hAnsi="Times" w:cs="Times"/>
                <w:sz w:val="24"/>
                <w:szCs w:val="24"/>
              </w:rPr>
              <w:t>ZnO</w:t>
            </w:r>
            <w:proofErr w:type="spellEnd"/>
            <w:r w:rsidRPr="00B73230">
              <w:rPr>
                <w:rFonts w:ascii="Times" w:hAnsi="Times" w:cs="Times"/>
                <w:sz w:val="24"/>
                <w:szCs w:val="24"/>
              </w:rPr>
              <w:t xml:space="preserve"> nanorods</w:t>
            </w:r>
          </w:p>
        </w:tc>
      </w:tr>
      <w:tr w:rsidR="00B73230" w:rsidRPr="0007285E" w:rsidTr="00B73230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Zn-2P 3/2</w:t>
            </w:r>
          </w:p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(eV)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Zn-2P 1/2</w:t>
            </w:r>
          </w:p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(eV)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Spin-orbit interaction split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FWHM</w:t>
            </w:r>
          </w:p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(Zn-2p 3/2)</w:t>
            </w:r>
          </w:p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(eV)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Atomic number ratio of O/Zn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B73230">
              <w:rPr>
                <w:sz w:val="24"/>
              </w:rPr>
              <w:t>O</w:t>
            </w:r>
            <w:r w:rsidRPr="00B73230">
              <w:rPr>
                <w:sz w:val="24"/>
                <w:vertAlign w:val="subscript"/>
              </w:rPr>
              <w:t>L</w:t>
            </w:r>
            <w:r w:rsidRPr="00B73230">
              <w:rPr>
                <w:sz w:val="24"/>
              </w:rPr>
              <w:t>,O</w:t>
            </w:r>
            <w:r w:rsidRPr="00B73230">
              <w:rPr>
                <w:sz w:val="24"/>
                <w:vertAlign w:val="subscript"/>
              </w:rPr>
              <w:t>H</w:t>
            </w:r>
            <w:proofErr w:type="gramEnd"/>
            <w:r w:rsidRPr="00B73230">
              <w:rPr>
                <w:sz w:val="24"/>
              </w:rPr>
              <w:t xml:space="preserve"> approximate surface percentage</w:t>
            </w:r>
          </w:p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B73230" w:rsidRPr="0007285E" w:rsidTr="00B73230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73230" w:rsidRPr="00B73230" w:rsidRDefault="00B73230" w:rsidP="006C293A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B73230">
              <w:rPr>
                <w:sz w:val="24"/>
              </w:rPr>
              <w:t>Undoped</w:t>
            </w:r>
            <w:proofErr w:type="spellEnd"/>
            <w:r w:rsidRPr="00B73230">
              <w:rPr>
                <w:sz w:val="24"/>
              </w:rPr>
              <w:t xml:space="preserve"> </w:t>
            </w:r>
            <w:proofErr w:type="spellStart"/>
            <w:r w:rsidRPr="00B73230">
              <w:rPr>
                <w:sz w:val="24"/>
              </w:rPr>
              <w:t>ZnO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1021.7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1044.8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14%, 85%</w:t>
            </w:r>
          </w:p>
        </w:tc>
      </w:tr>
      <w:tr w:rsidR="00B73230" w:rsidRPr="0007285E" w:rsidTr="004425ED">
        <w:trPr>
          <w:trHeight w:val="432"/>
          <w:jc w:val="center"/>
        </w:trPr>
        <w:tc>
          <w:tcPr>
            <w:tcW w:w="0" w:type="auto"/>
            <w:vAlign w:val="center"/>
          </w:tcPr>
          <w:p w:rsidR="00B73230" w:rsidRPr="00B73230" w:rsidRDefault="00B73230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0.10 M NaNO</w:t>
            </w:r>
            <w:r w:rsidRPr="00B73230"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1021.6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1044.6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1.72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53%, 46%</w:t>
            </w:r>
          </w:p>
        </w:tc>
      </w:tr>
      <w:tr w:rsidR="00B73230" w:rsidRPr="0007285E" w:rsidTr="004425ED">
        <w:trPr>
          <w:trHeight w:val="432"/>
          <w:jc w:val="center"/>
        </w:trPr>
        <w:tc>
          <w:tcPr>
            <w:tcW w:w="0" w:type="auto"/>
            <w:vAlign w:val="center"/>
          </w:tcPr>
          <w:p w:rsidR="00B73230" w:rsidRPr="00B73230" w:rsidRDefault="00B73230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0.25 M NaNO</w:t>
            </w:r>
            <w:r w:rsidRPr="00B73230"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1021.3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1044.4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23.1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1.82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51%, 48%</w:t>
            </w:r>
          </w:p>
        </w:tc>
      </w:tr>
      <w:tr w:rsidR="00B73230" w:rsidRPr="0007285E" w:rsidTr="004425ED">
        <w:trPr>
          <w:trHeight w:val="432"/>
          <w:jc w:val="center"/>
        </w:trPr>
        <w:tc>
          <w:tcPr>
            <w:tcW w:w="0" w:type="auto"/>
            <w:vAlign w:val="center"/>
          </w:tcPr>
          <w:p w:rsidR="00B73230" w:rsidRPr="00B73230" w:rsidRDefault="00B73230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0.50 M NaNO</w:t>
            </w:r>
            <w:r w:rsidRPr="00B73230"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1021.6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1044.7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23.1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1.91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1.8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47%, 52%</w:t>
            </w:r>
          </w:p>
        </w:tc>
      </w:tr>
      <w:tr w:rsidR="00B73230" w:rsidRPr="0007285E" w:rsidTr="004425ED">
        <w:trPr>
          <w:trHeight w:val="432"/>
          <w:jc w:val="center"/>
        </w:trPr>
        <w:tc>
          <w:tcPr>
            <w:tcW w:w="0" w:type="auto"/>
            <w:vAlign w:val="center"/>
          </w:tcPr>
          <w:p w:rsidR="00B73230" w:rsidRPr="00B73230" w:rsidRDefault="00B73230" w:rsidP="006C293A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 M NaNO</w:t>
            </w:r>
            <w:r w:rsidRPr="00B73230">
              <w:rPr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1021.4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1044.5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23.1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1.73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B73230" w:rsidRPr="00B73230" w:rsidRDefault="00B73230" w:rsidP="00B73230">
            <w:pPr>
              <w:spacing w:line="276" w:lineRule="auto"/>
              <w:jc w:val="center"/>
              <w:rPr>
                <w:sz w:val="24"/>
              </w:rPr>
            </w:pPr>
            <w:r w:rsidRPr="00B73230">
              <w:rPr>
                <w:sz w:val="24"/>
              </w:rPr>
              <w:t>52%, 47%</w:t>
            </w:r>
          </w:p>
        </w:tc>
      </w:tr>
    </w:tbl>
    <w:p w:rsidR="00B73230" w:rsidRPr="00E71227" w:rsidRDefault="00B73230">
      <w:pPr>
        <w:rPr>
          <w:rFonts w:ascii="Times" w:hAnsi="Times" w:cs="Times"/>
          <w:sz w:val="24"/>
        </w:rPr>
      </w:pPr>
    </w:p>
    <w:sectPr w:rsidR="00B73230" w:rsidRPr="00E71227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31" w:rsidRDefault="00B27031" w:rsidP="001F7EE4">
      <w:pPr>
        <w:spacing w:after="0" w:line="240" w:lineRule="auto"/>
      </w:pPr>
      <w:r>
        <w:separator/>
      </w:r>
    </w:p>
  </w:endnote>
  <w:endnote w:type="continuationSeparator" w:id="0">
    <w:p w:rsidR="00B27031" w:rsidRDefault="00B27031" w:rsidP="001F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418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EE4" w:rsidRDefault="001F7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EE4" w:rsidRDefault="001F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31" w:rsidRDefault="00B27031" w:rsidP="001F7EE4">
      <w:pPr>
        <w:spacing w:after="0" w:line="240" w:lineRule="auto"/>
      </w:pPr>
      <w:r>
        <w:separator/>
      </w:r>
    </w:p>
  </w:footnote>
  <w:footnote w:type="continuationSeparator" w:id="0">
    <w:p w:rsidR="00B27031" w:rsidRDefault="00B27031" w:rsidP="001F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18A"/>
    <w:multiLevelType w:val="hybridMultilevel"/>
    <w:tmpl w:val="9EDAC27E"/>
    <w:lvl w:ilvl="0" w:tplc="CF14C97A">
      <w:start w:val="1"/>
      <w:numFmt w:val="decimal"/>
      <w:lvlText w:val="%1-"/>
      <w:lvlJc w:val="left"/>
      <w:pPr>
        <w:ind w:left="56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82" w:hanging="360"/>
      </w:pPr>
    </w:lvl>
    <w:lvl w:ilvl="2" w:tplc="1009001B" w:tentative="1">
      <w:start w:val="1"/>
      <w:numFmt w:val="lowerRoman"/>
      <w:lvlText w:val="%3."/>
      <w:lvlJc w:val="right"/>
      <w:pPr>
        <w:ind w:left="2002" w:hanging="180"/>
      </w:pPr>
    </w:lvl>
    <w:lvl w:ilvl="3" w:tplc="1009000F" w:tentative="1">
      <w:start w:val="1"/>
      <w:numFmt w:val="decimal"/>
      <w:lvlText w:val="%4."/>
      <w:lvlJc w:val="left"/>
      <w:pPr>
        <w:ind w:left="2722" w:hanging="360"/>
      </w:pPr>
    </w:lvl>
    <w:lvl w:ilvl="4" w:tplc="10090019" w:tentative="1">
      <w:start w:val="1"/>
      <w:numFmt w:val="lowerLetter"/>
      <w:lvlText w:val="%5."/>
      <w:lvlJc w:val="left"/>
      <w:pPr>
        <w:ind w:left="3442" w:hanging="360"/>
      </w:pPr>
    </w:lvl>
    <w:lvl w:ilvl="5" w:tplc="1009001B" w:tentative="1">
      <w:start w:val="1"/>
      <w:numFmt w:val="lowerRoman"/>
      <w:lvlText w:val="%6."/>
      <w:lvlJc w:val="right"/>
      <w:pPr>
        <w:ind w:left="4162" w:hanging="180"/>
      </w:pPr>
    </w:lvl>
    <w:lvl w:ilvl="6" w:tplc="1009000F" w:tentative="1">
      <w:start w:val="1"/>
      <w:numFmt w:val="decimal"/>
      <w:lvlText w:val="%7."/>
      <w:lvlJc w:val="left"/>
      <w:pPr>
        <w:ind w:left="4882" w:hanging="360"/>
      </w:pPr>
    </w:lvl>
    <w:lvl w:ilvl="7" w:tplc="10090019" w:tentative="1">
      <w:start w:val="1"/>
      <w:numFmt w:val="lowerLetter"/>
      <w:lvlText w:val="%8."/>
      <w:lvlJc w:val="left"/>
      <w:pPr>
        <w:ind w:left="5602" w:hanging="360"/>
      </w:pPr>
    </w:lvl>
    <w:lvl w:ilvl="8" w:tplc="10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529A24E6"/>
    <w:multiLevelType w:val="hybridMultilevel"/>
    <w:tmpl w:val="AFFA807E"/>
    <w:lvl w:ilvl="0" w:tplc="5BD8C32A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82" w:hanging="360"/>
      </w:pPr>
    </w:lvl>
    <w:lvl w:ilvl="2" w:tplc="1009001B" w:tentative="1">
      <w:start w:val="1"/>
      <w:numFmt w:val="lowerRoman"/>
      <w:lvlText w:val="%3."/>
      <w:lvlJc w:val="right"/>
      <w:pPr>
        <w:ind w:left="2002" w:hanging="180"/>
      </w:pPr>
    </w:lvl>
    <w:lvl w:ilvl="3" w:tplc="1009000F" w:tentative="1">
      <w:start w:val="1"/>
      <w:numFmt w:val="decimal"/>
      <w:lvlText w:val="%4."/>
      <w:lvlJc w:val="left"/>
      <w:pPr>
        <w:ind w:left="2722" w:hanging="360"/>
      </w:pPr>
    </w:lvl>
    <w:lvl w:ilvl="4" w:tplc="10090019" w:tentative="1">
      <w:start w:val="1"/>
      <w:numFmt w:val="lowerLetter"/>
      <w:lvlText w:val="%5."/>
      <w:lvlJc w:val="left"/>
      <w:pPr>
        <w:ind w:left="3442" w:hanging="360"/>
      </w:pPr>
    </w:lvl>
    <w:lvl w:ilvl="5" w:tplc="1009001B" w:tentative="1">
      <w:start w:val="1"/>
      <w:numFmt w:val="lowerRoman"/>
      <w:lvlText w:val="%6."/>
      <w:lvlJc w:val="right"/>
      <w:pPr>
        <w:ind w:left="4162" w:hanging="180"/>
      </w:pPr>
    </w:lvl>
    <w:lvl w:ilvl="6" w:tplc="1009000F" w:tentative="1">
      <w:start w:val="1"/>
      <w:numFmt w:val="decimal"/>
      <w:lvlText w:val="%7."/>
      <w:lvlJc w:val="left"/>
      <w:pPr>
        <w:ind w:left="4882" w:hanging="360"/>
      </w:pPr>
    </w:lvl>
    <w:lvl w:ilvl="7" w:tplc="10090019" w:tentative="1">
      <w:start w:val="1"/>
      <w:numFmt w:val="lowerLetter"/>
      <w:lvlText w:val="%8."/>
      <w:lvlJc w:val="left"/>
      <w:pPr>
        <w:ind w:left="5602" w:hanging="360"/>
      </w:pPr>
    </w:lvl>
    <w:lvl w:ilvl="8" w:tplc="100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7"/>
    <w:rsid w:val="00014524"/>
    <w:rsid w:val="00050C7A"/>
    <w:rsid w:val="00073230"/>
    <w:rsid w:val="000C11F5"/>
    <w:rsid w:val="000D6DE8"/>
    <w:rsid w:val="00120BD6"/>
    <w:rsid w:val="00151132"/>
    <w:rsid w:val="00170324"/>
    <w:rsid w:val="001A1D81"/>
    <w:rsid w:val="001F7EE4"/>
    <w:rsid w:val="002F32F1"/>
    <w:rsid w:val="004E47D1"/>
    <w:rsid w:val="005D3AF4"/>
    <w:rsid w:val="005E1CDB"/>
    <w:rsid w:val="005E766B"/>
    <w:rsid w:val="006933E2"/>
    <w:rsid w:val="006C293A"/>
    <w:rsid w:val="006D1FD9"/>
    <w:rsid w:val="006D6A24"/>
    <w:rsid w:val="007127FC"/>
    <w:rsid w:val="00713E5D"/>
    <w:rsid w:val="00842A14"/>
    <w:rsid w:val="00887280"/>
    <w:rsid w:val="00904E48"/>
    <w:rsid w:val="00942BC2"/>
    <w:rsid w:val="009831B4"/>
    <w:rsid w:val="009A5F57"/>
    <w:rsid w:val="00AA0441"/>
    <w:rsid w:val="00B27031"/>
    <w:rsid w:val="00B55073"/>
    <w:rsid w:val="00B73230"/>
    <w:rsid w:val="00B95832"/>
    <w:rsid w:val="00BF4BB6"/>
    <w:rsid w:val="00C763C0"/>
    <w:rsid w:val="00C84F85"/>
    <w:rsid w:val="00D552AB"/>
    <w:rsid w:val="00D56D03"/>
    <w:rsid w:val="00DC0D26"/>
    <w:rsid w:val="00E61F8F"/>
    <w:rsid w:val="00E71227"/>
    <w:rsid w:val="00E7588A"/>
    <w:rsid w:val="00EA3038"/>
    <w:rsid w:val="00EB4D01"/>
    <w:rsid w:val="00EF05E8"/>
    <w:rsid w:val="00FA5A0A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53D1"/>
  <w15:docId w15:val="{C63CA6DB-C4A0-4506-84E7-2442C5F0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FA5A0A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ATitle">
    <w:name w:val="BA_Title"/>
    <w:basedOn w:val="Normal"/>
    <w:next w:val="BBAuthorName"/>
    <w:rsid w:val="00AA0441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Normal"/>
    <w:rsid w:val="00AA0441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61F8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4"/>
  </w:style>
  <w:style w:type="paragraph" w:styleId="Footer">
    <w:name w:val="footer"/>
    <w:basedOn w:val="Normal"/>
    <w:link w:val="FooterChar"/>
    <w:uiPriority w:val="99"/>
    <w:unhideWhenUsed/>
    <w:rsid w:val="001F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4"/>
  </w:style>
  <w:style w:type="paragraph" w:styleId="BalloonText">
    <w:name w:val="Balloon Text"/>
    <w:basedOn w:val="Normal"/>
    <w:link w:val="BalloonTextChar"/>
    <w:uiPriority w:val="99"/>
    <w:semiHidden/>
    <w:unhideWhenUsed/>
    <w:rsid w:val="006C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Hassanpour</dc:creator>
  <cp:keywords/>
  <dc:description/>
  <cp:lastModifiedBy>Pablo</cp:lastModifiedBy>
  <cp:revision>20</cp:revision>
  <dcterms:created xsi:type="dcterms:W3CDTF">2017-11-22T14:09:00Z</dcterms:created>
  <dcterms:modified xsi:type="dcterms:W3CDTF">2018-03-06T19:21:00Z</dcterms:modified>
</cp:coreProperties>
</file>