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AB51" w14:textId="18F8B327" w:rsidR="008D134A" w:rsidRPr="00DD2CA3" w:rsidRDefault="00DD2CA3" w:rsidP="000B07E6">
      <w:pPr>
        <w:spacing w:line="360" w:lineRule="auto"/>
        <w:rPr>
          <w:b/>
        </w:rPr>
      </w:pPr>
      <w:bookmarkStart w:id="0" w:name="_GoBack"/>
      <w:bookmarkEnd w:id="0"/>
      <w:r w:rsidRPr="00DD2CA3">
        <w:rPr>
          <w:b/>
        </w:rPr>
        <w:t>REPORT ON LiFePO</w:t>
      </w:r>
      <w:r w:rsidRPr="00DD2CA3">
        <w:rPr>
          <w:b/>
          <w:vertAlign w:val="subscript"/>
        </w:rPr>
        <w:t>4</w:t>
      </w:r>
      <w:r w:rsidRPr="00DD2CA3">
        <w:rPr>
          <w:b/>
        </w:rPr>
        <w:t xml:space="preserve"> </w:t>
      </w:r>
      <w:r w:rsidR="0023143D">
        <w:rPr>
          <w:b/>
        </w:rPr>
        <w:t>SAMPLES M1 AND M2</w:t>
      </w:r>
    </w:p>
    <w:p w14:paraId="7AFE2986" w14:textId="77777777" w:rsidR="00DD2CA3" w:rsidRPr="00DD2CA3" w:rsidRDefault="00DD2CA3" w:rsidP="000B07E6">
      <w:pPr>
        <w:spacing w:line="360" w:lineRule="auto"/>
        <w:rPr>
          <w:b/>
        </w:rPr>
      </w:pPr>
    </w:p>
    <w:p w14:paraId="038BF77D" w14:textId="77777777" w:rsidR="00DD2CA3" w:rsidRDefault="00DD2CA3" w:rsidP="000B07E6">
      <w:pPr>
        <w:spacing w:line="360" w:lineRule="auto"/>
      </w:pPr>
      <w:r w:rsidRPr="00DD2CA3">
        <w:rPr>
          <w:b/>
        </w:rPr>
        <w:t>Experimental</w:t>
      </w:r>
    </w:p>
    <w:p w14:paraId="2BA228FD" w14:textId="77777777" w:rsidR="00DD2CA3" w:rsidRDefault="00DD2CA3" w:rsidP="000B07E6">
      <w:pPr>
        <w:spacing w:line="360" w:lineRule="auto"/>
      </w:pPr>
    </w:p>
    <w:p w14:paraId="070B3CB1" w14:textId="77777777" w:rsidR="00DD2CA3" w:rsidRDefault="00DD2CA3" w:rsidP="000B07E6">
      <w:pPr>
        <w:spacing w:line="360" w:lineRule="auto"/>
        <w:jc w:val="both"/>
      </w:pPr>
      <w:proofErr w:type="spellStart"/>
      <w:r>
        <w:t>Mössbauer</w:t>
      </w:r>
      <w:proofErr w:type="spellEnd"/>
      <w:r>
        <w:t xml:space="preserve"> data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spectrometer</w:t>
      </w:r>
      <w:proofErr w:type="spellEnd"/>
      <w:r>
        <w:t xml:space="preserve">. </w:t>
      </w:r>
      <w:proofErr w:type="spellStart"/>
      <w:r>
        <w:t>Absorbers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5 mg Fe/cm</w:t>
      </w:r>
      <w:r>
        <w:rPr>
          <w:vertAlign w:val="superscript"/>
        </w:rPr>
        <w:t>2</w:t>
      </w:r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calibrated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6 </w:t>
      </w:r>
      <w:r>
        <w:sym w:font="Symbol" w:char="F06D"/>
      </w:r>
      <w:r>
        <w:t xml:space="preserve">m </w:t>
      </w:r>
      <w:proofErr w:type="spellStart"/>
      <w:r>
        <w:t>thick</w:t>
      </w:r>
      <w:proofErr w:type="spellEnd"/>
      <w:r>
        <w:t xml:space="preserve"> natural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spectra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computer-fitted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isomer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centroid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sym w:font="Symbol" w:char="F061"/>
      </w:r>
      <w:r>
        <w:t>-Fe.</w:t>
      </w:r>
    </w:p>
    <w:p w14:paraId="5524106A" w14:textId="77777777" w:rsidR="00DD2CA3" w:rsidRDefault="00DD2CA3" w:rsidP="000B07E6">
      <w:pPr>
        <w:spacing w:line="360" w:lineRule="auto"/>
        <w:jc w:val="both"/>
      </w:pPr>
    </w:p>
    <w:p w14:paraId="6396A299" w14:textId="77777777" w:rsidR="00DD2CA3" w:rsidRDefault="00DD2CA3" w:rsidP="000B07E6">
      <w:pPr>
        <w:spacing w:line="360" w:lineRule="auto"/>
        <w:jc w:val="both"/>
      </w:pPr>
      <w:proofErr w:type="spellStart"/>
      <w:r>
        <w:rPr>
          <w:b/>
        </w:rPr>
        <w:t>Results</w:t>
      </w:r>
      <w:proofErr w:type="spellEnd"/>
    </w:p>
    <w:p w14:paraId="24E8BD99" w14:textId="77777777" w:rsidR="00DD2CA3" w:rsidRDefault="00DD2CA3" w:rsidP="000B07E6">
      <w:pPr>
        <w:spacing w:line="360" w:lineRule="auto"/>
        <w:jc w:val="both"/>
      </w:pPr>
    </w:p>
    <w:p w14:paraId="3FAAB624" w14:textId="17D8EF31" w:rsidR="00B300B6" w:rsidRPr="003D2B65" w:rsidRDefault="00DD2CA3" w:rsidP="000B07E6">
      <w:pPr>
        <w:spacing w:line="360" w:lineRule="auto"/>
        <w:jc w:val="both"/>
      </w:pPr>
      <w:r>
        <w:t xml:space="preserve">Figure 1 shows </w:t>
      </w:r>
      <w:proofErr w:type="spellStart"/>
      <w:r>
        <w:t>the</w:t>
      </w:r>
      <w:proofErr w:type="spellEnd"/>
      <w:r>
        <w:t xml:space="preserve"> </w:t>
      </w:r>
      <w:proofErr w:type="spellStart"/>
      <w:r w:rsidR="008105DC">
        <w:t>room</w:t>
      </w:r>
      <w:proofErr w:type="spellEnd"/>
      <w:r w:rsidR="008105DC">
        <w:t xml:space="preserve"> </w:t>
      </w:r>
      <w:proofErr w:type="spellStart"/>
      <w:r w:rsidR="008105DC">
        <w:t>temperature</w:t>
      </w:r>
      <w:proofErr w:type="spellEnd"/>
      <w:r w:rsidR="008105DC">
        <w:t xml:space="preserve"> </w:t>
      </w:r>
      <w:proofErr w:type="spellStart"/>
      <w:r>
        <w:t>Mössbauer</w:t>
      </w:r>
      <w:proofErr w:type="spellEnd"/>
      <w:r>
        <w:t xml:space="preserve"> </w:t>
      </w:r>
      <w:proofErr w:type="spellStart"/>
      <w:r w:rsidR="000B09DE">
        <w:t>spectra</w:t>
      </w:r>
      <w:proofErr w:type="spellEnd"/>
      <w:r w:rsidR="000B09DE">
        <w:t xml:space="preserve"> </w:t>
      </w:r>
      <w:proofErr w:type="spellStart"/>
      <w:r w:rsidR="000B09DE">
        <w:t>recorded</w:t>
      </w:r>
      <w:proofErr w:type="spellEnd"/>
      <w:r w:rsidR="000B09DE">
        <w:t xml:space="preserve"> </w:t>
      </w:r>
      <w:proofErr w:type="spellStart"/>
      <w:r w:rsidR="000B09DE">
        <w:t>from</w:t>
      </w:r>
      <w:proofErr w:type="spellEnd"/>
      <w:r w:rsidR="000B09DE">
        <w:t xml:space="preserve"> LiFePO4 </w:t>
      </w:r>
      <w:proofErr w:type="spellStart"/>
      <w:r w:rsidR="006B2952">
        <w:t>samples</w:t>
      </w:r>
      <w:proofErr w:type="spellEnd"/>
      <w:r w:rsidR="006B2952">
        <w:t xml:space="preserve"> M1 and M2</w:t>
      </w:r>
      <w:r w:rsidR="008105DC">
        <w:t>.</w:t>
      </w:r>
      <w:r w:rsidR="00C9377C">
        <w:t xml:space="preserve"> </w:t>
      </w:r>
      <w:proofErr w:type="spellStart"/>
      <w:r w:rsidR="00C9377C">
        <w:t>They</w:t>
      </w:r>
      <w:proofErr w:type="spellEnd"/>
      <w:r w:rsidR="006B2952">
        <w:t xml:space="preserve"> </w:t>
      </w:r>
      <w:proofErr w:type="spellStart"/>
      <w:r w:rsidR="008105DC">
        <w:t>contain</w:t>
      </w:r>
      <w:proofErr w:type="spellEnd"/>
      <w:r w:rsidR="008105DC">
        <w:t xml:space="preserve"> </w:t>
      </w:r>
      <w:proofErr w:type="spellStart"/>
      <w:r w:rsidR="008105DC">
        <w:t>three</w:t>
      </w:r>
      <w:proofErr w:type="spellEnd"/>
      <w:r w:rsidR="008105DC">
        <w:t xml:space="preserve"> </w:t>
      </w:r>
      <w:proofErr w:type="spellStart"/>
      <w:r w:rsidR="0035225F">
        <w:t>con</w:t>
      </w:r>
      <w:r w:rsidR="008105DC">
        <w:t>tributions</w:t>
      </w:r>
      <w:proofErr w:type="spellEnd"/>
      <w:r w:rsidR="006B2952">
        <w:t xml:space="preserve">, </w:t>
      </w:r>
      <w:proofErr w:type="spellStart"/>
      <w:r w:rsidR="006B2952">
        <w:t>two</w:t>
      </w:r>
      <w:proofErr w:type="spellEnd"/>
      <w:r w:rsidR="006B2952">
        <w:t xml:space="preserve"> </w:t>
      </w:r>
      <w:proofErr w:type="spellStart"/>
      <w:r w:rsidR="006B2952">
        <w:t>corresponding</w:t>
      </w:r>
      <w:proofErr w:type="spellEnd"/>
      <w:r w:rsidR="006B2952">
        <w:t xml:space="preserve"> </w:t>
      </w:r>
      <w:proofErr w:type="spellStart"/>
      <w:r w:rsidR="006B2952">
        <w:t>to</w:t>
      </w:r>
      <w:proofErr w:type="spellEnd"/>
      <w:r w:rsidR="006B2952">
        <w:t xml:space="preserve"> Fe</w:t>
      </w:r>
      <w:r w:rsidR="006B2952">
        <w:rPr>
          <w:vertAlign w:val="superscript"/>
        </w:rPr>
        <w:t>2+</w:t>
      </w:r>
      <w:r w:rsidR="006B2952">
        <w:t xml:space="preserve"> and a </w:t>
      </w:r>
      <w:proofErr w:type="spellStart"/>
      <w:r w:rsidR="006B2952">
        <w:t>third</w:t>
      </w:r>
      <w:proofErr w:type="spellEnd"/>
      <w:r w:rsidR="006B2952">
        <w:t xml:space="preserve"> </w:t>
      </w:r>
      <w:proofErr w:type="spellStart"/>
      <w:r w:rsidR="006B2952">
        <w:t>characteristic</w:t>
      </w:r>
      <w:proofErr w:type="spellEnd"/>
      <w:r w:rsidR="006B2952">
        <w:t xml:space="preserve"> </w:t>
      </w:r>
      <w:proofErr w:type="spellStart"/>
      <w:r w:rsidR="006B2952">
        <w:t>of</w:t>
      </w:r>
      <w:proofErr w:type="spellEnd"/>
      <w:r w:rsidR="006B2952">
        <w:t xml:space="preserve"> Fe</w:t>
      </w:r>
      <w:r w:rsidR="006B2952">
        <w:rPr>
          <w:vertAlign w:val="superscript"/>
        </w:rPr>
        <w:t>3+</w:t>
      </w:r>
      <w:r w:rsidR="006B2952">
        <w:t xml:space="preserve"> (</w:t>
      </w:r>
      <w:proofErr w:type="spellStart"/>
      <w:r w:rsidR="006B2952">
        <w:t>see</w:t>
      </w:r>
      <w:proofErr w:type="spellEnd"/>
      <w:r w:rsidR="006B2952">
        <w:t xml:space="preserve"> Table 1)</w:t>
      </w:r>
      <w:r w:rsidR="008105DC">
        <w:t xml:space="preserve">. </w:t>
      </w:r>
      <w:proofErr w:type="spellStart"/>
      <w:r w:rsidR="006B2952">
        <w:t>The</w:t>
      </w:r>
      <w:proofErr w:type="spellEnd"/>
      <w:r w:rsidR="006B2952">
        <w:t xml:space="preserve"> </w:t>
      </w:r>
      <w:proofErr w:type="spellStart"/>
      <w:r w:rsidR="006B2952">
        <w:t>respective</w:t>
      </w:r>
      <w:proofErr w:type="spellEnd"/>
      <w:r w:rsidR="006B2952">
        <w:t xml:space="preserve"> </w:t>
      </w:r>
      <w:proofErr w:type="spellStart"/>
      <w:r w:rsidR="006B2952">
        <w:t>spectral</w:t>
      </w:r>
      <w:proofErr w:type="spellEnd"/>
      <w:r w:rsidR="006B2952">
        <w:t xml:space="preserve"> </w:t>
      </w:r>
      <w:proofErr w:type="spellStart"/>
      <w:r w:rsidR="006B2952">
        <w:t>areas</w:t>
      </w:r>
      <w:proofErr w:type="spellEnd"/>
      <w:r w:rsidR="006B2952">
        <w:t xml:space="preserve"> </w:t>
      </w:r>
      <w:r w:rsidR="00C9377C">
        <w:t xml:space="preserve">show </w:t>
      </w:r>
      <w:proofErr w:type="spellStart"/>
      <w:r w:rsidR="00C9377C">
        <w:t>small</w:t>
      </w:r>
      <w:proofErr w:type="spellEnd"/>
      <w:r w:rsidR="00C9377C">
        <w:t xml:space="preserve"> </w:t>
      </w:r>
      <w:proofErr w:type="spellStart"/>
      <w:r w:rsidR="00C9377C">
        <w:t>differences</w:t>
      </w:r>
      <w:proofErr w:type="spellEnd"/>
      <w:r w:rsidR="006B2952">
        <w:t xml:space="preserve"> </w:t>
      </w:r>
      <w:proofErr w:type="spellStart"/>
      <w:r w:rsidR="006B2952">
        <w:t>depending</w:t>
      </w:r>
      <w:proofErr w:type="spellEnd"/>
      <w:r w:rsidR="006B2952">
        <w:t xml:space="preserve"> </w:t>
      </w:r>
      <w:proofErr w:type="spellStart"/>
      <w:r w:rsidR="006B2952">
        <w:t>on</w:t>
      </w:r>
      <w:proofErr w:type="spellEnd"/>
      <w:r w:rsidR="006B2952">
        <w:t xml:space="preserve"> </w:t>
      </w:r>
      <w:proofErr w:type="spellStart"/>
      <w:r w:rsidR="006B2952">
        <w:t>the</w:t>
      </w:r>
      <w:proofErr w:type="spellEnd"/>
      <w:r w:rsidR="006B2952">
        <w:t xml:space="preserve"> </w:t>
      </w:r>
      <w:proofErr w:type="spellStart"/>
      <w:r w:rsidR="006B2952">
        <w:t>sample</w:t>
      </w:r>
      <w:proofErr w:type="spellEnd"/>
      <w:r w:rsidR="006B2952">
        <w:t xml:space="preserve">. </w:t>
      </w:r>
      <w:proofErr w:type="spellStart"/>
      <w:r w:rsidR="008105DC">
        <w:t>The</w:t>
      </w:r>
      <w:proofErr w:type="spellEnd"/>
      <w:r w:rsidR="008105DC">
        <w:t xml:space="preserve"> </w:t>
      </w:r>
      <w:proofErr w:type="spellStart"/>
      <w:r w:rsidR="0023143D">
        <w:t>most</w:t>
      </w:r>
      <w:proofErr w:type="spellEnd"/>
      <w:r w:rsidR="0023143D">
        <w:t xml:space="preserve"> intense</w:t>
      </w:r>
      <w:r w:rsidR="006B2952">
        <w:t xml:space="preserve"> </w:t>
      </w:r>
      <w:proofErr w:type="spellStart"/>
      <w:r w:rsidR="008105DC">
        <w:t>quadrupole</w:t>
      </w:r>
      <w:proofErr w:type="spellEnd"/>
      <w:r w:rsidR="008105DC">
        <w:t xml:space="preserve"> </w:t>
      </w:r>
      <w:proofErr w:type="spellStart"/>
      <w:r w:rsidR="008105DC">
        <w:t>doublet</w:t>
      </w:r>
      <w:proofErr w:type="spellEnd"/>
      <w:r w:rsidR="008105DC">
        <w:t xml:space="preserve"> </w:t>
      </w:r>
      <w:proofErr w:type="spellStart"/>
      <w:r w:rsidR="008105DC">
        <w:t>is</w:t>
      </w:r>
      <w:proofErr w:type="spellEnd"/>
      <w:r w:rsidR="008105DC">
        <w:t xml:space="preserve"> </w:t>
      </w:r>
      <w:proofErr w:type="spellStart"/>
      <w:r w:rsidR="008105DC">
        <w:t>characteristic</w:t>
      </w:r>
      <w:proofErr w:type="spellEnd"/>
      <w:r w:rsidR="008105DC">
        <w:t xml:space="preserve"> </w:t>
      </w:r>
      <w:proofErr w:type="spellStart"/>
      <w:r w:rsidR="008105DC">
        <w:t>of</w:t>
      </w:r>
      <w:proofErr w:type="spellEnd"/>
      <w:r w:rsidR="008105DC">
        <w:t xml:space="preserve"> </w:t>
      </w:r>
      <w:proofErr w:type="spellStart"/>
      <w:r w:rsidR="008105DC">
        <w:t>the</w:t>
      </w:r>
      <w:proofErr w:type="spellEnd"/>
      <w:r w:rsidR="008105DC">
        <w:t xml:space="preserve"> </w:t>
      </w:r>
      <w:proofErr w:type="spellStart"/>
      <w:r w:rsidR="008105DC">
        <w:t>high</w:t>
      </w:r>
      <w:proofErr w:type="spellEnd"/>
      <w:r w:rsidR="008105DC">
        <w:t xml:space="preserve"> spin </w:t>
      </w:r>
      <w:proofErr w:type="spellStart"/>
      <w:r w:rsidR="008105DC">
        <w:t>octahedral</w:t>
      </w:r>
      <w:proofErr w:type="spellEnd"/>
      <w:r w:rsidR="008105DC">
        <w:t xml:space="preserve"> Fe</w:t>
      </w:r>
      <w:r w:rsidR="008105DC">
        <w:rPr>
          <w:vertAlign w:val="superscript"/>
        </w:rPr>
        <w:t>2+</w:t>
      </w:r>
      <w:r w:rsidR="00BF5695">
        <w:t xml:space="preserve"> in </w:t>
      </w:r>
      <w:proofErr w:type="spellStart"/>
      <w:r w:rsidR="00BF5695">
        <w:t>the</w:t>
      </w:r>
      <w:proofErr w:type="spellEnd"/>
      <w:r w:rsidR="00BF5695">
        <w:t xml:space="preserve"> </w:t>
      </w:r>
      <w:r w:rsidR="0035225F">
        <w:t>LiFePO</w:t>
      </w:r>
      <w:r w:rsidR="0035225F">
        <w:rPr>
          <w:vertAlign w:val="subscript"/>
        </w:rPr>
        <w:t>4</w:t>
      </w:r>
      <w:r w:rsidR="0093290B">
        <w:t xml:space="preserve"> </w:t>
      </w:r>
      <w:proofErr w:type="spellStart"/>
      <w:r w:rsidR="00BF5695">
        <w:t>structure</w:t>
      </w:r>
      <w:proofErr w:type="spellEnd"/>
      <w:r w:rsidR="00BF5695">
        <w:t xml:space="preserve"> </w:t>
      </w:r>
      <w:r w:rsidR="0093290B">
        <w:t>[1].</w:t>
      </w:r>
      <w:r w:rsidR="0035225F">
        <w:t xml:space="preserve"> </w:t>
      </w:r>
      <w:proofErr w:type="spellStart"/>
      <w:r w:rsidR="00C9377C">
        <w:t>The</w:t>
      </w:r>
      <w:proofErr w:type="spellEnd"/>
      <w:r w:rsidR="0035225F">
        <w:t xml:space="preserve"> </w:t>
      </w:r>
      <w:proofErr w:type="spellStart"/>
      <w:r w:rsidR="0035225F">
        <w:t>second</w:t>
      </w:r>
      <w:proofErr w:type="spellEnd"/>
      <w:r w:rsidR="00C9377C">
        <w:t xml:space="preserve">, </w:t>
      </w:r>
      <w:proofErr w:type="spellStart"/>
      <w:r w:rsidR="00C9377C">
        <w:t>minor</w:t>
      </w:r>
      <w:proofErr w:type="spellEnd"/>
      <w:r w:rsidR="0035225F">
        <w:t xml:space="preserve"> </w:t>
      </w:r>
      <w:proofErr w:type="spellStart"/>
      <w:r w:rsidR="0035225F">
        <w:t>paramagnetic</w:t>
      </w:r>
      <w:proofErr w:type="spellEnd"/>
      <w:r w:rsidR="0035225F">
        <w:t xml:space="preserve"> </w:t>
      </w:r>
      <w:r w:rsidR="0023143D">
        <w:t>Fe</w:t>
      </w:r>
      <w:r w:rsidR="0023143D">
        <w:rPr>
          <w:vertAlign w:val="superscript"/>
        </w:rPr>
        <w:t>2+</w:t>
      </w:r>
      <w:r w:rsidR="0023143D">
        <w:t xml:space="preserve"> </w:t>
      </w:r>
      <w:proofErr w:type="spellStart"/>
      <w:r w:rsidR="0035225F">
        <w:t>doublet</w:t>
      </w:r>
      <w:proofErr w:type="spellEnd"/>
      <w:r w:rsidR="0035225F">
        <w:t xml:space="preserve"> </w:t>
      </w:r>
      <w:proofErr w:type="spellStart"/>
      <w:r w:rsidR="00C9377C">
        <w:t>is</w:t>
      </w:r>
      <w:proofErr w:type="spellEnd"/>
      <w:r w:rsidR="00C9377C">
        <w:t xml:space="preserve"> </w:t>
      </w:r>
      <w:proofErr w:type="spellStart"/>
      <w:r w:rsidR="00C9377C">
        <w:t>also</w:t>
      </w:r>
      <w:proofErr w:type="spellEnd"/>
      <w:r w:rsidR="00C9377C">
        <w:t xml:space="preserve"> </w:t>
      </w:r>
      <w:proofErr w:type="spellStart"/>
      <w:r w:rsidR="00C9377C">
        <w:t>characteristic</w:t>
      </w:r>
      <w:proofErr w:type="spellEnd"/>
      <w:r w:rsidR="00C9377C">
        <w:t xml:space="preserve"> </w:t>
      </w:r>
      <w:proofErr w:type="spellStart"/>
      <w:r w:rsidR="00C9377C">
        <w:t>of</w:t>
      </w:r>
      <w:proofErr w:type="spellEnd"/>
      <w:r w:rsidR="0035225F">
        <w:t xml:space="preserve"> </w:t>
      </w:r>
      <w:proofErr w:type="spellStart"/>
      <w:r w:rsidR="0035225F">
        <w:t>octahedral</w:t>
      </w:r>
      <w:proofErr w:type="spellEnd"/>
      <w:r w:rsidR="0035225F">
        <w:t xml:space="preserve"> Fe</w:t>
      </w:r>
      <w:r w:rsidR="0035225F">
        <w:rPr>
          <w:vertAlign w:val="superscript"/>
        </w:rPr>
        <w:t>2+</w:t>
      </w:r>
      <w:r w:rsidR="0035225F">
        <w:t xml:space="preserve">. </w:t>
      </w:r>
      <w:proofErr w:type="spellStart"/>
      <w:r w:rsidR="0093290B">
        <w:t>Mössbauer</w:t>
      </w:r>
      <w:proofErr w:type="spellEnd"/>
      <w:r w:rsidR="0093290B">
        <w:t xml:space="preserve"> </w:t>
      </w:r>
      <w:proofErr w:type="spellStart"/>
      <w:r w:rsidR="0093290B">
        <w:t>parameters</w:t>
      </w:r>
      <w:proofErr w:type="spellEnd"/>
      <w:r w:rsidR="0093290B">
        <w:t xml:space="preserve"> similar </w:t>
      </w:r>
      <w:proofErr w:type="spellStart"/>
      <w:r w:rsidR="0093290B">
        <w:t>to</w:t>
      </w:r>
      <w:proofErr w:type="spellEnd"/>
      <w:r w:rsidR="0093290B">
        <w:t xml:space="preserve"> </w:t>
      </w:r>
      <w:proofErr w:type="spellStart"/>
      <w:r w:rsidR="0093290B">
        <w:t>those</w:t>
      </w:r>
      <w:proofErr w:type="spellEnd"/>
      <w:r w:rsidR="0093290B">
        <w:t xml:space="preserve"> </w:t>
      </w:r>
      <w:proofErr w:type="spellStart"/>
      <w:r w:rsidR="0093290B">
        <w:t>of</w:t>
      </w:r>
      <w:proofErr w:type="spellEnd"/>
      <w:r w:rsidR="0093290B">
        <w:t xml:space="preserve"> </w:t>
      </w:r>
      <w:proofErr w:type="spellStart"/>
      <w:r w:rsidR="0093290B">
        <w:t>this</w:t>
      </w:r>
      <w:proofErr w:type="spellEnd"/>
      <w:r w:rsidR="0093290B">
        <w:t xml:space="preserve"> </w:t>
      </w:r>
      <w:proofErr w:type="spellStart"/>
      <w:r w:rsidR="0093290B">
        <w:t>additional</w:t>
      </w:r>
      <w:proofErr w:type="spellEnd"/>
      <w:r w:rsidR="0093290B">
        <w:t xml:space="preserve"> Fe</w:t>
      </w:r>
      <w:r w:rsidR="0093290B">
        <w:rPr>
          <w:vertAlign w:val="superscript"/>
        </w:rPr>
        <w:t>2+</w:t>
      </w:r>
      <w:r w:rsidR="0093290B">
        <w:t xml:space="preserve"> </w:t>
      </w:r>
      <w:proofErr w:type="spellStart"/>
      <w:r w:rsidR="0093290B">
        <w:t>doublet</w:t>
      </w:r>
      <w:proofErr w:type="spellEnd"/>
      <w:r w:rsidR="0093290B">
        <w:t xml:space="preserve"> </w:t>
      </w:r>
      <w:proofErr w:type="spellStart"/>
      <w:r w:rsidR="0093290B">
        <w:t>have</w:t>
      </w:r>
      <w:proofErr w:type="spellEnd"/>
      <w:r w:rsidR="0093290B">
        <w:t xml:space="preserve"> </w:t>
      </w:r>
      <w:proofErr w:type="spellStart"/>
      <w:r w:rsidR="0093290B">
        <w:t>been</w:t>
      </w:r>
      <w:proofErr w:type="spellEnd"/>
      <w:r w:rsidR="0093290B">
        <w:t xml:space="preserve"> </w:t>
      </w:r>
      <w:proofErr w:type="spellStart"/>
      <w:r w:rsidR="0093290B">
        <w:t>found</w:t>
      </w:r>
      <w:proofErr w:type="spellEnd"/>
      <w:r w:rsidR="0093290B">
        <w:t xml:space="preserve"> </w:t>
      </w:r>
      <w:proofErr w:type="spellStart"/>
      <w:r w:rsidR="0023143D">
        <w:t>both</w:t>
      </w:r>
      <w:proofErr w:type="spellEnd"/>
      <w:r w:rsidR="0023143D">
        <w:t xml:space="preserve"> </w:t>
      </w:r>
      <w:r w:rsidR="0093290B">
        <w:t xml:space="preserve">in </w:t>
      </w:r>
      <w:proofErr w:type="spellStart"/>
      <w:r w:rsidR="0093290B">
        <w:t>samples</w:t>
      </w:r>
      <w:proofErr w:type="spellEnd"/>
      <w:r w:rsidR="0093290B">
        <w:t xml:space="preserve"> </w:t>
      </w:r>
      <w:proofErr w:type="spellStart"/>
      <w:r w:rsidR="0093290B">
        <w:t>where</w:t>
      </w:r>
      <w:proofErr w:type="spellEnd"/>
      <w:r w:rsidR="0093290B">
        <w:t xml:space="preserve"> </w:t>
      </w:r>
      <w:proofErr w:type="spellStart"/>
      <w:r w:rsidR="0093290B">
        <w:t>the</w:t>
      </w:r>
      <w:proofErr w:type="spellEnd"/>
      <w:r w:rsidR="0093290B">
        <w:t xml:space="preserve"> </w:t>
      </w:r>
      <w:proofErr w:type="spellStart"/>
      <w:r w:rsidR="0093290B">
        <w:t>synthesis</w:t>
      </w:r>
      <w:proofErr w:type="spellEnd"/>
      <w:r w:rsidR="0093290B">
        <w:t xml:space="preserve"> </w:t>
      </w:r>
      <w:proofErr w:type="spellStart"/>
      <w:r w:rsidR="0093290B">
        <w:t>procedure</w:t>
      </w:r>
      <w:proofErr w:type="spellEnd"/>
      <w:r w:rsidR="0093290B">
        <w:t xml:space="preserve"> has lead </w:t>
      </w:r>
      <w:proofErr w:type="spellStart"/>
      <w:r w:rsidR="0093290B">
        <w:t>to</w:t>
      </w:r>
      <w:proofErr w:type="spellEnd"/>
      <w:r w:rsidR="0093290B">
        <w:t xml:space="preserve"> </w:t>
      </w:r>
      <w:proofErr w:type="spellStart"/>
      <w:r w:rsidR="0093290B">
        <w:t>incomplete</w:t>
      </w:r>
      <w:proofErr w:type="spellEnd"/>
      <w:r w:rsidR="0093290B">
        <w:t xml:space="preserve"> </w:t>
      </w:r>
      <w:proofErr w:type="spellStart"/>
      <w:r w:rsidR="0093290B">
        <w:t>lithiation</w:t>
      </w:r>
      <w:proofErr w:type="spellEnd"/>
      <w:r w:rsidR="0093290B">
        <w:t xml:space="preserve"> </w:t>
      </w:r>
      <w:proofErr w:type="spellStart"/>
      <w:r w:rsidR="0093290B">
        <w:t>of</w:t>
      </w:r>
      <w:proofErr w:type="spellEnd"/>
      <w:r w:rsidR="0093290B">
        <w:t xml:space="preserve"> </w:t>
      </w:r>
      <w:proofErr w:type="spellStart"/>
      <w:r w:rsidR="0093290B">
        <w:t>the</w:t>
      </w:r>
      <w:proofErr w:type="spellEnd"/>
      <w:r w:rsidR="0093290B">
        <w:t xml:space="preserve"> final </w:t>
      </w:r>
      <w:proofErr w:type="spellStart"/>
      <w:r w:rsidR="0093290B">
        <w:t>materials</w:t>
      </w:r>
      <w:proofErr w:type="spellEnd"/>
      <w:r w:rsidR="0093290B">
        <w:t xml:space="preserve"> </w:t>
      </w:r>
      <w:proofErr w:type="spellStart"/>
      <w:r w:rsidR="0023143D">
        <w:t>or</w:t>
      </w:r>
      <w:proofErr w:type="spellEnd"/>
      <w:r w:rsidR="0023143D">
        <w:t xml:space="preserve"> in</w:t>
      </w:r>
      <w:r w:rsidR="00265F6B">
        <w:t xml:space="preserve"> </w:t>
      </w:r>
      <w:proofErr w:type="spellStart"/>
      <w:r w:rsidR="00265F6B">
        <w:t>amorphous</w:t>
      </w:r>
      <w:proofErr w:type="spellEnd"/>
      <w:r w:rsidR="00265F6B">
        <w:t xml:space="preserve"> </w:t>
      </w:r>
      <w:proofErr w:type="spellStart"/>
      <w:r w:rsidR="00265F6B">
        <w:t>lithiated</w:t>
      </w:r>
      <w:proofErr w:type="spellEnd"/>
      <w:r w:rsidR="00265F6B">
        <w:t xml:space="preserve"> </w:t>
      </w:r>
      <w:proofErr w:type="spellStart"/>
      <w:r w:rsidR="00265F6B">
        <w:t>compounds</w:t>
      </w:r>
      <w:proofErr w:type="spellEnd"/>
      <w:r w:rsidR="00265F6B">
        <w:t xml:space="preserve"> </w:t>
      </w:r>
      <w:r w:rsidR="0093290B">
        <w:t xml:space="preserve">[2]. </w:t>
      </w:r>
      <w:proofErr w:type="spellStart"/>
      <w:r w:rsidR="0093290B">
        <w:t>Alternatively</w:t>
      </w:r>
      <w:proofErr w:type="spellEnd"/>
      <w:r w:rsidR="0093290B">
        <w:t xml:space="preserve">, </w:t>
      </w:r>
      <w:proofErr w:type="spellStart"/>
      <w:r w:rsidR="0093290B">
        <w:t>Mössbauer</w:t>
      </w:r>
      <w:proofErr w:type="spellEnd"/>
      <w:r w:rsidR="0093290B">
        <w:t xml:space="preserve"> </w:t>
      </w:r>
      <w:proofErr w:type="spellStart"/>
      <w:r w:rsidR="0093290B">
        <w:t>parameters</w:t>
      </w:r>
      <w:proofErr w:type="spellEnd"/>
      <w:r w:rsidR="0093290B">
        <w:t xml:space="preserve"> </w:t>
      </w:r>
      <w:proofErr w:type="spellStart"/>
      <w:r w:rsidR="004D0954">
        <w:t>close</w:t>
      </w:r>
      <w:proofErr w:type="spellEnd"/>
      <w:r w:rsidR="004D0954">
        <w:t xml:space="preserve"> </w:t>
      </w:r>
      <w:proofErr w:type="spellStart"/>
      <w:r w:rsidR="004D0954">
        <w:t>to</w:t>
      </w:r>
      <w:proofErr w:type="spellEnd"/>
      <w:r w:rsidR="004D0954">
        <w:t xml:space="preserve"> </w:t>
      </w:r>
      <w:proofErr w:type="spellStart"/>
      <w:r w:rsidR="004D0954">
        <w:t>these</w:t>
      </w:r>
      <w:proofErr w:type="spellEnd"/>
      <w:r w:rsidR="004D0954">
        <w:t xml:space="preserve"> </w:t>
      </w:r>
      <w:proofErr w:type="spellStart"/>
      <w:r w:rsidR="0093290B">
        <w:t>have</w:t>
      </w:r>
      <w:proofErr w:type="spellEnd"/>
      <w:r w:rsidR="0093290B">
        <w:t xml:space="preserve"> </w:t>
      </w:r>
      <w:proofErr w:type="spellStart"/>
      <w:r w:rsidR="0093290B">
        <w:t>been</w:t>
      </w:r>
      <w:proofErr w:type="spellEnd"/>
      <w:r w:rsidR="0093290B">
        <w:t xml:space="preserve"> </w:t>
      </w:r>
      <w:proofErr w:type="spellStart"/>
      <w:r w:rsidR="0093290B">
        <w:t>reported</w:t>
      </w:r>
      <w:proofErr w:type="spellEnd"/>
      <w:r w:rsidR="0093290B">
        <w:t xml:space="preserve"> </w:t>
      </w:r>
      <w:proofErr w:type="spellStart"/>
      <w:r w:rsidR="0093290B">
        <w:t>for</w:t>
      </w:r>
      <w:proofErr w:type="spellEnd"/>
      <w:r w:rsidR="0093290B">
        <w:t xml:space="preserve"> </w:t>
      </w:r>
      <w:proofErr w:type="spellStart"/>
      <w:r w:rsidR="0093290B">
        <w:t>the</w:t>
      </w:r>
      <w:proofErr w:type="spellEnd"/>
      <w:r w:rsidR="0093290B">
        <w:t xml:space="preserve"> </w:t>
      </w:r>
      <w:proofErr w:type="spellStart"/>
      <w:r w:rsidR="004D0954">
        <w:t>impurity</w:t>
      </w:r>
      <w:proofErr w:type="spellEnd"/>
      <w:r w:rsidR="004D0954">
        <w:t xml:space="preserve"> </w:t>
      </w:r>
      <w:proofErr w:type="spellStart"/>
      <w:r w:rsidR="0093290B">
        <w:t>phase</w:t>
      </w:r>
      <w:proofErr w:type="spellEnd"/>
      <w:r w:rsidR="0093290B">
        <w:t xml:space="preserve"> </w:t>
      </w:r>
      <w:r w:rsidR="004D0954">
        <w:t>Fe</w:t>
      </w:r>
      <w:r w:rsidR="004D0954">
        <w:rPr>
          <w:vertAlign w:val="subscript"/>
        </w:rPr>
        <w:t>2</w:t>
      </w:r>
      <w:r w:rsidR="004D0954">
        <w:t>P</w:t>
      </w:r>
      <w:r w:rsidR="004D0954">
        <w:rPr>
          <w:vertAlign w:val="subscript"/>
        </w:rPr>
        <w:t>2</w:t>
      </w:r>
      <w:r w:rsidR="004D0954">
        <w:t>O</w:t>
      </w:r>
      <w:r w:rsidR="004D0954">
        <w:rPr>
          <w:vertAlign w:val="subscript"/>
        </w:rPr>
        <w:t>7</w:t>
      </w:r>
      <w:r w:rsidR="004D0954">
        <w:t xml:space="preserve"> [</w:t>
      </w:r>
      <w:r w:rsidR="00265F6B">
        <w:t>3</w:t>
      </w:r>
      <w:r w:rsidR="004D0954">
        <w:t xml:space="preserve">]. </w:t>
      </w:r>
      <w:proofErr w:type="spellStart"/>
      <w:r w:rsidR="00C9377C">
        <w:t>Unless</w:t>
      </w:r>
      <w:proofErr w:type="spellEnd"/>
      <w:r w:rsidR="004D0954">
        <w:t xml:space="preserve"> a </w:t>
      </w:r>
      <w:proofErr w:type="spellStart"/>
      <w:r w:rsidR="004D0954">
        <w:t>such</w:t>
      </w:r>
      <w:proofErr w:type="spellEnd"/>
      <w:r w:rsidR="004D0954">
        <w:t xml:space="preserve"> </w:t>
      </w:r>
      <w:proofErr w:type="spellStart"/>
      <w:r w:rsidR="004D0954">
        <w:t>impurity</w:t>
      </w:r>
      <w:proofErr w:type="spellEnd"/>
      <w:r w:rsidR="004D0954">
        <w:t xml:space="preserve"> has </w:t>
      </w:r>
      <w:proofErr w:type="spellStart"/>
      <w:r w:rsidR="004D0954">
        <w:t>been</w:t>
      </w:r>
      <w:proofErr w:type="spellEnd"/>
      <w:r w:rsidR="004D0954">
        <w:t xml:space="preserve"> </w:t>
      </w:r>
      <w:proofErr w:type="spellStart"/>
      <w:r w:rsidR="004D0954">
        <w:t>detected</w:t>
      </w:r>
      <w:proofErr w:type="spellEnd"/>
      <w:r w:rsidR="004D0954">
        <w:t xml:space="preserve"> i</w:t>
      </w:r>
      <w:r w:rsidR="00C9377C">
        <w:t xml:space="preserve">n </w:t>
      </w:r>
      <w:proofErr w:type="spellStart"/>
      <w:r w:rsidR="00C9377C">
        <w:t>the</w:t>
      </w:r>
      <w:proofErr w:type="spellEnd"/>
      <w:r w:rsidR="00C9377C">
        <w:t xml:space="preserve"> </w:t>
      </w:r>
      <w:proofErr w:type="spellStart"/>
      <w:r w:rsidR="00C9377C">
        <w:t>corresponding</w:t>
      </w:r>
      <w:proofErr w:type="spellEnd"/>
      <w:r w:rsidR="00C9377C">
        <w:t xml:space="preserve"> XRD </w:t>
      </w:r>
      <w:proofErr w:type="spellStart"/>
      <w:r w:rsidR="00C9377C">
        <w:t>pattern</w:t>
      </w:r>
      <w:proofErr w:type="spellEnd"/>
      <w:r w:rsidR="00C9377C">
        <w:t xml:space="preserve">, </w:t>
      </w:r>
      <w:proofErr w:type="spellStart"/>
      <w:r w:rsidR="00C9377C">
        <w:t>t</w:t>
      </w:r>
      <w:r w:rsidR="004D0954">
        <w:t>he</w:t>
      </w:r>
      <w:proofErr w:type="spellEnd"/>
      <w:r w:rsidR="004D0954">
        <w:t xml:space="preserve"> </w:t>
      </w:r>
      <w:proofErr w:type="spellStart"/>
      <w:r w:rsidR="004D0954">
        <w:t>assignment</w:t>
      </w:r>
      <w:proofErr w:type="spellEnd"/>
      <w:r w:rsidR="004D0954">
        <w:t xml:space="preserve"> </w:t>
      </w:r>
      <w:proofErr w:type="spellStart"/>
      <w:r w:rsidR="00C9377C">
        <w:t>of</w:t>
      </w:r>
      <w:proofErr w:type="spellEnd"/>
      <w:r w:rsidR="00C9377C">
        <w:t xml:space="preserve"> </w:t>
      </w:r>
      <w:proofErr w:type="spellStart"/>
      <w:r w:rsidR="00C9377C">
        <w:t>this</w:t>
      </w:r>
      <w:proofErr w:type="spellEnd"/>
      <w:r w:rsidR="00C9377C">
        <w:t xml:space="preserve"> </w:t>
      </w:r>
      <w:proofErr w:type="spellStart"/>
      <w:r w:rsidR="00C9377C">
        <w:t>doublet</w:t>
      </w:r>
      <w:proofErr w:type="spellEnd"/>
      <w:r w:rsidR="00C9377C">
        <w:t xml:space="preserve"> </w:t>
      </w:r>
      <w:proofErr w:type="spellStart"/>
      <w:r w:rsidR="00C9377C">
        <w:t>remains</w:t>
      </w:r>
      <w:proofErr w:type="spellEnd"/>
      <w:r w:rsidR="004D0954">
        <w:t xml:space="preserve"> </w:t>
      </w:r>
      <w:proofErr w:type="spellStart"/>
      <w:r w:rsidR="004D0954">
        <w:t>uncertain</w:t>
      </w:r>
      <w:proofErr w:type="spellEnd"/>
      <w:r w:rsidR="004D0954">
        <w:t xml:space="preserve">. </w:t>
      </w:r>
      <w:proofErr w:type="spellStart"/>
      <w:r w:rsidR="004D0954">
        <w:t>The</w:t>
      </w:r>
      <w:proofErr w:type="spellEnd"/>
      <w:r w:rsidR="004D0954">
        <w:t xml:space="preserve"> </w:t>
      </w:r>
      <w:proofErr w:type="spellStart"/>
      <w:r w:rsidR="004D0954">
        <w:t>identification</w:t>
      </w:r>
      <w:proofErr w:type="spellEnd"/>
      <w:r w:rsidR="004D0954">
        <w:t xml:space="preserve"> </w:t>
      </w:r>
      <w:proofErr w:type="spellStart"/>
      <w:r w:rsidR="004D0954">
        <w:t>of</w:t>
      </w:r>
      <w:proofErr w:type="spellEnd"/>
      <w:r w:rsidR="004D0954">
        <w:t xml:space="preserve"> </w:t>
      </w:r>
      <w:proofErr w:type="spellStart"/>
      <w:r w:rsidR="00C9377C">
        <w:t>the</w:t>
      </w:r>
      <w:proofErr w:type="spellEnd"/>
      <w:r w:rsidR="00C9377C">
        <w:t xml:space="preserve"> </w:t>
      </w:r>
      <w:proofErr w:type="spellStart"/>
      <w:r w:rsidR="00C9377C">
        <w:t>remaining</w:t>
      </w:r>
      <w:proofErr w:type="spellEnd"/>
      <w:r w:rsidR="00C9377C">
        <w:t xml:space="preserve"> Fe</w:t>
      </w:r>
      <w:r w:rsidR="00C9377C">
        <w:rPr>
          <w:vertAlign w:val="superscript"/>
        </w:rPr>
        <w:t>3+</w:t>
      </w:r>
      <w:r w:rsidR="004D0954">
        <w:t xml:space="preserve"> </w:t>
      </w:r>
      <w:proofErr w:type="spellStart"/>
      <w:r w:rsidR="004D0954">
        <w:t>doubl</w:t>
      </w:r>
      <w:r w:rsidR="00C9377C">
        <w:t>et</w:t>
      </w:r>
      <w:proofErr w:type="spellEnd"/>
      <w:r w:rsidR="00C9377C">
        <w:t xml:space="preserve"> </w:t>
      </w:r>
      <w:proofErr w:type="spellStart"/>
      <w:r w:rsidR="00C9377C">
        <w:t>needs</w:t>
      </w:r>
      <w:proofErr w:type="spellEnd"/>
      <w:r w:rsidR="00C9377C">
        <w:t xml:space="preserve"> </w:t>
      </w:r>
      <w:proofErr w:type="spellStart"/>
      <w:r w:rsidR="00C9377C">
        <w:t>of</w:t>
      </w:r>
      <w:proofErr w:type="spellEnd"/>
      <w:r w:rsidR="00C9377C">
        <w:t xml:space="preserve"> </w:t>
      </w:r>
      <w:proofErr w:type="spellStart"/>
      <w:r w:rsidR="00C9377C">
        <w:t>careful</w:t>
      </w:r>
      <w:proofErr w:type="spellEnd"/>
      <w:r w:rsidR="00C9377C">
        <w:t xml:space="preserve"> </w:t>
      </w:r>
      <w:proofErr w:type="spellStart"/>
      <w:r w:rsidR="00C9377C">
        <w:t>examination</w:t>
      </w:r>
      <w:proofErr w:type="spellEnd"/>
      <w:r w:rsidR="00C9377C">
        <w:t xml:space="preserve">. </w:t>
      </w:r>
      <w:r w:rsidR="0030067F">
        <w:t xml:space="preserve">In a </w:t>
      </w:r>
      <w:proofErr w:type="spellStart"/>
      <w:r w:rsidR="0030067F">
        <w:t>first</w:t>
      </w:r>
      <w:proofErr w:type="spellEnd"/>
      <w:r w:rsidR="0030067F">
        <w:t xml:space="preserve"> </w:t>
      </w:r>
      <w:proofErr w:type="spellStart"/>
      <w:r w:rsidR="0030067F">
        <w:t>approximation</w:t>
      </w:r>
      <w:proofErr w:type="spellEnd"/>
      <w:r w:rsidR="0030067F">
        <w:t xml:space="preserve"> </w:t>
      </w:r>
      <w:proofErr w:type="spellStart"/>
      <w:r w:rsidR="006915C1">
        <w:t>one</w:t>
      </w:r>
      <w:proofErr w:type="spellEnd"/>
      <w:r w:rsidR="006915C1">
        <w:t xml:space="preserve"> </w:t>
      </w:r>
      <w:proofErr w:type="spellStart"/>
      <w:r w:rsidR="006915C1">
        <w:t>might</w:t>
      </w:r>
      <w:proofErr w:type="spellEnd"/>
      <w:r w:rsidR="006915C1">
        <w:t xml:space="preserve"> </w:t>
      </w:r>
      <w:proofErr w:type="spellStart"/>
      <w:r w:rsidR="006915C1">
        <w:t>think</w:t>
      </w:r>
      <w:proofErr w:type="spellEnd"/>
      <w:r w:rsidR="006915C1">
        <w:t xml:space="preserve"> </w:t>
      </w:r>
      <w:proofErr w:type="spellStart"/>
      <w:r w:rsidR="006915C1">
        <w:t>that</w:t>
      </w:r>
      <w:proofErr w:type="spellEnd"/>
      <w:r w:rsidR="006915C1">
        <w:t xml:space="preserve"> </w:t>
      </w:r>
      <w:proofErr w:type="spellStart"/>
      <w:r w:rsidR="006915C1">
        <w:t>this</w:t>
      </w:r>
      <w:proofErr w:type="spellEnd"/>
      <w:r w:rsidR="006915C1">
        <w:t xml:space="preserve"> Fe</w:t>
      </w:r>
      <w:r w:rsidR="006915C1">
        <w:rPr>
          <w:vertAlign w:val="superscript"/>
        </w:rPr>
        <w:t>3+</w:t>
      </w:r>
      <w:r w:rsidR="006915C1">
        <w:t xml:space="preserve"> </w:t>
      </w:r>
      <w:proofErr w:type="spellStart"/>
      <w:r w:rsidR="006915C1">
        <w:t>contribution</w:t>
      </w:r>
      <w:proofErr w:type="spellEnd"/>
      <w:r w:rsidR="006915C1">
        <w:t xml:space="preserve"> </w:t>
      </w:r>
      <w:proofErr w:type="spellStart"/>
      <w:r w:rsidR="00317C29">
        <w:t>would</w:t>
      </w:r>
      <w:proofErr w:type="spellEnd"/>
      <w:r w:rsidR="006915C1">
        <w:t xml:space="preserve"> </w:t>
      </w:r>
      <w:proofErr w:type="spellStart"/>
      <w:r w:rsidR="006915C1">
        <w:t>arise</w:t>
      </w:r>
      <w:proofErr w:type="spellEnd"/>
      <w:r w:rsidR="006915C1">
        <w:t xml:space="preserve"> </w:t>
      </w:r>
      <w:proofErr w:type="spellStart"/>
      <w:r w:rsidR="006915C1">
        <w:t>from</w:t>
      </w:r>
      <w:proofErr w:type="spellEnd"/>
      <w:r w:rsidR="006915C1">
        <w:t xml:space="preserve"> Fe</w:t>
      </w:r>
      <w:r w:rsidR="006915C1">
        <w:rPr>
          <w:vertAlign w:val="superscript"/>
        </w:rPr>
        <w:t>3+</w:t>
      </w:r>
      <w:r w:rsidR="006915C1">
        <w:t xml:space="preserve"> </w:t>
      </w:r>
      <w:proofErr w:type="spellStart"/>
      <w:r w:rsidR="006915C1">
        <w:t>within</w:t>
      </w:r>
      <w:proofErr w:type="spellEnd"/>
      <w:r w:rsidR="006915C1">
        <w:t xml:space="preserve"> </w:t>
      </w:r>
      <w:proofErr w:type="spellStart"/>
      <w:r w:rsidR="006915C1">
        <w:t>the</w:t>
      </w:r>
      <w:proofErr w:type="spellEnd"/>
      <w:r w:rsidR="006915C1">
        <w:t xml:space="preserve"> </w:t>
      </w:r>
      <w:proofErr w:type="spellStart"/>
      <w:r w:rsidR="006915C1">
        <w:t>structure</w:t>
      </w:r>
      <w:proofErr w:type="spellEnd"/>
      <w:r w:rsidR="006915C1">
        <w:t xml:space="preserve"> </w:t>
      </w:r>
      <w:proofErr w:type="spellStart"/>
      <w:r w:rsidR="006915C1">
        <w:t>of</w:t>
      </w:r>
      <w:proofErr w:type="spellEnd"/>
      <w:r w:rsidR="006915C1">
        <w:t xml:space="preserve"> LiFePO</w:t>
      </w:r>
      <w:r w:rsidR="006915C1">
        <w:rPr>
          <w:vertAlign w:val="subscript"/>
        </w:rPr>
        <w:t>4</w:t>
      </w:r>
      <w:r w:rsidR="006915C1">
        <w:t xml:space="preserve">. In </w:t>
      </w:r>
      <w:proofErr w:type="spellStart"/>
      <w:r w:rsidR="006915C1">
        <w:t>such</w:t>
      </w:r>
      <w:proofErr w:type="spellEnd"/>
      <w:r w:rsidR="006915C1">
        <w:t xml:space="preserve"> a </w:t>
      </w:r>
      <w:proofErr w:type="spellStart"/>
      <w:r w:rsidR="006915C1">
        <w:t>situation</w:t>
      </w:r>
      <w:proofErr w:type="spellEnd"/>
      <w:r w:rsidR="006915C1">
        <w:t xml:space="preserve">, </w:t>
      </w:r>
      <w:proofErr w:type="spellStart"/>
      <w:r w:rsidR="006915C1">
        <w:t>there</w:t>
      </w:r>
      <w:proofErr w:type="spellEnd"/>
      <w:r w:rsidR="006915C1">
        <w:t xml:space="preserve"> </w:t>
      </w:r>
      <w:proofErr w:type="spellStart"/>
      <w:r w:rsidR="006915C1">
        <w:t>would</w:t>
      </w:r>
      <w:proofErr w:type="spellEnd"/>
      <w:r w:rsidR="006915C1">
        <w:t xml:space="preserve"> be </w:t>
      </w:r>
      <w:proofErr w:type="spellStart"/>
      <w:r w:rsidR="006915C1">
        <w:t>two</w:t>
      </w:r>
      <w:proofErr w:type="spellEnd"/>
      <w:r w:rsidR="006915C1">
        <w:t xml:space="preserve"> </w:t>
      </w:r>
      <w:proofErr w:type="spellStart"/>
      <w:r w:rsidR="006915C1">
        <w:t>possible</w:t>
      </w:r>
      <w:proofErr w:type="spellEnd"/>
      <w:r w:rsidR="006915C1">
        <w:t xml:space="preserve"> </w:t>
      </w:r>
      <w:proofErr w:type="spellStart"/>
      <w:r w:rsidR="006915C1">
        <w:t>scenarios</w:t>
      </w:r>
      <w:proofErr w:type="spellEnd"/>
      <w:r w:rsidR="00265F6B">
        <w:t xml:space="preserve"> [4]</w:t>
      </w:r>
      <w:r w:rsidR="00C9377C">
        <w:t>.</w:t>
      </w:r>
      <w:r w:rsidR="006915C1">
        <w:t xml:space="preserve"> </w:t>
      </w:r>
      <w:proofErr w:type="spellStart"/>
      <w:r w:rsidR="00C9377C">
        <w:t>The</w:t>
      </w:r>
      <w:proofErr w:type="spellEnd"/>
      <w:r w:rsidR="00C9377C">
        <w:t xml:space="preserve"> </w:t>
      </w:r>
      <w:proofErr w:type="spellStart"/>
      <w:r w:rsidR="00C9377C">
        <w:t>first</w:t>
      </w:r>
      <w:proofErr w:type="spellEnd"/>
      <w:r w:rsidR="00C9377C">
        <w:t xml:space="preserve"> </w:t>
      </w:r>
      <w:proofErr w:type="spellStart"/>
      <w:r w:rsidR="00C9377C">
        <w:t>one</w:t>
      </w:r>
      <w:proofErr w:type="spellEnd"/>
      <w:r w:rsidR="00C9377C">
        <w:t xml:space="preserve"> </w:t>
      </w:r>
      <w:proofErr w:type="spellStart"/>
      <w:r w:rsidR="00C9377C">
        <w:t>would</w:t>
      </w:r>
      <w:proofErr w:type="spellEnd"/>
      <w:r w:rsidR="00C9377C">
        <w:t xml:space="preserve"> </w:t>
      </w:r>
      <w:proofErr w:type="spellStart"/>
      <w:r w:rsidR="00C9377C">
        <w:t>contemplate</w:t>
      </w:r>
      <w:proofErr w:type="spellEnd"/>
      <w:r w:rsidR="006244A3">
        <w:t xml:space="preserve"> </w:t>
      </w:r>
      <w:proofErr w:type="spellStart"/>
      <w:r w:rsidR="006915C1">
        <w:t>the</w:t>
      </w:r>
      <w:proofErr w:type="spellEnd"/>
      <w:r w:rsidR="006915C1">
        <w:t xml:space="preserve"> </w:t>
      </w:r>
      <w:proofErr w:type="spellStart"/>
      <w:r w:rsidR="006915C1">
        <w:t>substitution</w:t>
      </w:r>
      <w:proofErr w:type="spellEnd"/>
      <w:r w:rsidR="006915C1">
        <w:t xml:space="preserve"> </w:t>
      </w:r>
      <w:proofErr w:type="spellStart"/>
      <w:r w:rsidR="006915C1">
        <w:t>of</w:t>
      </w:r>
      <w:proofErr w:type="spellEnd"/>
      <w:r w:rsidR="006915C1">
        <w:t xml:space="preserve"> </w:t>
      </w:r>
      <w:proofErr w:type="spellStart"/>
      <w:r w:rsidR="006915C1">
        <w:t>three</w:t>
      </w:r>
      <w:proofErr w:type="spellEnd"/>
      <w:r w:rsidR="006915C1">
        <w:t xml:space="preserve"> Fe</w:t>
      </w:r>
      <w:r w:rsidR="006915C1">
        <w:rPr>
          <w:vertAlign w:val="superscript"/>
        </w:rPr>
        <w:t>2+</w:t>
      </w:r>
      <w:r w:rsidR="006915C1">
        <w:t xml:space="preserve"> </w:t>
      </w:r>
      <w:proofErr w:type="spellStart"/>
      <w:r w:rsidR="006915C1">
        <w:t>ions</w:t>
      </w:r>
      <w:proofErr w:type="spellEnd"/>
      <w:r w:rsidR="006915C1">
        <w:t xml:space="preserve"> </w:t>
      </w:r>
      <w:proofErr w:type="spellStart"/>
      <w:r w:rsidR="006915C1">
        <w:t>by</w:t>
      </w:r>
      <w:proofErr w:type="spellEnd"/>
      <w:r w:rsidR="006915C1">
        <w:t xml:space="preserve"> </w:t>
      </w:r>
      <w:proofErr w:type="spellStart"/>
      <w:r w:rsidR="006915C1">
        <w:t>two</w:t>
      </w:r>
      <w:proofErr w:type="spellEnd"/>
      <w:r w:rsidR="006915C1">
        <w:t xml:space="preserve"> Fe</w:t>
      </w:r>
      <w:r w:rsidR="006915C1">
        <w:rPr>
          <w:vertAlign w:val="superscript"/>
        </w:rPr>
        <w:t>3+</w:t>
      </w:r>
      <w:r w:rsidR="006244A3">
        <w:t xml:space="preserve"> </w:t>
      </w:r>
      <w:proofErr w:type="spellStart"/>
      <w:r w:rsidR="006244A3">
        <w:t>ions</w:t>
      </w:r>
      <w:proofErr w:type="spellEnd"/>
      <w:r w:rsidR="006244A3">
        <w:t xml:space="preserve"> </w:t>
      </w:r>
      <w:proofErr w:type="spellStart"/>
      <w:r w:rsidR="006244A3" w:rsidRPr="006244A3">
        <w:rPr>
          <w:lang w:val="es-ES"/>
        </w:rPr>
        <w:t>leaving</w:t>
      </w:r>
      <w:proofErr w:type="spellEnd"/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an</w:t>
      </w:r>
      <w:proofErr w:type="spellEnd"/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iron</w:t>
      </w:r>
      <w:proofErr w:type="spellEnd"/>
      <w:r w:rsidR="006244A3">
        <w:rPr>
          <w:lang w:val="es-ES"/>
        </w:rPr>
        <w:t xml:space="preserve"> </w:t>
      </w:r>
      <w:proofErr w:type="spellStart"/>
      <w:r w:rsidR="00B300B6">
        <w:rPr>
          <w:lang w:val="es-ES"/>
        </w:rPr>
        <w:t>vacancy</w:t>
      </w:r>
      <w:proofErr w:type="spellEnd"/>
      <w:r w:rsidR="00B300B6">
        <w:rPr>
          <w:lang w:val="es-ES"/>
        </w:rPr>
        <w:t xml:space="preserve"> in </w:t>
      </w:r>
      <w:proofErr w:type="spellStart"/>
      <w:r w:rsidR="00B300B6">
        <w:rPr>
          <w:lang w:val="es-ES"/>
        </w:rPr>
        <w:t>the</w:t>
      </w:r>
      <w:proofErr w:type="spellEnd"/>
      <w:r w:rsidR="00B300B6">
        <w:rPr>
          <w:lang w:val="es-ES"/>
        </w:rPr>
        <w:t xml:space="preserve"> M2</w:t>
      </w:r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site</w:t>
      </w:r>
      <w:proofErr w:type="spellEnd"/>
      <w:r w:rsidR="006244A3" w:rsidRPr="006244A3">
        <w:rPr>
          <w:lang w:val="es-ES"/>
        </w:rPr>
        <w:t xml:space="preserve">, </w:t>
      </w:r>
      <w:proofErr w:type="spellStart"/>
      <w:r w:rsidR="006244A3" w:rsidRPr="006244A3">
        <w:rPr>
          <w:lang w:val="es-ES"/>
        </w:rPr>
        <w:t>or</w:t>
      </w:r>
      <w:proofErr w:type="spellEnd"/>
      <w:r w:rsidR="006244A3" w:rsidRP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the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substitution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of</w:t>
      </w:r>
      <w:proofErr w:type="spellEnd"/>
      <w:r w:rsidR="006244A3">
        <w:rPr>
          <w:lang w:val="es-ES"/>
        </w:rPr>
        <w:t xml:space="preserve"> a </w:t>
      </w:r>
      <w:r w:rsidR="006244A3" w:rsidRPr="006244A3">
        <w:rPr>
          <w:lang w:val="es-ES"/>
        </w:rPr>
        <w:t>Li</w:t>
      </w:r>
      <w:r w:rsidR="00B300B6">
        <w:rPr>
          <w:vertAlign w:val="superscript"/>
          <w:lang w:val="es-ES"/>
        </w:rPr>
        <w:t>+</w:t>
      </w:r>
      <w:r w:rsidR="006244A3">
        <w:rPr>
          <w:lang w:val="es-ES"/>
        </w:rPr>
        <w:t xml:space="preserve"> Fe</w:t>
      </w:r>
      <w:r w:rsidR="006244A3">
        <w:rPr>
          <w:vertAlign w:val="superscript"/>
          <w:lang w:val="es-ES"/>
        </w:rPr>
        <w:t>2+</w:t>
      </w:r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pair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by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one</w:t>
      </w:r>
      <w:proofErr w:type="spellEnd"/>
      <w:r w:rsidR="006244A3">
        <w:rPr>
          <w:lang w:val="es-ES"/>
        </w:rPr>
        <w:t xml:space="preserve"> </w:t>
      </w:r>
      <w:r w:rsidR="006244A3" w:rsidRPr="006244A3">
        <w:rPr>
          <w:lang w:val="es-ES"/>
        </w:rPr>
        <w:t>Fe</w:t>
      </w:r>
      <w:r w:rsidR="006244A3">
        <w:rPr>
          <w:vertAlign w:val="superscript"/>
          <w:lang w:val="es-ES"/>
        </w:rPr>
        <w:t>3+</w:t>
      </w:r>
      <w:r w:rsidR="006244A3">
        <w:rPr>
          <w:lang w:val="es-ES"/>
        </w:rPr>
        <w:t xml:space="preserve"> ion </w:t>
      </w:r>
      <w:proofErr w:type="spellStart"/>
      <w:r w:rsidR="006244A3" w:rsidRPr="006244A3">
        <w:rPr>
          <w:lang w:val="es-ES"/>
        </w:rPr>
        <w:t>l</w:t>
      </w:r>
      <w:r w:rsidR="00B300B6">
        <w:rPr>
          <w:lang w:val="es-ES"/>
        </w:rPr>
        <w:t>eaving</w:t>
      </w:r>
      <w:proofErr w:type="spellEnd"/>
      <w:r w:rsidR="00B300B6">
        <w:rPr>
          <w:lang w:val="es-ES"/>
        </w:rPr>
        <w:t xml:space="preserve"> a </w:t>
      </w:r>
      <w:proofErr w:type="spellStart"/>
      <w:r w:rsidR="00B300B6">
        <w:rPr>
          <w:lang w:val="es-ES"/>
        </w:rPr>
        <w:t>vacancy</w:t>
      </w:r>
      <w:proofErr w:type="spellEnd"/>
      <w:r w:rsidR="00B300B6">
        <w:rPr>
          <w:lang w:val="es-ES"/>
        </w:rPr>
        <w:t xml:space="preserve"> </w:t>
      </w:r>
      <w:proofErr w:type="spellStart"/>
      <w:r w:rsidR="00B300B6">
        <w:rPr>
          <w:lang w:val="es-ES"/>
        </w:rPr>
        <w:t>of</w:t>
      </w:r>
      <w:proofErr w:type="spellEnd"/>
      <w:r w:rsidR="00B300B6">
        <w:rPr>
          <w:lang w:val="es-ES"/>
        </w:rPr>
        <w:t xml:space="preserve"> Li in </w:t>
      </w:r>
      <w:proofErr w:type="spellStart"/>
      <w:r w:rsidR="00B300B6">
        <w:rPr>
          <w:lang w:val="es-ES"/>
        </w:rPr>
        <w:t>the</w:t>
      </w:r>
      <w:proofErr w:type="spellEnd"/>
      <w:r w:rsidR="00B300B6">
        <w:rPr>
          <w:lang w:val="es-ES"/>
        </w:rPr>
        <w:t xml:space="preserve"> M1</w:t>
      </w:r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site</w:t>
      </w:r>
      <w:proofErr w:type="spellEnd"/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or</w:t>
      </w:r>
      <w:proofErr w:type="spellEnd"/>
      <w:r w:rsidR="006244A3" w:rsidRPr="006244A3">
        <w:rPr>
          <w:lang w:val="es-ES"/>
        </w:rPr>
        <w:t xml:space="preserve"> Fe in</w:t>
      </w:r>
      <w:r w:rsidR="00B300B6">
        <w:rPr>
          <w:lang w:val="es-ES"/>
        </w:rPr>
        <w:t xml:space="preserve"> </w:t>
      </w:r>
      <w:proofErr w:type="spellStart"/>
      <w:r w:rsidR="00B300B6">
        <w:rPr>
          <w:lang w:val="es-ES"/>
        </w:rPr>
        <w:t>the</w:t>
      </w:r>
      <w:proofErr w:type="spellEnd"/>
      <w:r w:rsidR="00B300B6">
        <w:rPr>
          <w:lang w:val="es-ES"/>
        </w:rPr>
        <w:t xml:space="preserve"> M2</w:t>
      </w:r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site</w:t>
      </w:r>
      <w:proofErr w:type="spellEnd"/>
      <w:r w:rsidR="006244A3">
        <w:rPr>
          <w:lang w:val="es-ES"/>
        </w:rPr>
        <w:t xml:space="preserve"> </w:t>
      </w:r>
      <w:r w:rsidR="00C9377C">
        <w:rPr>
          <w:lang w:val="es-ES"/>
        </w:rPr>
        <w:t xml:space="preserve">and Fe </w:t>
      </w:r>
      <w:proofErr w:type="spellStart"/>
      <w:r w:rsidR="00C9377C">
        <w:rPr>
          <w:lang w:val="es-ES"/>
        </w:rPr>
        <w:t>occupation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of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the</w:t>
      </w:r>
      <w:proofErr w:type="spellEnd"/>
      <w:r w:rsidR="00C9377C">
        <w:rPr>
          <w:lang w:val="es-ES"/>
        </w:rPr>
        <w:t xml:space="preserve"> M1</w:t>
      </w:r>
      <w:r w:rsidR="006244A3" w:rsidRPr="006244A3">
        <w:rPr>
          <w:lang w:val="es-ES"/>
        </w:rPr>
        <w:t xml:space="preserve"> </w:t>
      </w:r>
      <w:proofErr w:type="spellStart"/>
      <w:r w:rsidR="006244A3" w:rsidRPr="006244A3">
        <w:rPr>
          <w:lang w:val="es-ES"/>
        </w:rPr>
        <w:t>site</w:t>
      </w:r>
      <w:proofErr w:type="spellEnd"/>
      <w:r w:rsidR="006244A3">
        <w:rPr>
          <w:lang w:val="es-ES"/>
        </w:rPr>
        <w:t xml:space="preserve">. </w:t>
      </w:r>
      <w:proofErr w:type="spellStart"/>
      <w:r w:rsidR="006244A3">
        <w:rPr>
          <w:lang w:val="es-ES"/>
        </w:rPr>
        <w:t>Since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the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ionic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radius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of</w:t>
      </w:r>
      <w:proofErr w:type="spellEnd"/>
      <w:r w:rsidR="006244A3">
        <w:rPr>
          <w:lang w:val="es-ES"/>
        </w:rPr>
        <w:t xml:space="preserve"> Fe</w:t>
      </w:r>
      <w:r w:rsidR="006244A3">
        <w:rPr>
          <w:vertAlign w:val="superscript"/>
          <w:lang w:val="es-ES"/>
        </w:rPr>
        <w:t>3+</w:t>
      </w:r>
      <w:r w:rsidR="006244A3">
        <w:rPr>
          <w:lang w:val="es-ES"/>
        </w:rPr>
        <w:t xml:space="preserve"> in </w:t>
      </w:r>
      <w:proofErr w:type="spellStart"/>
      <w:r w:rsidR="006244A3">
        <w:rPr>
          <w:lang w:val="es-ES"/>
        </w:rPr>
        <w:t>octahedral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coordination</w:t>
      </w:r>
      <w:proofErr w:type="spellEnd"/>
      <w:r w:rsidR="006244A3">
        <w:rPr>
          <w:lang w:val="es-ES"/>
        </w:rPr>
        <w:t xml:space="preserve"> (78.5 pm) </w:t>
      </w:r>
      <w:proofErr w:type="spellStart"/>
      <w:r w:rsidR="006244A3">
        <w:rPr>
          <w:lang w:val="es-ES"/>
        </w:rPr>
        <w:t>is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much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smaller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than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that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of</w:t>
      </w:r>
      <w:proofErr w:type="spellEnd"/>
      <w:r w:rsidR="006244A3">
        <w:rPr>
          <w:lang w:val="es-ES"/>
        </w:rPr>
        <w:t xml:space="preserve"> Fe</w:t>
      </w:r>
      <w:r w:rsidR="006244A3">
        <w:rPr>
          <w:vertAlign w:val="superscript"/>
          <w:lang w:val="es-ES"/>
        </w:rPr>
        <w:t>2+</w:t>
      </w:r>
      <w:r w:rsidR="00B300B6">
        <w:rPr>
          <w:lang w:val="es-ES"/>
        </w:rPr>
        <w:t xml:space="preserve"> (90 pm</w:t>
      </w:r>
      <w:r w:rsidR="006244A3">
        <w:rPr>
          <w:lang w:val="es-ES"/>
        </w:rPr>
        <w:t xml:space="preserve">) </w:t>
      </w:r>
      <w:proofErr w:type="spellStart"/>
      <w:r w:rsidR="006244A3">
        <w:rPr>
          <w:lang w:val="es-ES"/>
        </w:rPr>
        <w:t>this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would</w:t>
      </w:r>
      <w:proofErr w:type="spellEnd"/>
      <w:r w:rsidR="006244A3">
        <w:rPr>
          <w:lang w:val="es-ES"/>
        </w:rPr>
        <w:t xml:space="preserve"> be </w:t>
      </w:r>
      <w:proofErr w:type="spellStart"/>
      <w:r w:rsidR="006244A3">
        <w:rPr>
          <w:lang w:val="es-ES"/>
        </w:rPr>
        <w:t>reflected</w:t>
      </w:r>
      <w:proofErr w:type="spellEnd"/>
      <w:r w:rsidR="006244A3">
        <w:rPr>
          <w:lang w:val="es-ES"/>
        </w:rPr>
        <w:t xml:space="preserve"> in a </w:t>
      </w:r>
      <w:proofErr w:type="spellStart"/>
      <w:r w:rsidR="006244A3">
        <w:rPr>
          <w:lang w:val="es-ES"/>
        </w:rPr>
        <w:t>large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reduction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of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the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lattice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parameters</w:t>
      </w:r>
      <w:proofErr w:type="spellEnd"/>
      <w:r w:rsidR="006244A3">
        <w:rPr>
          <w:lang w:val="es-ES"/>
        </w:rPr>
        <w:t xml:space="preserve"> </w:t>
      </w:r>
      <w:proofErr w:type="spellStart"/>
      <w:r w:rsidR="006244A3">
        <w:rPr>
          <w:lang w:val="es-ES"/>
        </w:rPr>
        <w:t>of</w:t>
      </w:r>
      <w:proofErr w:type="spellEnd"/>
      <w:r w:rsidR="006244A3">
        <w:rPr>
          <w:lang w:val="es-ES"/>
        </w:rPr>
        <w:t xml:space="preserve"> LiFePO</w:t>
      </w:r>
      <w:r w:rsidR="006244A3">
        <w:rPr>
          <w:vertAlign w:val="subscript"/>
          <w:lang w:val="es-ES"/>
        </w:rPr>
        <w:t>4</w:t>
      </w:r>
      <w:r w:rsidR="006244A3">
        <w:rPr>
          <w:lang w:val="es-ES"/>
        </w:rPr>
        <w:t>.</w:t>
      </w:r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T</w:t>
      </w:r>
      <w:r w:rsidR="0066575E">
        <w:rPr>
          <w:lang w:val="es-ES"/>
        </w:rPr>
        <w:t>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second</w:t>
      </w:r>
      <w:proofErr w:type="spellEnd"/>
      <w:r w:rsidR="0066575E">
        <w:rPr>
          <w:lang w:val="es-ES"/>
        </w:rPr>
        <w:t xml:space="preserve"> </w:t>
      </w:r>
      <w:proofErr w:type="spellStart"/>
      <w:r w:rsidR="0023143D">
        <w:rPr>
          <w:lang w:val="es-ES"/>
        </w:rPr>
        <w:t>scen</w:t>
      </w:r>
      <w:r w:rsidR="00C9377C">
        <w:rPr>
          <w:lang w:val="es-ES"/>
        </w:rPr>
        <w:t>ario</w:t>
      </w:r>
      <w:proofErr w:type="spellEnd"/>
      <w:r w:rsidR="0030067F">
        <w:rPr>
          <w:lang w:val="es-ES"/>
        </w:rPr>
        <w:t xml:space="preserve"> </w:t>
      </w:r>
      <w:proofErr w:type="spellStart"/>
      <w:r w:rsidR="00C9377C">
        <w:rPr>
          <w:lang w:val="es-ES"/>
        </w:rPr>
        <w:t>w</w:t>
      </w:r>
      <w:r w:rsidR="0030067F">
        <w:rPr>
          <w:lang w:val="es-ES"/>
        </w:rPr>
        <w:t>ould</w:t>
      </w:r>
      <w:proofErr w:type="spellEnd"/>
      <w:r w:rsidR="0030067F">
        <w:rPr>
          <w:lang w:val="es-ES"/>
        </w:rPr>
        <w:t xml:space="preserve"> </w:t>
      </w:r>
      <w:proofErr w:type="spellStart"/>
      <w:r w:rsidR="00C9377C">
        <w:rPr>
          <w:lang w:val="es-ES"/>
        </w:rPr>
        <w:t>consider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lastRenderedPageBreak/>
        <w:t>the</w:t>
      </w:r>
      <w:proofErr w:type="spellEnd"/>
      <w:r w:rsidR="00C9377C">
        <w:rPr>
          <w:lang w:val="es-ES"/>
        </w:rPr>
        <w:t xml:space="preserve"> </w:t>
      </w:r>
      <w:r w:rsidR="0030067F">
        <w:rPr>
          <w:lang w:val="es-ES"/>
        </w:rPr>
        <w:t xml:space="preserve"> </w:t>
      </w:r>
      <w:proofErr w:type="spellStart"/>
      <w:r w:rsidR="00C9377C">
        <w:rPr>
          <w:lang w:val="es-ES"/>
        </w:rPr>
        <w:t>presence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of</w:t>
      </w:r>
      <w:proofErr w:type="spellEnd"/>
      <w:r w:rsidR="0030067F">
        <w:rPr>
          <w:lang w:val="es-ES"/>
        </w:rPr>
        <w:t xml:space="preserve"> </w:t>
      </w:r>
      <w:proofErr w:type="spellStart"/>
      <w:r w:rsidR="0030067F">
        <w:rPr>
          <w:lang w:val="es-ES"/>
        </w:rPr>
        <w:t>amorphous</w:t>
      </w:r>
      <w:proofErr w:type="spellEnd"/>
      <w:r w:rsidR="0030067F">
        <w:rPr>
          <w:lang w:val="es-ES"/>
        </w:rPr>
        <w:t xml:space="preserve"> </w:t>
      </w:r>
      <w:proofErr w:type="spellStart"/>
      <w:r w:rsidR="0030067F">
        <w:rPr>
          <w:lang w:val="es-ES"/>
        </w:rPr>
        <w:t>impurities</w:t>
      </w:r>
      <w:proofErr w:type="spellEnd"/>
      <w:r w:rsidR="0030067F">
        <w:rPr>
          <w:lang w:val="es-ES"/>
        </w:rPr>
        <w:t xml:space="preserve">.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presence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amorphous</w:t>
      </w:r>
      <w:proofErr w:type="spellEnd"/>
      <w:r w:rsidR="0066575E">
        <w:rPr>
          <w:lang w:val="es-ES"/>
        </w:rPr>
        <w:t xml:space="preserve"> FePO</w:t>
      </w:r>
      <w:r w:rsidR="0066575E">
        <w:rPr>
          <w:vertAlign w:val="subscript"/>
          <w:lang w:val="es-ES"/>
        </w:rPr>
        <w:t>4</w:t>
      </w:r>
      <w:r w:rsidR="0066575E">
        <w:rPr>
          <w:lang w:val="es-ES"/>
        </w:rPr>
        <w:t xml:space="preserve"> can be </w:t>
      </w:r>
      <w:proofErr w:type="spellStart"/>
      <w:r w:rsidR="0066575E">
        <w:rPr>
          <w:lang w:val="es-ES"/>
        </w:rPr>
        <w:t>discarded</w:t>
      </w:r>
      <w:proofErr w:type="spellEnd"/>
      <w:r w:rsidR="0066575E">
        <w:rPr>
          <w:lang w:val="es-ES"/>
        </w:rPr>
        <w:t xml:space="preserve"> as </w:t>
      </w:r>
      <w:proofErr w:type="spellStart"/>
      <w:r w:rsidR="0066575E">
        <w:rPr>
          <w:lang w:val="es-ES"/>
        </w:rPr>
        <w:t>its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hyperfine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parameters</w:t>
      </w:r>
      <w:proofErr w:type="spellEnd"/>
      <w:r w:rsidR="0066575E">
        <w:rPr>
          <w:lang w:val="es-ES"/>
        </w:rPr>
        <w:t xml:space="preserve"> do </w:t>
      </w:r>
      <w:proofErr w:type="spellStart"/>
      <w:r w:rsidR="0066575E">
        <w:rPr>
          <w:lang w:val="es-ES"/>
        </w:rPr>
        <w:t>not</w:t>
      </w:r>
      <w:proofErr w:type="spellEnd"/>
      <w:r w:rsidR="0066575E">
        <w:rPr>
          <w:lang w:val="es-ES"/>
        </w:rPr>
        <w:t xml:space="preserve"> match </w:t>
      </w:r>
      <w:proofErr w:type="spellStart"/>
      <w:r w:rsidR="0066575E">
        <w:rPr>
          <w:lang w:val="es-ES"/>
        </w:rPr>
        <w:t>those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our</w:t>
      </w:r>
      <w:proofErr w:type="spellEnd"/>
      <w:r w:rsidR="0066575E">
        <w:rPr>
          <w:lang w:val="es-ES"/>
        </w:rPr>
        <w:t xml:space="preserve"> Fe</w:t>
      </w:r>
      <w:r w:rsidR="0066575E">
        <w:rPr>
          <w:vertAlign w:val="superscript"/>
          <w:lang w:val="es-ES"/>
        </w:rPr>
        <w:t>3+</w:t>
      </w:r>
      <w:r w:rsidR="00265F6B">
        <w:rPr>
          <w:lang w:val="es-ES"/>
        </w:rPr>
        <w:t xml:space="preserve"> </w:t>
      </w:r>
      <w:proofErr w:type="spellStart"/>
      <w:r w:rsidR="00265F6B">
        <w:rPr>
          <w:lang w:val="es-ES"/>
        </w:rPr>
        <w:t>component</w:t>
      </w:r>
      <w:proofErr w:type="spellEnd"/>
      <w:r w:rsidR="00265F6B">
        <w:rPr>
          <w:lang w:val="es-ES"/>
        </w:rPr>
        <w:t xml:space="preserve"> [2</w:t>
      </w:r>
      <w:r w:rsidR="0066575E">
        <w:rPr>
          <w:lang w:val="es-ES"/>
        </w:rPr>
        <w:t xml:space="preserve">]. </w:t>
      </w:r>
      <w:proofErr w:type="spellStart"/>
      <w:r w:rsidR="0066575E">
        <w:rPr>
          <w:lang w:val="es-ES"/>
        </w:rPr>
        <w:t>Although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presence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amorphous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iron</w:t>
      </w:r>
      <w:proofErr w:type="spellEnd"/>
      <w:r w:rsidR="0066575E">
        <w:rPr>
          <w:lang w:val="es-ES"/>
        </w:rPr>
        <w:t xml:space="preserve"> oxides </w:t>
      </w:r>
      <w:proofErr w:type="spellStart"/>
      <w:r w:rsidR="0066575E">
        <w:rPr>
          <w:lang w:val="es-ES"/>
        </w:rPr>
        <w:t>cannot</w:t>
      </w:r>
      <w:proofErr w:type="spellEnd"/>
      <w:r w:rsidR="0066575E">
        <w:rPr>
          <w:lang w:val="es-ES"/>
        </w:rPr>
        <w:t xml:space="preserve"> be </w:t>
      </w:r>
      <w:proofErr w:type="spellStart"/>
      <w:r w:rsidR="0066575E">
        <w:rPr>
          <w:lang w:val="es-ES"/>
        </w:rPr>
        <w:t>discarded</w:t>
      </w:r>
      <w:proofErr w:type="spellEnd"/>
      <w:r w:rsidR="0066575E">
        <w:rPr>
          <w:lang w:val="es-ES"/>
        </w:rPr>
        <w:t xml:space="preserve"> (</w:t>
      </w:r>
      <w:proofErr w:type="spellStart"/>
      <w:r w:rsidR="0066575E">
        <w:rPr>
          <w:lang w:val="es-ES"/>
        </w:rPr>
        <w:t>low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temperature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Mössbauer</w:t>
      </w:r>
      <w:proofErr w:type="spellEnd"/>
      <w:r w:rsidR="0066575E">
        <w:rPr>
          <w:lang w:val="es-ES"/>
        </w:rPr>
        <w:t xml:space="preserve"> data </w:t>
      </w:r>
      <w:proofErr w:type="spellStart"/>
      <w:r w:rsidR="0066575E">
        <w:rPr>
          <w:lang w:val="es-ES"/>
        </w:rPr>
        <w:t>would</w:t>
      </w:r>
      <w:proofErr w:type="spellEnd"/>
      <w:r w:rsidR="0066575E">
        <w:rPr>
          <w:lang w:val="es-ES"/>
        </w:rPr>
        <w:t xml:space="preserve"> be </w:t>
      </w:r>
      <w:proofErr w:type="spellStart"/>
      <w:r w:rsidR="0066575E">
        <w:rPr>
          <w:lang w:val="es-ES"/>
        </w:rPr>
        <w:t>necessary</w:t>
      </w:r>
      <w:proofErr w:type="spellEnd"/>
      <w:r w:rsidR="0066575E">
        <w:rPr>
          <w:lang w:val="es-ES"/>
        </w:rPr>
        <w:t xml:space="preserve">) </w:t>
      </w:r>
      <w:proofErr w:type="spellStart"/>
      <w:r w:rsidR="0066575E">
        <w:rPr>
          <w:lang w:val="es-ES"/>
        </w:rPr>
        <w:t>we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think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that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this</w:t>
      </w:r>
      <w:proofErr w:type="spellEnd"/>
      <w:r w:rsidR="0066575E">
        <w:rPr>
          <w:lang w:val="es-ES"/>
        </w:rPr>
        <w:t xml:space="preserve"> Fe</w:t>
      </w:r>
      <w:r w:rsidR="0066575E">
        <w:rPr>
          <w:vertAlign w:val="superscript"/>
          <w:lang w:val="es-ES"/>
        </w:rPr>
        <w:t xml:space="preserve">3+ </w:t>
      </w:r>
      <w:proofErr w:type="spellStart"/>
      <w:r w:rsidR="0066575E" w:rsidRPr="0066575E">
        <w:rPr>
          <w:lang w:val="es-ES"/>
        </w:rPr>
        <w:t>contribution</w:t>
      </w:r>
      <w:proofErr w:type="spellEnd"/>
      <w:r w:rsidR="0066575E" w:rsidRPr="0066575E">
        <w:rPr>
          <w:lang w:val="es-ES"/>
        </w:rPr>
        <w:t xml:space="preserve"> </w:t>
      </w:r>
      <w:proofErr w:type="spellStart"/>
      <w:r w:rsidR="00C9377C">
        <w:rPr>
          <w:lang w:val="es-ES"/>
        </w:rPr>
        <w:t>could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arise</w:t>
      </w:r>
      <w:proofErr w:type="spellEnd"/>
      <w:r w:rsidR="0066575E">
        <w:rPr>
          <w:lang w:val="es-ES"/>
        </w:rPr>
        <w:t xml:space="preserve"> more </w:t>
      </w:r>
      <w:proofErr w:type="spellStart"/>
      <w:r w:rsidR="0066575E">
        <w:rPr>
          <w:lang w:val="es-ES"/>
        </w:rPr>
        <w:t>likely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from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ageing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LiFePO</w:t>
      </w:r>
      <w:r w:rsidR="0066575E">
        <w:rPr>
          <w:vertAlign w:val="subscript"/>
          <w:lang w:val="es-ES"/>
        </w:rPr>
        <w:t>4</w:t>
      </w:r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brought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about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by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its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exposure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to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laboratory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atmosp</w:t>
      </w:r>
      <w:r w:rsidR="000B07E6">
        <w:rPr>
          <w:lang w:val="es-ES"/>
        </w:rPr>
        <w:t>h</w:t>
      </w:r>
      <w:r w:rsidR="0066575E">
        <w:rPr>
          <w:lang w:val="es-ES"/>
        </w:rPr>
        <w:t>ere</w:t>
      </w:r>
      <w:proofErr w:type="spellEnd"/>
      <w:r w:rsidR="0066575E">
        <w:rPr>
          <w:lang w:val="es-ES"/>
        </w:rPr>
        <w:t xml:space="preserve">. </w:t>
      </w:r>
      <w:proofErr w:type="spellStart"/>
      <w:r w:rsidR="0066575E">
        <w:rPr>
          <w:lang w:val="es-ES"/>
        </w:rPr>
        <w:t>It</w:t>
      </w:r>
      <w:proofErr w:type="spellEnd"/>
      <w:r w:rsidR="0066575E">
        <w:rPr>
          <w:lang w:val="es-ES"/>
        </w:rPr>
        <w:t xml:space="preserve"> has </w:t>
      </w:r>
      <w:proofErr w:type="spellStart"/>
      <w:r w:rsidR="0066575E">
        <w:rPr>
          <w:lang w:val="es-ES"/>
        </w:rPr>
        <w:t>been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reported</w:t>
      </w:r>
      <w:proofErr w:type="spellEnd"/>
      <w:r w:rsidR="0066575E">
        <w:rPr>
          <w:lang w:val="es-ES"/>
        </w:rPr>
        <w:t xml:space="preserve"> </w:t>
      </w:r>
      <w:r w:rsidR="00265F6B">
        <w:rPr>
          <w:lang w:val="es-ES"/>
        </w:rPr>
        <w:t>[</w:t>
      </w:r>
      <w:r w:rsidR="0007541F">
        <w:rPr>
          <w:lang w:val="es-ES"/>
        </w:rPr>
        <w:t>5</w:t>
      </w:r>
      <w:r w:rsidR="000B07E6">
        <w:rPr>
          <w:lang w:val="es-ES"/>
        </w:rPr>
        <w:t xml:space="preserve">] </w:t>
      </w:r>
      <w:proofErr w:type="spellStart"/>
      <w:r w:rsidR="0066575E">
        <w:rPr>
          <w:lang w:val="es-ES"/>
        </w:rPr>
        <w:t>that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exposure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lithium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iron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phosphate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to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atmosphere</w:t>
      </w:r>
      <w:proofErr w:type="spellEnd"/>
      <w:r w:rsidR="0066575E">
        <w:rPr>
          <w:lang w:val="es-ES"/>
        </w:rPr>
        <w:t xml:space="preserve"> can </w:t>
      </w:r>
      <w:proofErr w:type="spellStart"/>
      <w:r w:rsidR="0066575E">
        <w:rPr>
          <w:lang w:val="es-ES"/>
        </w:rPr>
        <w:t>result</w:t>
      </w:r>
      <w:proofErr w:type="spellEnd"/>
      <w:r w:rsidR="0066575E">
        <w:rPr>
          <w:lang w:val="es-ES"/>
        </w:rPr>
        <w:t xml:space="preserve"> in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formation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of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amorphous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ferric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phosphate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phases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whose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concentration</w:t>
      </w:r>
      <w:proofErr w:type="spellEnd"/>
      <w:r w:rsidR="0066575E">
        <w:rPr>
          <w:lang w:val="es-ES"/>
        </w:rPr>
        <w:t xml:space="preserve"> can </w:t>
      </w:r>
      <w:proofErr w:type="spellStart"/>
      <w:r w:rsidR="0066575E">
        <w:rPr>
          <w:lang w:val="es-ES"/>
        </w:rPr>
        <w:t>amount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to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very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large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percentages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depending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on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the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exposure</w:t>
      </w:r>
      <w:proofErr w:type="spellEnd"/>
      <w:r w:rsidR="0066575E">
        <w:rPr>
          <w:lang w:val="es-ES"/>
        </w:rPr>
        <w:t xml:space="preserve"> time and </w:t>
      </w:r>
      <w:proofErr w:type="spellStart"/>
      <w:r w:rsidR="0066575E">
        <w:rPr>
          <w:lang w:val="es-ES"/>
        </w:rPr>
        <w:t>conditions</w:t>
      </w:r>
      <w:proofErr w:type="spellEnd"/>
      <w:r w:rsidR="0066575E">
        <w:rPr>
          <w:lang w:val="es-ES"/>
        </w:rPr>
        <w:t xml:space="preserve">, </w:t>
      </w:r>
      <w:proofErr w:type="spellStart"/>
      <w:r w:rsidR="0066575E">
        <w:rPr>
          <w:lang w:val="es-ES"/>
        </w:rPr>
        <w:t>even</w:t>
      </w:r>
      <w:proofErr w:type="spellEnd"/>
      <w:r w:rsidR="0066575E">
        <w:rPr>
          <w:lang w:val="es-ES"/>
        </w:rPr>
        <w:t xml:space="preserve"> at </w:t>
      </w:r>
      <w:proofErr w:type="spellStart"/>
      <w:r w:rsidR="0066575E">
        <w:rPr>
          <w:lang w:val="es-ES"/>
        </w:rPr>
        <w:t>ambient</w:t>
      </w:r>
      <w:proofErr w:type="spellEnd"/>
      <w:r w:rsidR="0066575E">
        <w:rPr>
          <w:lang w:val="es-ES"/>
        </w:rPr>
        <w:t xml:space="preserve"> </w:t>
      </w:r>
      <w:proofErr w:type="spellStart"/>
      <w:r w:rsidR="0066575E">
        <w:rPr>
          <w:lang w:val="es-ES"/>
        </w:rPr>
        <w:t>temperature</w:t>
      </w:r>
      <w:proofErr w:type="spellEnd"/>
      <w:r w:rsidR="0066575E">
        <w:rPr>
          <w:lang w:val="es-ES"/>
        </w:rPr>
        <w:t>.</w:t>
      </w:r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The</w:t>
      </w:r>
      <w:proofErr w:type="spellEnd"/>
      <w:r w:rsidR="00C9377C">
        <w:rPr>
          <w:lang w:val="es-ES"/>
        </w:rPr>
        <w:t xml:space="preserve"> data </w:t>
      </w:r>
      <w:proofErr w:type="spellStart"/>
      <w:r w:rsidR="00C9377C">
        <w:rPr>
          <w:lang w:val="es-ES"/>
        </w:rPr>
        <w:t>indicate</w:t>
      </w:r>
      <w:proofErr w:type="spellEnd"/>
      <w:r w:rsidR="00C9377C">
        <w:rPr>
          <w:lang w:val="es-ES"/>
        </w:rPr>
        <w:t xml:space="preserve"> </w:t>
      </w:r>
      <w:proofErr w:type="spellStart"/>
      <w:r w:rsidR="00C9377C">
        <w:rPr>
          <w:lang w:val="es-ES"/>
        </w:rPr>
        <w:t>that</w:t>
      </w:r>
      <w:proofErr w:type="spellEnd"/>
      <w:r w:rsidR="00C9377C">
        <w:rPr>
          <w:lang w:val="es-ES"/>
        </w:rPr>
        <w:t xml:space="preserve"> </w:t>
      </w:r>
      <w:proofErr w:type="spellStart"/>
      <w:r w:rsidR="003D2B65">
        <w:rPr>
          <w:lang w:val="es-ES"/>
        </w:rPr>
        <w:t>the</w:t>
      </w:r>
      <w:proofErr w:type="spellEnd"/>
      <w:r w:rsidR="003D2B65">
        <w:rPr>
          <w:lang w:val="es-ES"/>
        </w:rPr>
        <w:t xml:space="preserve"> Fe</w:t>
      </w:r>
      <w:r w:rsidR="003D2B65">
        <w:rPr>
          <w:vertAlign w:val="superscript"/>
          <w:lang w:val="es-ES"/>
        </w:rPr>
        <w:t>3+</w:t>
      </w:r>
      <w:r w:rsidR="003D2B65">
        <w:rPr>
          <w:lang w:val="es-ES"/>
        </w:rPr>
        <w:t xml:space="preserve"> </w:t>
      </w:r>
      <w:proofErr w:type="spellStart"/>
      <w:r w:rsidR="003D2B65">
        <w:rPr>
          <w:lang w:val="es-ES"/>
        </w:rPr>
        <w:t>contribution</w:t>
      </w:r>
      <w:proofErr w:type="spellEnd"/>
      <w:r w:rsidR="003D2B65">
        <w:rPr>
          <w:lang w:val="es-ES"/>
        </w:rPr>
        <w:t xml:space="preserve"> </w:t>
      </w:r>
      <w:proofErr w:type="spellStart"/>
      <w:r w:rsidR="003D2B65">
        <w:rPr>
          <w:lang w:val="es-ES"/>
        </w:rPr>
        <w:t>is</w:t>
      </w:r>
      <w:proofErr w:type="spellEnd"/>
      <w:r w:rsidR="003D2B65">
        <w:rPr>
          <w:lang w:val="es-ES"/>
        </w:rPr>
        <w:t xml:space="preserve"> </w:t>
      </w:r>
      <w:proofErr w:type="spellStart"/>
      <w:r w:rsidR="003D2B65">
        <w:rPr>
          <w:lang w:val="es-ES"/>
        </w:rPr>
        <w:t>much</w:t>
      </w:r>
      <w:proofErr w:type="spellEnd"/>
      <w:r w:rsidR="003D2B65">
        <w:rPr>
          <w:lang w:val="es-ES"/>
        </w:rPr>
        <w:t xml:space="preserve"> more </w:t>
      </w:r>
      <w:proofErr w:type="spellStart"/>
      <w:r w:rsidR="003D2B65">
        <w:rPr>
          <w:lang w:val="es-ES"/>
        </w:rPr>
        <w:t>important</w:t>
      </w:r>
      <w:proofErr w:type="spellEnd"/>
      <w:r w:rsidR="003D2B65">
        <w:rPr>
          <w:lang w:val="es-ES"/>
        </w:rPr>
        <w:t xml:space="preserve"> in </w:t>
      </w:r>
      <w:proofErr w:type="spellStart"/>
      <w:r w:rsidR="003D2B65">
        <w:rPr>
          <w:lang w:val="es-ES"/>
        </w:rPr>
        <w:t>sample</w:t>
      </w:r>
      <w:proofErr w:type="spellEnd"/>
      <w:r w:rsidR="003D2B65">
        <w:rPr>
          <w:lang w:val="es-ES"/>
        </w:rPr>
        <w:t xml:space="preserve"> M2 </w:t>
      </w:r>
      <w:proofErr w:type="spellStart"/>
      <w:r w:rsidR="003D2B65">
        <w:rPr>
          <w:lang w:val="es-ES"/>
        </w:rPr>
        <w:t>than</w:t>
      </w:r>
      <w:proofErr w:type="spellEnd"/>
      <w:r w:rsidR="003D2B65">
        <w:rPr>
          <w:lang w:val="es-ES"/>
        </w:rPr>
        <w:t xml:space="preserve"> in </w:t>
      </w:r>
      <w:proofErr w:type="spellStart"/>
      <w:r w:rsidR="003D2B65">
        <w:rPr>
          <w:lang w:val="es-ES"/>
        </w:rPr>
        <w:t>sample</w:t>
      </w:r>
      <w:proofErr w:type="spellEnd"/>
      <w:r w:rsidR="003D2B65">
        <w:rPr>
          <w:lang w:val="es-ES"/>
        </w:rPr>
        <w:t xml:space="preserve"> M1.</w:t>
      </w:r>
    </w:p>
    <w:p w14:paraId="00914932" w14:textId="77777777" w:rsidR="000B07E6" w:rsidRDefault="000B07E6" w:rsidP="000B07E6">
      <w:pPr>
        <w:spacing w:line="360" w:lineRule="auto"/>
        <w:jc w:val="both"/>
        <w:rPr>
          <w:lang w:val="es-ES"/>
        </w:rPr>
      </w:pPr>
    </w:p>
    <w:p w14:paraId="19E423D8" w14:textId="603FD6A8" w:rsidR="000B07E6" w:rsidRPr="000B07E6" w:rsidRDefault="000B07E6" w:rsidP="000B07E6">
      <w:pPr>
        <w:spacing w:line="360" w:lineRule="auto"/>
        <w:jc w:val="both"/>
        <w:rPr>
          <w:b/>
        </w:rPr>
      </w:pPr>
      <w:proofErr w:type="spellStart"/>
      <w:r>
        <w:rPr>
          <w:b/>
        </w:rPr>
        <w:t>References</w:t>
      </w:r>
      <w:proofErr w:type="spellEnd"/>
    </w:p>
    <w:p w14:paraId="6D906659" w14:textId="6F8EC70C" w:rsidR="00744E70" w:rsidRDefault="0007541F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>[</w:t>
      </w:r>
      <w:r w:rsidRPr="0007541F">
        <w:rPr>
          <w:lang w:val="es-ES"/>
        </w:rPr>
        <w:t>1]</w:t>
      </w:r>
      <w:r w:rsidRPr="0007541F">
        <w:rPr>
          <w:lang w:val="es-ES"/>
        </w:rPr>
        <w:tab/>
        <w:t xml:space="preserve">A.S. Anderson, B. </w:t>
      </w:r>
      <w:proofErr w:type="spellStart"/>
      <w:r w:rsidRPr="0007541F">
        <w:rPr>
          <w:lang w:val="es-ES"/>
        </w:rPr>
        <w:t>Kalska</w:t>
      </w:r>
      <w:proofErr w:type="spellEnd"/>
      <w:r w:rsidRPr="0007541F">
        <w:rPr>
          <w:lang w:val="es-ES"/>
        </w:rPr>
        <w:t xml:space="preserve">, L. </w:t>
      </w:r>
      <w:proofErr w:type="spellStart"/>
      <w:r w:rsidRPr="0007541F">
        <w:rPr>
          <w:lang w:val="es-ES"/>
        </w:rPr>
        <w:t>Haggstrom</w:t>
      </w:r>
      <w:proofErr w:type="spellEnd"/>
      <w:r w:rsidRPr="0007541F">
        <w:rPr>
          <w:lang w:val="es-ES"/>
        </w:rPr>
        <w:t xml:space="preserve">, J.O. Thomas, Solid </w:t>
      </w:r>
      <w:proofErr w:type="spellStart"/>
      <w:r w:rsidRPr="0007541F">
        <w:rPr>
          <w:lang w:val="es-ES"/>
        </w:rPr>
        <w:t>State</w:t>
      </w:r>
      <w:proofErr w:type="spellEnd"/>
      <w:r w:rsidRPr="0007541F">
        <w:rPr>
          <w:lang w:val="es-ES"/>
        </w:rPr>
        <w:t xml:space="preserve"> </w:t>
      </w:r>
      <w:proofErr w:type="spellStart"/>
      <w:r w:rsidRPr="0007541F">
        <w:rPr>
          <w:lang w:val="es-ES"/>
        </w:rPr>
        <w:t>Ionics</w:t>
      </w:r>
      <w:proofErr w:type="spellEnd"/>
      <w:r w:rsidRPr="0007541F">
        <w:rPr>
          <w:lang w:val="es-ES"/>
        </w:rPr>
        <w:t xml:space="preserve"> </w:t>
      </w:r>
      <w:r w:rsidRPr="00F801EF">
        <w:rPr>
          <w:b/>
          <w:lang w:val="es-ES"/>
        </w:rPr>
        <w:t>130</w:t>
      </w:r>
      <w:r w:rsidRPr="0007541F">
        <w:rPr>
          <w:lang w:val="es-ES"/>
        </w:rPr>
        <w:t xml:space="preserve"> (2000) 41-50.</w:t>
      </w:r>
    </w:p>
    <w:p w14:paraId="53771696" w14:textId="1AAA62D1" w:rsidR="0007541F" w:rsidRDefault="0007541F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>[2]</w:t>
      </w:r>
      <w:r>
        <w:rPr>
          <w:lang w:val="es-ES"/>
        </w:rPr>
        <w:tab/>
        <w:t xml:space="preserve">K. </w:t>
      </w:r>
      <w:proofErr w:type="spellStart"/>
      <w:r>
        <w:rPr>
          <w:lang w:val="es-ES"/>
        </w:rPr>
        <w:t>Galoustov</w:t>
      </w:r>
      <w:proofErr w:type="spellEnd"/>
      <w:r>
        <w:rPr>
          <w:lang w:val="es-ES"/>
        </w:rPr>
        <w:t xml:space="preserve">, M. </w:t>
      </w:r>
      <w:proofErr w:type="spellStart"/>
      <w:r>
        <w:rPr>
          <w:lang w:val="es-ES"/>
        </w:rPr>
        <w:t>Anthonisen</w:t>
      </w:r>
      <w:proofErr w:type="spellEnd"/>
      <w:r>
        <w:rPr>
          <w:lang w:val="es-ES"/>
        </w:rPr>
        <w:t xml:space="preserve">, D.H. Ryan, D.D. </w:t>
      </w:r>
      <w:proofErr w:type="spellStart"/>
      <w:r>
        <w:rPr>
          <w:lang w:val="es-ES"/>
        </w:rPr>
        <w:t>MacNeil</w:t>
      </w:r>
      <w:proofErr w:type="spellEnd"/>
      <w:r>
        <w:rPr>
          <w:lang w:val="es-ES"/>
        </w:rPr>
        <w:t xml:space="preserve">, J. </w:t>
      </w:r>
      <w:proofErr w:type="spellStart"/>
      <w:r>
        <w:rPr>
          <w:lang w:val="es-ES"/>
        </w:rPr>
        <w:t>Power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Sources</w:t>
      </w:r>
      <w:proofErr w:type="spellEnd"/>
      <w:r>
        <w:rPr>
          <w:lang w:val="es-ES"/>
        </w:rPr>
        <w:t xml:space="preserve"> </w:t>
      </w:r>
      <w:r w:rsidRPr="00F801EF">
        <w:rPr>
          <w:b/>
          <w:lang w:val="es-ES"/>
        </w:rPr>
        <w:t>196</w:t>
      </w:r>
      <w:r>
        <w:rPr>
          <w:lang w:val="es-ES"/>
        </w:rPr>
        <w:t xml:space="preserve"> (2011) 6893-6897.</w:t>
      </w:r>
    </w:p>
    <w:p w14:paraId="159DBC1A" w14:textId="19772BDF" w:rsidR="0007541F" w:rsidRDefault="0007541F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>[3]</w:t>
      </w:r>
      <w:r>
        <w:rPr>
          <w:lang w:val="es-ES"/>
        </w:rPr>
        <w:tab/>
        <w:t xml:space="preserve">F.B. Khan, K. </w:t>
      </w:r>
      <w:proofErr w:type="spellStart"/>
      <w:r>
        <w:rPr>
          <w:lang w:val="es-ES"/>
        </w:rPr>
        <w:t>Baruth-Ram</w:t>
      </w:r>
      <w:proofErr w:type="spellEnd"/>
      <w:r>
        <w:rPr>
          <w:lang w:val="es-ES"/>
        </w:rPr>
        <w:t xml:space="preserve">, D.H. Ryan, D.D. </w:t>
      </w:r>
      <w:proofErr w:type="spellStart"/>
      <w:r>
        <w:rPr>
          <w:lang w:val="es-ES"/>
        </w:rPr>
        <w:t>MacNeil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Hyperfine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Interact</w:t>
      </w:r>
      <w:proofErr w:type="spellEnd"/>
      <w:r>
        <w:rPr>
          <w:lang w:val="es-ES"/>
        </w:rPr>
        <w:t xml:space="preserve">. </w:t>
      </w:r>
      <w:r w:rsidRPr="00F801EF">
        <w:rPr>
          <w:b/>
          <w:lang w:val="es-ES"/>
        </w:rPr>
        <w:t>197</w:t>
      </w:r>
      <w:r>
        <w:rPr>
          <w:lang w:val="es-ES"/>
        </w:rPr>
        <w:t xml:space="preserve"> (2010) 317-323.</w:t>
      </w:r>
    </w:p>
    <w:p w14:paraId="5F45F28E" w14:textId="6428191C" w:rsidR="0007541F" w:rsidRDefault="0007541F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>[4]</w:t>
      </w:r>
      <w:r>
        <w:rPr>
          <w:lang w:val="es-ES"/>
        </w:rPr>
        <w:tab/>
        <w:t xml:space="preserve">B. </w:t>
      </w:r>
      <w:proofErr w:type="spellStart"/>
      <w:r>
        <w:rPr>
          <w:lang w:val="es-ES"/>
        </w:rPr>
        <w:t>Hannoyer</w:t>
      </w:r>
      <w:proofErr w:type="spellEnd"/>
      <w:r>
        <w:rPr>
          <w:lang w:val="es-ES"/>
        </w:rPr>
        <w:t xml:space="preserve">, A.A.M. Prince, M. Jean, R.S. Liu, G.S. Wang, </w:t>
      </w:r>
      <w:proofErr w:type="spellStart"/>
      <w:r>
        <w:rPr>
          <w:lang w:val="es-ES"/>
        </w:rPr>
        <w:t>Hyperfine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Interact</w:t>
      </w:r>
      <w:proofErr w:type="spellEnd"/>
      <w:r>
        <w:rPr>
          <w:lang w:val="es-ES"/>
        </w:rPr>
        <w:t xml:space="preserve">. </w:t>
      </w:r>
      <w:r w:rsidRPr="00F801EF">
        <w:rPr>
          <w:b/>
          <w:lang w:val="es-ES"/>
        </w:rPr>
        <w:t>167</w:t>
      </w:r>
      <w:r>
        <w:rPr>
          <w:lang w:val="es-ES"/>
        </w:rPr>
        <w:t xml:space="preserve"> (2006) 767-772.</w:t>
      </w:r>
    </w:p>
    <w:p w14:paraId="0BDACE46" w14:textId="1A18A7F0" w:rsidR="0007541F" w:rsidRDefault="0007541F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>[5]</w:t>
      </w:r>
      <w:r>
        <w:rPr>
          <w:lang w:val="es-ES"/>
        </w:rPr>
        <w:tab/>
        <w:t xml:space="preserve">M. </w:t>
      </w:r>
      <w:proofErr w:type="spellStart"/>
      <w:r>
        <w:rPr>
          <w:lang w:val="es-ES"/>
        </w:rPr>
        <w:t>Cuisinier</w:t>
      </w:r>
      <w:proofErr w:type="spellEnd"/>
      <w:r>
        <w:rPr>
          <w:lang w:val="es-ES"/>
        </w:rPr>
        <w:t>, J.F. Mart</w:t>
      </w:r>
      <w:r w:rsidR="00754E3D">
        <w:rPr>
          <w:lang w:val="es-ES"/>
        </w:rPr>
        <w:t xml:space="preserve">in, N. Dupré, A. </w:t>
      </w:r>
      <w:proofErr w:type="spellStart"/>
      <w:r w:rsidR="00754E3D">
        <w:rPr>
          <w:lang w:val="es-ES"/>
        </w:rPr>
        <w:t>Yamada</w:t>
      </w:r>
      <w:proofErr w:type="spellEnd"/>
      <w:r w:rsidR="00754E3D">
        <w:rPr>
          <w:lang w:val="es-ES"/>
        </w:rPr>
        <w:t xml:space="preserve">, R. </w:t>
      </w:r>
      <w:proofErr w:type="spellStart"/>
      <w:r w:rsidR="00754E3D">
        <w:rPr>
          <w:lang w:val="es-ES"/>
        </w:rPr>
        <w:t>Kanno</w:t>
      </w:r>
      <w:proofErr w:type="spellEnd"/>
      <w:r w:rsidR="00754E3D">
        <w:rPr>
          <w:lang w:val="es-ES"/>
        </w:rPr>
        <w:t xml:space="preserve">, D. </w:t>
      </w:r>
      <w:proofErr w:type="spellStart"/>
      <w:r w:rsidR="00754E3D">
        <w:rPr>
          <w:lang w:val="es-ES"/>
        </w:rPr>
        <w:t>Guyomard</w:t>
      </w:r>
      <w:proofErr w:type="spellEnd"/>
      <w:r w:rsidR="00754E3D">
        <w:rPr>
          <w:lang w:val="es-ES"/>
        </w:rPr>
        <w:t xml:space="preserve">, </w:t>
      </w:r>
      <w:proofErr w:type="spellStart"/>
      <w:r w:rsidR="00F801EF">
        <w:rPr>
          <w:lang w:val="es-ES"/>
        </w:rPr>
        <w:t>Electrochem</w:t>
      </w:r>
      <w:proofErr w:type="spellEnd"/>
      <w:r w:rsidR="00F801EF">
        <w:rPr>
          <w:lang w:val="es-ES"/>
        </w:rPr>
        <w:t xml:space="preserve">. </w:t>
      </w:r>
      <w:proofErr w:type="spellStart"/>
      <w:r w:rsidR="00F801EF">
        <w:rPr>
          <w:lang w:val="es-ES"/>
        </w:rPr>
        <w:t>Comm</w:t>
      </w:r>
      <w:proofErr w:type="spellEnd"/>
      <w:r w:rsidR="00F801EF">
        <w:rPr>
          <w:lang w:val="es-ES"/>
        </w:rPr>
        <w:t xml:space="preserve">. </w:t>
      </w:r>
      <w:r w:rsidR="00F801EF" w:rsidRPr="00F801EF">
        <w:rPr>
          <w:b/>
          <w:lang w:val="es-ES"/>
        </w:rPr>
        <w:t>12</w:t>
      </w:r>
      <w:r w:rsidR="00F801EF">
        <w:rPr>
          <w:lang w:val="es-ES"/>
        </w:rPr>
        <w:t xml:space="preserve"> (2010) 238-241.</w:t>
      </w:r>
    </w:p>
    <w:p w14:paraId="319E7395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26C4F0A0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6C4FE744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5067FDEF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408598C2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604229A2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65441FEA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01893BB6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08C47795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742C4706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61ADA9DA" w14:textId="77777777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</w:p>
    <w:p w14:paraId="798E796C" w14:textId="0169B9A8" w:rsidR="00D86236" w:rsidRDefault="00D86236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 xml:space="preserve">Figure 1. </w:t>
      </w:r>
      <w:proofErr w:type="spellStart"/>
      <w:r>
        <w:rPr>
          <w:lang w:val="es-ES"/>
        </w:rPr>
        <w:t>Room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temperature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Mössbauer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spectra</w:t>
      </w:r>
      <w:proofErr w:type="spellEnd"/>
      <w:r>
        <w:rPr>
          <w:lang w:val="es-ES"/>
        </w:rPr>
        <w:t>.</w:t>
      </w:r>
    </w:p>
    <w:p w14:paraId="5AE795C6" w14:textId="579D0AB6" w:rsidR="00D86236" w:rsidRDefault="003D2B65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CC7030F" wp14:editId="356D547C">
            <wp:simplePos x="0" y="0"/>
            <wp:positionH relativeFrom="column">
              <wp:posOffset>-114300</wp:posOffset>
            </wp:positionH>
            <wp:positionV relativeFrom="paragraph">
              <wp:posOffset>35560</wp:posOffset>
            </wp:positionV>
            <wp:extent cx="5490845" cy="38068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O4_M1_M2_298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806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8A70C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39CD64C1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179F2173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1FD0F160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2DC8A813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05E49D39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2E704FA7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25AC7922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64AFE16B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4A67BE6E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090165C5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15A9E7F2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3233FD4A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0F88D993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351BBA22" w14:textId="77777777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</w:p>
    <w:p w14:paraId="03C071B0" w14:textId="61F7B679" w:rsidR="003D2B65" w:rsidRDefault="003D2B65" w:rsidP="0007541F">
      <w:pPr>
        <w:spacing w:line="360" w:lineRule="auto"/>
        <w:ind w:left="700" w:hanging="700"/>
        <w:jc w:val="both"/>
        <w:rPr>
          <w:lang w:val="es-ES"/>
        </w:rPr>
      </w:pPr>
      <w:r>
        <w:rPr>
          <w:lang w:val="es-ES"/>
        </w:rPr>
        <w:t xml:space="preserve">Table 1.- </w:t>
      </w:r>
      <w:proofErr w:type="spellStart"/>
      <w:r>
        <w:rPr>
          <w:lang w:val="es-ES"/>
        </w:rPr>
        <w:t>Mössbauer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parameters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spectral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areas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obtained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spectra</w:t>
      </w:r>
      <w:proofErr w:type="spellEnd"/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1590"/>
        <w:gridCol w:w="1682"/>
        <w:gridCol w:w="1566"/>
        <w:gridCol w:w="1567"/>
        <w:gridCol w:w="1532"/>
      </w:tblGrid>
      <w:tr w:rsidR="003D2B65" w14:paraId="6B1B01AF" w14:textId="77777777" w:rsidTr="003D2B65">
        <w:tc>
          <w:tcPr>
            <w:tcW w:w="1634" w:type="dxa"/>
          </w:tcPr>
          <w:p w14:paraId="49D9BEB9" w14:textId="1033B17C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Sample</w:t>
            </w:r>
            <w:proofErr w:type="spellEnd"/>
          </w:p>
        </w:tc>
        <w:tc>
          <w:tcPr>
            <w:tcW w:w="1702" w:type="dxa"/>
          </w:tcPr>
          <w:p w14:paraId="417692D4" w14:textId="2A2CA7A8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Component</w:t>
            </w:r>
            <w:proofErr w:type="spellEnd"/>
          </w:p>
        </w:tc>
        <w:tc>
          <w:tcPr>
            <w:tcW w:w="1617" w:type="dxa"/>
          </w:tcPr>
          <w:p w14:paraId="7CEB9DC3" w14:textId="6BCB567C" w:rsidR="003D2B65" w:rsidRPr="003D2B65" w:rsidRDefault="003D2B65" w:rsidP="003D2B6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sym w:font="Symbol" w:char="F064"/>
            </w:r>
            <w:r>
              <w:rPr>
                <w:lang w:val="es-ES"/>
              </w:rPr>
              <w:t xml:space="preserve"> (mms</w:t>
            </w:r>
            <w:r>
              <w:rPr>
                <w:vertAlign w:val="superscript"/>
                <w:lang w:val="es-ES"/>
              </w:rPr>
              <w:t>-1</w:t>
            </w:r>
            <w:r>
              <w:rPr>
                <w:lang w:val="es-ES"/>
              </w:rPr>
              <w:t>)</w:t>
            </w:r>
          </w:p>
        </w:tc>
        <w:tc>
          <w:tcPr>
            <w:tcW w:w="1618" w:type="dxa"/>
          </w:tcPr>
          <w:p w14:paraId="76103E5E" w14:textId="0413BBC4" w:rsidR="003D2B65" w:rsidRP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sym w:font="Symbol" w:char="F044"/>
            </w:r>
            <w:r>
              <w:rPr>
                <w:lang w:val="es-ES"/>
              </w:rPr>
              <w:t xml:space="preserve"> (mms</w:t>
            </w:r>
            <w:r>
              <w:rPr>
                <w:vertAlign w:val="superscript"/>
                <w:lang w:val="es-ES"/>
              </w:rPr>
              <w:t>-1</w:t>
            </w:r>
            <w:r>
              <w:rPr>
                <w:lang w:val="es-ES"/>
              </w:rPr>
              <w:t>)</w:t>
            </w:r>
          </w:p>
        </w:tc>
        <w:tc>
          <w:tcPr>
            <w:tcW w:w="1592" w:type="dxa"/>
          </w:tcPr>
          <w:p w14:paraId="68359827" w14:textId="43129956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Area</w:t>
            </w:r>
            <w:proofErr w:type="spellEnd"/>
            <w:r>
              <w:rPr>
                <w:lang w:val="es-ES"/>
              </w:rPr>
              <w:t xml:space="preserve"> (%)</w:t>
            </w:r>
          </w:p>
        </w:tc>
      </w:tr>
      <w:tr w:rsidR="003D2B65" w14:paraId="258141DC" w14:textId="77777777" w:rsidTr="003D2B65">
        <w:tc>
          <w:tcPr>
            <w:tcW w:w="1634" w:type="dxa"/>
          </w:tcPr>
          <w:p w14:paraId="061C7789" w14:textId="0416F385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M1</w:t>
            </w:r>
          </w:p>
        </w:tc>
        <w:tc>
          <w:tcPr>
            <w:tcW w:w="1702" w:type="dxa"/>
          </w:tcPr>
          <w:p w14:paraId="0D22780C" w14:textId="44F82728" w:rsidR="003D2B65" w:rsidRPr="003D2B65" w:rsidRDefault="003D2B65" w:rsidP="0007541F">
            <w:pPr>
              <w:spacing w:line="360" w:lineRule="auto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2+</w:t>
            </w:r>
          </w:p>
        </w:tc>
        <w:tc>
          <w:tcPr>
            <w:tcW w:w="1617" w:type="dxa"/>
          </w:tcPr>
          <w:p w14:paraId="7E641D74" w14:textId="47178B6A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1.22</w:t>
            </w:r>
          </w:p>
        </w:tc>
        <w:tc>
          <w:tcPr>
            <w:tcW w:w="1618" w:type="dxa"/>
          </w:tcPr>
          <w:p w14:paraId="61CAD4B6" w14:textId="6D4C3C8B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2.94</w:t>
            </w:r>
          </w:p>
        </w:tc>
        <w:tc>
          <w:tcPr>
            <w:tcW w:w="1592" w:type="dxa"/>
          </w:tcPr>
          <w:p w14:paraId="3D4F47C6" w14:textId="20BB94F0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</w:tr>
      <w:tr w:rsidR="003D2B65" w14:paraId="32E43D27" w14:textId="77777777" w:rsidTr="003D2B65">
        <w:tc>
          <w:tcPr>
            <w:tcW w:w="1634" w:type="dxa"/>
          </w:tcPr>
          <w:p w14:paraId="6AC860F9" w14:textId="7777777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1702" w:type="dxa"/>
          </w:tcPr>
          <w:p w14:paraId="243D184F" w14:textId="6AA8E5EC" w:rsidR="003D2B65" w:rsidRPr="003D2B65" w:rsidRDefault="003D2B65" w:rsidP="0007541F">
            <w:pPr>
              <w:spacing w:line="360" w:lineRule="auto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2+</w:t>
            </w:r>
          </w:p>
        </w:tc>
        <w:tc>
          <w:tcPr>
            <w:tcW w:w="1617" w:type="dxa"/>
          </w:tcPr>
          <w:p w14:paraId="56DA5F3F" w14:textId="574D792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1.20</w:t>
            </w:r>
          </w:p>
        </w:tc>
        <w:tc>
          <w:tcPr>
            <w:tcW w:w="1618" w:type="dxa"/>
          </w:tcPr>
          <w:p w14:paraId="1284D7D8" w14:textId="522DAF53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2.71</w:t>
            </w:r>
          </w:p>
        </w:tc>
        <w:tc>
          <w:tcPr>
            <w:tcW w:w="1592" w:type="dxa"/>
          </w:tcPr>
          <w:p w14:paraId="0D5938C9" w14:textId="3DABDB0B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</w:tr>
      <w:tr w:rsidR="003D2B65" w14:paraId="0C64E584" w14:textId="77777777" w:rsidTr="003D2B65">
        <w:tc>
          <w:tcPr>
            <w:tcW w:w="1634" w:type="dxa"/>
          </w:tcPr>
          <w:p w14:paraId="790ADB9A" w14:textId="7777777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1702" w:type="dxa"/>
          </w:tcPr>
          <w:p w14:paraId="3097AC5D" w14:textId="70522BFE" w:rsidR="003D2B65" w:rsidRPr="003D2B65" w:rsidRDefault="003D2B65" w:rsidP="0007541F">
            <w:pPr>
              <w:spacing w:line="360" w:lineRule="auto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3+</w:t>
            </w:r>
          </w:p>
        </w:tc>
        <w:tc>
          <w:tcPr>
            <w:tcW w:w="1617" w:type="dxa"/>
          </w:tcPr>
          <w:p w14:paraId="45BC4AB8" w14:textId="04FF1150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0.45</w:t>
            </w:r>
          </w:p>
        </w:tc>
        <w:tc>
          <w:tcPr>
            <w:tcW w:w="1618" w:type="dxa"/>
          </w:tcPr>
          <w:p w14:paraId="638B5400" w14:textId="4847D525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0.86</w:t>
            </w:r>
          </w:p>
        </w:tc>
        <w:tc>
          <w:tcPr>
            <w:tcW w:w="1592" w:type="dxa"/>
          </w:tcPr>
          <w:p w14:paraId="73227810" w14:textId="06C8D74B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</w:tr>
      <w:tr w:rsidR="003D2B65" w14:paraId="60A5A421" w14:textId="77777777" w:rsidTr="003D2B65">
        <w:tc>
          <w:tcPr>
            <w:tcW w:w="1634" w:type="dxa"/>
          </w:tcPr>
          <w:p w14:paraId="15C5BB6B" w14:textId="1B6E9B8C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M2</w:t>
            </w:r>
          </w:p>
        </w:tc>
        <w:tc>
          <w:tcPr>
            <w:tcW w:w="1702" w:type="dxa"/>
          </w:tcPr>
          <w:p w14:paraId="5DB3AFC4" w14:textId="2E4F5DFA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2+</w:t>
            </w:r>
          </w:p>
        </w:tc>
        <w:tc>
          <w:tcPr>
            <w:tcW w:w="1617" w:type="dxa"/>
          </w:tcPr>
          <w:p w14:paraId="516ADF5F" w14:textId="61F80C78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1.26</w:t>
            </w:r>
          </w:p>
        </w:tc>
        <w:tc>
          <w:tcPr>
            <w:tcW w:w="1618" w:type="dxa"/>
          </w:tcPr>
          <w:p w14:paraId="0C08324E" w14:textId="0403489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2.92</w:t>
            </w:r>
          </w:p>
        </w:tc>
        <w:tc>
          <w:tcPr>
            <w:tcW w:w="1592" w:type="dxa"/>
          </w:tcPr>
          <w:p w14:paraId="317E984E" w14:textId="0D04790A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</w:tr>
      <w:tr w:rsidR="003D2B65" w14:paraId="3BA790C7" w14:textId="77777777" w:rsidTr="003D2B65">
        <w:tc>
          <w:tcPr>
            <w:tcW w:w="1634" w:type="dxa"/>
          </w:tcPr>
          <w:p w14:paraId="4D965DE1" w14:textId="7777777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1702" w:type="dxa"/>
          </w:tcPr>
          <w:p w14:paraId="1C9C5D0D" w14:textId="35D50534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2+</w:t>
            </w:r>
          </w:p>
        </w:tc>
        <w:tc>
          <w:tcPr>
            <w:tcW w:w="1617" w:type="dxa"/>
          </w:tcPr>
          <w:p w14:paraId="35AA8D2C" w14:textId="7FA4203D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1.26</w:t>
            </w:r>
          </w:p>
        </w:tc>
        <w:tc>
          <w:tcPr>
            <w:tcW w:w="1618" w:type="dxa"/>
          </w:tcPr>
          <w:p w14:paraId="6AF69577" w14:textId="5675B96C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2.55</w:t>
            </w:r>
          </w:p>
        </w:tc>
        <w:tc>
          <w:tcPr>
            <w:tcW w:w="1592" w:type="dxa"/>
          </w:tcPr>
          <w:p w14:paraId="10D0F72F" w14:textId="7D574869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</w:tr>
      <w:tr w:rsidR="003D2B65" w14:paraId="1F5226E6" w14:textId="77777777" w:rsidTr="003D2B65">
        <w:tc>
          <w:tcPr>
            <w:tcW w:w="1634" w:type="dxa"/>
          </w:tcPr>
          <w:p w14:paraId="2669FFCE" w14:textId="77777777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1702" w:type="dxa"/>
          </w:tcPr>
          <w:p w14:paraId="4B874FB0" w14:textId="48357D5F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Fe</w:t>
            </w:r>
            <w:r>
              <w:rPr>
                <w:vertAlign w:val="superscript"/>
                <w:lang w:val="es-ES"/>
              </w:rPr>
              <w:t>3+</w:t>
            </w:r>
          </w:p>
        </w:tc>
        <w:tc>
          <w:tcPr>
            <w:tcW w:w="1617" w:type="dxa"/>
          </w:tcPr>
          <w:p w14:paraId="2108E237" w14:textId="1881DEBB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0.42</w:t>
            </w:r>
          </w:p>
        </w:tc>
        <w:tc>
          <w:tcPr>
            <w:tcW w:w="1618" w:type="dxa"/>
          </w:tcPr>
          <w:p w14:paraId="6CDB1233" w14:textId="494A65B4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0.93</w:t>
            </w:r>
          </w:p>
        </w:tc>
        <w:tc>
          <w:tcPr>
            <w:tcW w:w="1592" w:type="dxa"/>
          </w:tcPr>
          <w:p w14:paraId="2B560D8A" w14:textId="462C85F4" w:rsidR="003D2B65" w:rsidRDefault="003D2B65" w:rsidP="0007541F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</w:tr>
    </w:tbl>
    <w:p w14:paraId="100FA024" w14:textId="77777777" w:rsidR="003D2B65" w:rsidRDefault="003D2B65" w:rsidP="0023143D">
      <w:pPr>
        <w:spacing w:line="360" w:lineRule="auto"/>
        <w:ind w:left="700" w:hanging="700"/>
        <w:jc w:val="both"/>
        <w:rPr>
          <w:lang w:val="es-ES"/>
        </w:rPr>
      </w:pPr>
    </w:p>
    <w:sectPr w:rsidR="003D2B65" w:rsidSect="0093290B"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ED4"/>
    <w:multiLevelType w:val="hybridMultilevel"/>
    <w:tmpl w:val="B26C8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A3"/>
    <w:rsid w:val="000637AD"/>
    <w:rsid w:val="0007541F"/>
    <w:rsid w:val="000B07E6"/>
    <w:rsid w:val="000B09DE"/>
    <w:rsid w:val="0023036A"/>
    <w:rsid w:val="0023143D"/>
    <w:rsid w:val="00262ACF"/>
    <w:rsid w:val="00265F6B"/>
    <w:rsid w:val="0030067F"/>
    <w:rsid w:val="00317C29"/>
    <w:rsid w:val="0035225F"/>
    <w:rsid w:val="0037315A"/>
    <w:rsid w:val="003D2B65"/>
    <w:rsid w:val="004D0954"/>
    <w:rsid w:val="006244A3"/>
    <w:rsid w:val="0066575E"/>
    <w:rsid w:val="006915C1"/>
    <w:rsid w:val="006B2952"/>
    <w:rsid w:val="006D2AF9"/>
    <w:rsid w:val="00744E70"/>
    <w:rsid w:val="00754E3D"/>
    <w:rsid w:val="00776258"/>
    <w:rsid w:val="007B437E"/>
    <w:rsid w:val="008105DC"/>
    <w:rsid w:val="00880B05"/>
    <w:rsid w:val="008D134A"/>
    <w:rsid w:val="0093290B"/>
    <w:rsid w:val="009F7329"/>
    <w:rsid w:val="00B300B6"/>
    <w:rsid w:val="00BF5695"/>
    <w:rsid w:val="00C9377C"/>
    <w:rsid w:val="00D86236"/>
    <w:rsid w:val="00DD2CA3"/>
    <w:rsid w:val="00E732E0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EFACF"/>
  <w14:defaultImageDpi w14:val="300"/>
  <w15:docId w15:val="{521C628D-7FCD-40FF-A918-04B41D6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8"/>
    <w:rPr>
      <w:rFonts w:ascii="Lucida Grande" w:hAnsi="Lucida Grande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7541F"/>
    <w:pPr>
      <w:ind w:left="720"/>
      <w:contextualSpacing/>
    </w:pPr>
  </w:style>
  <w:style w:type="table" w:styleId="TableGrid">
    <w:name w:val="Table Grid"/>
    <w:basedOn w:val="TableNormal"/>
    <w:uiPriority w:val="59"/>
    <w:rsid w:val="003D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MARCO SANZ</dc:creator>
  <cp:keywords/>
  <dc:description/>
  <cp:lastModifiedBy>Jack Nestor 3</cp:lastModifiedBy>
  <cp:revision>2</cp:revision>
  <dcterms:created xsi:type="dcterms:W3CDTF">2017-08-03T20:36:00Z</dcterms:created>
  <dcterms:modified xsi:type="dcterms:W3CDTF">2017-08-03T20:36:00Z</dcterms:modified>
</cp:coreProperties>
</file>