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5DF194" w14:textId="77777777" w:rsidR="0040724D" w:rsidRPr="001D7F20" w:rsidRDefault="0040724D" w:rsidP="001D7F20">
      <w:pPr>
        <w:pStyle w:val="COL09sub-section"/>
        <w:jc w:val="center"/>
      </w:pPr>
      <w:r w:rsidRPr="001D7F20">
        <w:t>SUPPLEMENTARY INFORMATION</w:t>
      </w:r>
    </w:p>
    <w:p w14:paraId="6709882A" w14:textId="77777777" w:rsidR="0040724D" w:rsidRPr="001D7F20" w:rsidRDefault="0040724D" w:rsidP="001D7F20">
      <w:pPr>
        <w:pStyle w:val="01title"/>
        <w:rPr>
          <w:sz w:val="24"/>
        </w:rPr>
      </w:pPr>
      <w:r w:rsidRPr="001D7F20">
        <w:rPr>
          <w:sz w:val="24"/>
        </w:rPr>
        <w:t>Fabrication of micron-sized periodic gratings in free-standing metallic foils for laser-plasma experiments</w:t>
      </w:r>
    </w:p>
    <w:p w14:paraId="73B9A572" w14:textId="77777777" w:rsidR="0040724D" w:rsidRPr="001D7F20" w:rsidRDefault="0040724D" w:rsidP="001D7F20">
      <w:pPr>
        <w:pStyle w:val="02authors"/>
        <w:rPr>
          <w:lang w:eastAsia="zh-CN"/>
        </w:rPr>
      </w:pPr>
      <w:r w:rsidRPr="001D7F20">
        <w:rPr>
          <w:lang w:eastAsia="zh-CN"/>
        </w:rPr>
        <w:t>C</w:t>
      </w:r>
      <w:r w:rsidR="001E103A" w:rsidRPr="001D7F20">
        <w:rPr>
          <w:lang w:eastAsia="zh-CN"/>
        </w:rPr>
        <w:t>.</w:t>
      </w:r>
      <w:r w:rsidRPr="001D7F20">
        <w:rPr>
          <w:lang w:eastAsia="zh-CN"/>
        </w:rPr>
        <w:t xml:space="preserve"> C. Gheorghiu</w:t>
      </w:r>
      <w:r w:rsidRPr="001D7F20">
        <w:t xml:space="preserve"> </w:t>
      </w:r>
      <w:r w:rsidRPr="001D7F20">
        <w:rPr>
          <w:vertAlign w:val="superscript"/>
        </w:rPr>
        <w:t>1</w:t>
      </w:r>
      <w:r w:rsidRPr="001D7F20">
        <w:rPr>
          <w:lang w:eastAsia="zh-CN"/>
        </w:rPr>
        <w:t>, M. Cerchez</w:t>
      </w:r>
      <w:proofErr w:type="gramStart"/>
      <w:r w:rsidRPr="001D7F20">
        <w:rPr>
          <w:vertAlign w:val="superscript"/>
          <w:lang w:eastAsia="zh-CN"/>
        </w:rPr>
        <w:t xml:space="preserve">2 </w:t>
      </w:r>
      <w:r w:rsidRPr="001D7F20">
        <w:rPr>
          <w:lang w:eastAsia="zh-CN"/>
        </w:rPr>
        <w:t>,</w:t>
      </w:r>
      <w:proofErr w:type="gramEnd"/>
      <w:r w:rsidRPr="001D7F20">
        <w:rPr>
          <w:lang w:eastAsia="zh-CN"/>
        </w:rPr>
        <w:t xml:space="preserve"> E. Aktan</w:t>
      </w:r>
      <w:r w:rsidRPr="001D7F20">
        <w:rPr>
          <w:vertAlign w:val="superscript"/>
          <w:lang w:eastAsia="zh-CN"/>
        </w:rPr>
        <w:t>2</w:t>
      </w:r>
      <w:r w:rsidRPr="001D7F20">
        <w:rPr>
          <w:lang w:eastAsia="zh-CN"/>
        </w:rPr>
        <w:t>, R. Prasad</w:t>
      </w:r>
      <w:r w:rsidRPr="001D7F20">
        <w:rPr>
          <w:vertAlign w:val="superscript"/>
          <w:lang w:eastAsia="zh-CN"/>
        </w:rPr>
        <w:t xml:space="preserve">2 </w:t>
      </w:r>
      <w:r w:rsidRPr="001D7F20">
        <w:rPr>
          <w:lang w:eastAsia="zh-CN"/>
        </w:rPr>
        <w:t>, F. Yilmaz</w:t>
      </w:r>
      <w:r w:rsidRPr="001D7F20">
        <w:rPr>
          <w:vertAlign w:val="superscript"/>
          <w:lang w:eastAsia="zh-CN"/>
        </w:rPr>
        <w:t>2</w:t>
      </w:r>
      <w:r w:rsidRPr="001D7F20">
        <w:rPr>
          <w:lang w:eastAsia="zh-CN"/>
        </w:rPr>
        <w:t>, N. Yilmaz</w:t>
      </w:r>
      <w:r w:rsidRPr="001D7F20">
        <w:rPr>
          <w:vertAlign w:val="superscript"/>
          <w:lang w:eastAsia="zh-CN"/>
        </w:rPr>
        <w:t>2</w:t>
      </w:r>
      <w:r w:rsidRPr="001D7F20">
        <w:rPr>
          <w:lang w:eastAsia="zh-CN"/>
        </w:rPr>
        <w:t xml:space="preserve">, </w:t>
      </w:r>
      <w:r w:rsidRPr="001D7F20">
        <w:t>D</w:t>
      </w:r>
      <w:r w:rsidR="001E103A" w:rsidRPr="001D7F20">
        <w:t>.</w:t>
      </w:r>
      <w:r w:rsidRPr="001D7F20">
        <w:t xml:space="preserve"> Popa </w:t>
      </w:r>
      <w:r w:rsidRPr="001D7F20">
        <w:rPr>
          <w:vertAlign w:val="superscript"/>
        </w:rPr>
        <w:t>1</w:t>
      </w:r>
      <w:r w:rsidRPr="001D7F20">
        <w:t>,</w:t>
      </w:r>
      <w:r w:rsidRPr="001D7F20">
        <w:rPr>
          <w:vertAlign w:val="superscript"/>
          <w:lang w:eastAsia="zh-CN"/>
        </w:rPr>
        <w:t xml:space="preserve"> </w:t>
      </w:r>
      <w:r w:rsidRPr="001D7F20">
        <w:rPr>
          <w:lang w:eastAsia="zh-CN"/>
        </w:rPr>
        <w:t>O. Willi</w:t>
      </w:r>
      <w:r w:rsidRPr="001D7F20">
        <w:rPr>
          <w:vertAlign w:val="superscript"/>
          <w:lang w:eastAsia="zh-CN"/>
        </w:rPr>
        <w:t>2</w:t>
      </w:r>
      <w:r w:rsidRPr="001D7F20">
        <w:rPr>
          <w:lang w:eastAsia="zh-CN"/>
        </w:rPr>
        <w:t xml:space="preserve">, </w:t>
      </w:r>
      <w:r w:rsidRPr="001D7F20">
        <w:t xml:space="preserve">and </w:t>
      </w:r>
      <w:r w:rsidRPr="001D7F20">
        <w:rPr>
          <w:lang w:eastAsia="zh-CN"/>
        </w:rPr>
        <w:t>V</w:t>
      </w:r>
      <w:r w:rsidR="001E103A" w:rsidRPr="001D7F20">
        <w:rPr>
          <w:lang w:eastAsia="zh-CN"/>
        </w:rPr>
        <w:t>.</w:t>
      </w:r>
      <w:r w:rsidRPr="001D7F20">
        <w:rPr>
          <w:lang w:eastAsia="zh-CN"/>
        </w:rPr>
        <w:t xml:space="preserve"> Leca</w:t>
      </w:r>
      <w:r w:rsidRPr="001D7F20">
        <w:rPr>
          <w:vertAlign w:val="superscript"/>
        </w:rPr>
        <w:t xml:space="preserve"> </w:t>
      </w:r>
      <w:r w:rsidRPr="001D7F20">
        <w:rPr>
          <w:vertAlign w:val="superscript"/>
          <w:lang w:eastAsia="zh-CN"/>
        </w:rPr>
        <w:t>1</w:t>
      </w:r>
    </w:p>
    <w:p w14:paraId="340CFFB9" w14:textId="77777777" w:rsidR="0040724D" w:rsidRPr="001D7F20" w:rsidRDefault="0040724D" w:rsidP="001D7F20">
      <w:pPr>
        <w:snapToGrid w:val="0"/>
        <w:spacing w:after="60" w:line="480" w:lineRule="auto"/>
        <w:jc w:val="center"/>
        <w:rPr>
          <w:i/>
          <w:lang w:val="de-DE" w:eastAsia="zh-CN"/>
        </w:rPr>
      </w:pPr>
      <w:r w:rsidRPr="001D7F20">
        <w:rPr>
          <w:vertAlign w:val="superscript"/>
        </w:rPr>
        <w:t xml:space="preserve">1 </w:t>
      </w:r>
      <w:r w:rsidRPr="001D7F20">
        <w:rPr>
          <w:i/>
          <w:lang w:eastAsia="zh-CN"/>
        </w:rPr>
        <w:t xml:space="preserve">Extreme Light Infrastructure – Nuclear Physics, Horia Hulubei National Institute for Physics and Nuclear Engineering. </w:t>
      </w:r>
      <w:r w:rsidRPr="001D7F20">
        <w:rPr>
          <w:i/>
          <w:lang w:val="de-DE" w:eastAsia="zh-CN"/>
        </w:rPr>
        <w:t>30 Reactorului Street, RO-077125, Magurele, Romania</w:t>
      </w:r>
    </w:p>
    <w:p w14:paraId="71BB390A" w14:textId="77777777" w:rsidR="0040724D" w:rsidRPr="001D7F20" w:rsidRDefault="0040724D" w:rsidP="001D7F20">
      <w:pPr>
        <w:snapToGrid w:val="0"/>
        <w:spacing w:after="60" w:line="480" w:lineRule="auto"/>
        <w:jc w:val="center"/>
        <w:rPr>
          <w:i/>
          <w:lang w:val="de-DE" w:eastAsia="zh-CN"/>
        </w:rPr>
      </w:pPr>
      <w:r w:rsidRPr="001D7F20">
        <w:rPr>
          <w:vertAlign w:val="superscript"/>
          <w:lang w:val="de-DE"/>
        </w:rPr>
        <w:t>2</w:t>
      </w:r>
      <w:r w:rsidRPr="001D7F20">
        <w:rPr>
          <w:i/>
          <w:iCs/>
          <w:lang w:val="de-DE"/>
        </w:rPr>
        <w:t xml:space="preserve"> </w:t>
      </w:r>
      <w:r w:rsidRPr="001D7F20">
        <w:rPr>
          <w:i/>
          <w:lang w:val="de-DE" w:eastAsia="zh-CN"/>
        </w:rPr>
        <w:t>Institut für Laser- und Plasmaphysik, Heinrich-Heine-Universität, Universitätstr 1, D-40225, Düsseldorf, Germany</w:t>
      </w:r>
    </w:p>
    <w:p w14:paraId="368836DC" w14:textId="77777777" w:rsidR="0040724D" w:rsidRPr="001D7F20" w:rsidRDefault="0040724D" w:rsidP="001D7F20">
      <w:pPr>
        <w:pStyle w:val="COL09sub-section"/>
        <w:jc w:val="center"/>
        <w:rPr>
          <w:lang w:val="de-DE"/>
        </w:rPr>
      </w:pPr>
    </w:p>
    <w:p w14:paraId="250A5150" w14:textId="43823391" w:rsidR="00F501E2" w:rsidRDefault="00F501E2" w:rsidP="001D7F20">
      <w:pPr>
        <w:pStyle w:val="COL09sub-section"/>
      </w:pPr>
      <w:r>
        <w:t>1. Micro-gratings fabrication.</w:t>
      </w:r>
    </w:p>
    <w:p w14:paraId="70A9740B" w14:textId="176E8A91" w:rsidR="00F501E2" w:rsidRDefault="00F501E2" w:rsidP="00F501E2">
      <w:pPr>
        <w:spacing w:line="480" w:lineRule="auto"/>
        <w:rPr>
          <w:lang w:val="en-GB"/>
        </w:rPr>
      </w:pPr>
      <w:r w:rsidRPr="0015116E">
        <w:rPr>
          <w:color w:val="000000" w:themeColor="text1"/>
          <w:lang w:val="en-GB"/>
        </w:rPr>
        <w:t>The patterning process of the metallic foils, from cold rolling and cleaning step, to electron beam exposure, development and dry etching, is depicted in Fig</w:t>
      </w:r>
      <w:r w:rsidR="00DF5872">
        <w:rPr>
          <w:color w:val="000000" w:themeColor="text1"/>
          <w:lang w:val="en-GB"/>
        </w:rPr>
        <w:t>ure</w:t>
      </w:r>
      <w:r w:rsidRPr="0015116E">
        <w:rPr>
          <w:color w:val="000000" w:themeColor="text1"/>
          <w:lang w:val="en-GB"/>
        </w:rPr>
        <w:t xml:space="preserve"> </w:t>
      </w:r>
      <w:r>
        <w:rPr>
          <w:color w:val="000000" w:themeColor="text1"/>
          <w:lang w:val="en-GB"/>
        </w:rPr>
        <w:t>S1</w:t>
      </w:r>
      <w:r w:rsidRPr="0015116E">
        <w:rPr>
          <w:color w:val="000000" w:themeColor="text1"/>
          <w:lang w:val="en-GB"/>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0"/>
      </w:tblGrid>
      <w:tr w:rsidR="00F501E2" w:rsidRPr="0015116E" w14:paraId="35F4ACB5" w14:textId="77777777" w:rsidTr="005E42EA">
        <w:trPr>
          <w:jc w:val="center"/>
        </w:trPr>
        <w:tc>
          <w:tcPr>
            <w:tcW w:w="9060" w:type="dxa"/>
          </w:tcPr>
          <w:p w14:paraId="2FD5BE5C" w14:textId="77777777" w:rsidR="00F501E2" w:rsidRPr="0015116E" w:rsidRDefault="00F501E2" w:rsidP="005E42EA">
            <w:pPr>
              <w:pStyle w:val="08text"/>
              <w:jc w:val="center"/>
              <w:rPr>
                <w:color w:val="000000" w:themeColor="text1"/>
                <w:lang w:val="en-GB"/>
              </w:rPr>
            </w:pPr>
            <w:r w:rsidRPr="0015116E">
              <w:rPr>
                <w:noProof/>
                <w:color w:val="000000" w:themeColor="text1"/>
                <w:lang w:val="ro-RO" w:eastAsia="ro-RO"/>
              </w:rPr>
              <w:drawing>
                <wp:inline distT="0" distB="0" distL="0" distR="0" wp14:anchorId="5FF3265F" wp14:editId="0E13E1BB">
                  <wp:extent cx="4500000" cy="27111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00000" cy="2711160"/>
                          </a:xfrm>
                          <a:prstGeom prst="rect">
                            <a:avLst/>
                          </a:prstGeom>
                        </pic:spPr>
                      </pic:pic>
                    </a:graphicData>
                  </a:graphic>
                </wp:inline>
              </w:drawing>
            </w:r>
          </w:p>
        </w:tc>
      </w:tr>
      <w:tr w:rsidR="00F501E2" w:rsidRPr="0015116E" w14:paraId="3C87F073" w14:textId="77777777" w:rsidTr="005E42EA">
        <w:trPr>
          <w:jc w:val="center"/>
        </w:trPr>
        <w:tc>
          <w:tcPr>
            <w:tcW w:w="9060" w:type="dxa"/>
          </w:tcPr>
          <w:p w14:paraId="06927B11" w14:textId="683BCDE3" w:rsidR="00F501E2" w:rsidRPr="0015116E" w:rsidRDefault="00F501E2" w:rsidP="005E42EA">
            <w:pPr>
              <w:pStyle w:val="Caption"/>
              <w:spacing w:after="240" w:line="480" w:lineRule="auto"/>
              <w:jc w:val="both"/>
              <w:rPr>
                <w:rFonts w:ascii="Times New Roman" w:hAnsi="Times New Roman"/>
                <w:i w:val="0"/>
                <w:iCs w:val="0"/>
                <w:color w:val="000000" w:themeColor="text1"/>
                <w:sz w:val="20"/>
                <w:szCs w:val="20"/>
                <w:lang w:val="en-GB"/>
              </w:rPr>
            </w:pPr>
            <w:r w:rsidRPr="0015116E">
              <w:rPr>
                <w:rFonts w:ascii="Times New Roman" w:hAnsi="Times New Roman"/>
                <w:i w:val="0"/>
                <w:iCs w:val="0"/>
                <w:color w:val="000000" w:themeColor="text1"/>
                <w:sz w:val="20"/>
                <w:szCs w:val="20"/>
                <w:lang w:val="en-GB"/>
              </w:rPr>
              <w:t xml:space="preserve">Figure </w:t>
            </w:r>
            <w:r>
              <w:rPr>
                <w:rFonts w:ascii="Times New Roman" w:hAnsi="Times New Roman"/>
                <w:i w:val="0"/>
                <w:iCs w:val="0"/>
                <w:color w:val="000000" w:themeColor="text1"/>
                <w:sz w:val="20"/>
                <w:szCs w:val="20"/>
                <w:lang w:val="en-GB"/>
              </w:rPr>
              <w:t>S1</w:t>
            </w:r>
            <w:r w:rsidRPr="0015116E">
              <w:rPr>
                <w:rFonts w:ascii="Times New Roman" w:hAnsi="Times New Roman"/>
                <w:i w:val="0"/>
                <w:iCs w:val="0"/>
                <w:color w:val="000000" w:themeColor="text1"/>
                <w:sz w:val="20"/>
                <w:szCs w:val="20"/>
                <w:lang w:val="en-GB"/>
              </w:rPr>
              <w:t>. Scheme of the micro-grating process showing the fabrication steps from the as-received metallic foil (Au or Cu) to the patterned foil (representation not at scale).</w:t>
            </w:r>
          </w:p>
        </w:tc>
      </w:tr>
    </w:tbl>
    <w:p w14:paraId="46204B3C" w14:textId="7C77C259" w:rsidR="00F501E2" w:rsidRDefault="00F501E2" w:rsidP="00F501E2">
      <w:pPr>
        <w:spacing w:line="480" w:lineRule="auto"/>
      </w:pPr>
    </w:p>
    <w:p w14:paraId="3FCD28FC" w14:textId="02464815" w:rsidR="00762757" w:rsidRPr="009516A4" w:rsidRDefault="00762757" w:rsidP="009516A4">
      <w:pPr>
        <w:spacing w:line="480" w:lineRule="auto"/>
        <w:jc w:val="both"/>
        <w:rPr>
          <w:b/>
          <w:bCs/>
          <w:color w:val="000000" w:themeColor="text1"/>
          <w:lang w:val="en-GB"/>
        </w:rPr>
      </w:pPr>
      <w:r w:rsidRPr="009516A4">
        <w:rPr>
          <w:b/>
          <w:bCs/>
          <w:color w:val="000000" w:themeColor="text1"/>
          <w:lang w:val="en-GB"/>
        </w:rPr>
        <w:lastRenderedPageBreak/>
        <w:t xml:space="preserve">2. Optimization of the </w:t>
      </w:r>
      <w:r>
        <w:rPr>
          <w:b/>
          <w:bCs/>
          <w:color w:val="000000" w:themeColor="text1"/>
          <w:lang w:val="en-GB"/>
        </w:rPr>
        <w:t xml:space="preserve">resist removal </w:t>
      </w:r>
      <w:r w:rsidRPr="009516A4">
        <w:rPr>
          <w:b/>
          <w:bCs/>
          <w:color w:val="000000" w:themeColor="text1"/>
          <w:lang w:val="en-GB"/>
        </w:rPr>
        <w:t>process</w:t>
      </w:r>
    </w:p>
    <w:p w14:paraId="45EBC428" w14:textId="77777777" w:rsidR="005150F2" w:rsidRDefault="005150F2" w:rsidP="006478E8">
      <w:pPr>
        <w:spacing w:line="480" w:lineRule="auto"/>
        <w:jc w:val="both"/>
        <w:rPr>
          <w:color w:val="000000" w:themeColor="text1"/>
          <w:lang w:val="en-GB"/>
        </w:rPr>
      </w:pPr>
      <w:r>
        <w:rPr>
          <w:color w:val="000000" w:themeColor="text1"/>
          <w:lang w:val="en-GB"/>
        </w:rPr>
        <w:t xml:space="preserve">Regarding the optimization of the resist removal, different physical and chemical methods have been used. Physical methods include: </w:t>
      </w:r>
      <w:r w:rsidRPr="0015116E">
        <w:rPr>
          <w:color w:val="000000" w:themeColor="text1"/>
          <w:lang w:val="en-GB"/>
        </w:rPr>
        <w:t xml:space="preserve">Ar-ion milling (using the same conditions as for the cleaning step) and </w:t>
      </w:r>
      <w:bookmarkStart w:id="0" w:name="_Hlk36478396"/>
      <w:r w:rsidRPr="0015116E">
        <w:rPr>
          <w:color w:val="000000" w:themeColor="text1"/>
          <w:lang w:val="en-GB"/>
        </w:rPr>
        <w:t xml:space="preserve">plasma etching in a RIE system, </w:t>
      </w:r>
      <w:bookmarkEnd w:id="0"/>
      <w:r w:rsidRPr="0015116E">
        <w:rPr>
          <w:color w:val="000000" w:themeColor="text1"/>
          <w:lang w:val="en-GB"/>
        </w:rPr>
        <w:t>specifically: oxygen plasma (HF at 250 W; ICP at 500 W) and Ar plasma (HF at 250 W)</w:t>
      </w:r>
      <w:r>
        <w:rPr>
          <w:color w:val="000000" w:themeColor="text1"/>
          <w:lang w:val="en-GB"/>
        </w:rPr>
        <w:t xml:space="preserve">. As for the chemical methods, several stripper solutions have been considered, </w:t>
      </w:r>
      <w:r w:rsidRPr="0015116E">
        <w:rPr>
          <w:color w:val="000000" w:themeColor="text1"/>
          <w:lang w:val="en-GB"/>
        </w:rPr>
        <w:t xml:space="preserve">as follows: </w:t>
      </w:r>
      <w:r w:rsidRPr="0015116E">
        <w:rPr>
          <w:i/>
          <w:color w:val="000000" w:themeColor="text1"/>
          <w:lang w:val="en-GB"/>
        </w:rPr>
        <w:t>i)</w:t>
      </w:r>
      <w:r w:rsidRPr="0015116E">
        <w:rPr>
          <w:color w:val="000000" w:themeColor="text1"/>
          <w:lang w:val="en-GB"/>
        </w:rPr>
        <w:t xml:space="preserve"> for Cu foils: acetone (at RT and 55 °C), P1316 stripper (tetramethylammonium hydroxide solution &lt;2.5%, at RT and 90 °C); </w:t>
      </w:r>
      <w:r w:rsidRPr="0015116E">
        <w:rPr>
          <w:i/>
          <w:color w:val="000000" w:themeColor="text1"/>
          <w:lang w:val="en-GB"/>
        </w:rPr>
        <w:t>ii)</w:t>
      </w:r>
      <w:r w:rsidRPr="0015116E">
        <w:rPr>
          <w:color w:val="000000" w:themeColor="text1"/>
          <w:lang w:val="en-GB"/>
        </w:rPr>
        <w:t xml:space="preserve"> for Au foils: acetone (at RT and 55 °C), nitric acid (HNO</w:t>
      </w:r>
      <w:r w:rsidRPr="0015116E">
        <w:rPr>
          <w:color w:val="000000" w:themeColor="text1"/>
          <w:vertAlign w:val="subscript"/>
          <w:lang w:val="en-GB"/>
        </w:rPr>
        <w:t>3</w:t>
      </w:r>
      <w:r w:rsidRPr="0015116E">
        <w:rPr>
          <w:color w:val="000000" w:themeColor="text1"/>
          <w:lang w:val="en-GB"/>
        </w:rPr>
        <w:t>, ACS reagent, 70%), ACI2 etchant (potassium iodide solution 2.5-10%), P1316 stripper, chloroform, and potassium hydroxide solution (30-50 %). Chemical removers have been used both as a puddle and/or in an ultrasound (US) bath with controlled frequency, time, and temperature.</w:t>
      </w:r>
      <w:r>
        <w:rPr>
          <w:color w:val="000000" w:themeColor="text1"/>
          <w:lang w:val="en-GB"/>
        </w:rPr>
        <w:t xml:space="preserve"> </w:t>
      </w:r>
    </w:p>
    <w:p w14:paraId="24518186" w14:textId="3428BB71" w:rsidR="006F059A" w:rsidRDefault="005150F2" w:rsidP="006478E8">
      <w:pPr>
        <w:spacing w:line="480" w:lineRule="auto"/>
        <w:ind w:firstLine="426"/>
        <w:jc w:val="both"/>
        <w:rPr>
          <w:color w:val="000000" w:themeColor="text1"/>
          <w:lang w:val="en-GB"/>
        </w:rPr>
      </w:pPr>
      <w:r>
        <w:rPr>
          <w:color w:val="000000" w:themeColor="text1"/>
          <w:lang w:val="en-GB"/>
        </w:rPr>
        <w:t>A</w:t>
      </w:r>
      <w:r w:rsidR="00762757" w:rsidRPr="0015116E">
        <w:rPr>
          <w:color w:val="000000" w:themeColor="text1"/>
          <w:lang w:val="en-GB"/>
        </w:rPr>
        <w:t>s the results indicate (Fig</w:t>
      </w:r>
      <w:r w:rsidR="00DF5872">
        <w:rPr>
          <w:color w:val="000000" w:themeColor="text1"/>
          <w:lang w:val="en-GB"/>
        </w:rPr>
        <w:t>ure</w:t>
      </w:r>
      <w:r w:rsidR="00762757" w:rsidRPr="0015116E">
        <w:rPr>
          <w:color w:val="000000" w:themeColor="text1"/>
          <w:lang w:val="en-GB"/>
        </w:rPr>
        <w:t xml:space="preserve"> </w:t>
      </w:r>
      <w:r w:rsidR="009516A4">
        <w:rPr>
          <w:color w:val="000000" w:themeColor="text1"/>
          <w:lang w:val="en-GB"/>
        </w:rPr>
        <w:t>S2</w:t>
      </w:r>
      <w:r w:rsidR="002F11F2">
        <w:rPr>
          <w:color w:val="000000" w:themeColor="text1"/>
          <w:lang w:val="en-GB"/>
        </w:rPr>
        <w:t xml:space="preserve"> for the Cu foil and Fig</w:t>
      </w:r>
      <w:r w:rsidR="00DF5872">
        <w:rPr>
          <w:color w:val="000000" w:themeColor="text1"/>
          <w:lang w:val="en-GB"/>
        </w:rPr>
        <w:t>ure</w:t>
      </w:r>
      <w:r w:rsidR="002F11F2">
        <w:rPr>
          <w:color w:val="000000" w:themeColor="text1"/>
          <w:lang w:val="en-GB"/>
        </w:rPr>
        <w:t xml:space="preserve"> S3 for Au foil, along with </w:t>
      </w:r>
      <w:r w:rsidR="00762757" w:rsidRPr="0015116E">
        <w:rPr>
          <w:color w:val="000000" w:themeColor="text1"/>
          <w:lang w:val="en-GB"/>
        </w:rPr>
        <w:t xml:space="preserve">Table </w:t>
      </w:r>
      <w:r w:rsidR="009516A4">
        <w:rPr>
          <w:color w:val="000000" w:themeColor="text1"/>
          <w:lang w:val="en-GB"/>
        </w:rPr>
        <w:t>S1</w:t>
      </w:r>
      <w:r w:rsidR="00762757" w:rsidRPr="0015116E">
        <w:rPr>
          <w:color w:val="000000" w:themeColor="text1"/>
          <w:lang w:val="en-GB"/>
        </w:rPr>
        <w:t>), washing P1316 stripper (at RT or heated) or with acetone is not sufficient to remove all the remaining resist (Fig</w:t>
      </w:r>
      <w:r w:rsidR="00DF5872">
        <w:rPr>
          <w:color w:val="000000" w:themeColor="text1"/>
          <w:lang w:val="en-GB"/>
        </w:rPr>
        <w:t>ure</w:t>
      </w:r>
      <w:r w:rsidR="00762757" w:rsidRPr="0015116E">
        <w:rPr>
          <w:color w:val="000000" w:themeColor="text1"/>
          <w:lang w:val="en-GB"/>
        </w:rPr>
        <w:t xml:space="preserve"> </w:t>
      </w:r>
      <w:r w:rsidR="009516A4">
        <w:rPr>
          <w:color w:val="000000" w:themeColor="text1"/>
          <w:lang w:val="en-GB"/>
        </w:rPr>
        <w:t>S2</w:t>
      </w:r>
      <w:r w:rsidR="003E4C29">
        <w:rPr>
          <w:color w:val="000000" w:themeColor="text1"/>
          <w:lang w:val="en-GB"/>
        </w:rPr>
        <w:t>.</w:t>
      </w:r>
      <w:r w:rsidR="00762757" w:rsidRPr="0015116E">
        <w:rPr>
          <w:color w:val="000000" w:themeColor="text1"/>
          <w:lang w:val="en-GB"/>
        </w:rPr>
        <w:t>a</w:t>
      </w:r>
      <w:r w:rsidR="002F11F2">
        <w:rPr>
          <w:color w:val="000000" w:themeColor="text1"/>
          <w:lang w:val="en-GB"/>
        </w:rPr>
        <w:t>-b</w:t>
      </w:r>
      <w:r w:rsidR="00762757" w:rsidRPr="0015116E">
        <w:rPr>
          <w:color w:val="000000" w:themeColor="text1"/>
          <w:lang w:val="en-GB"/>
        </w:rPr>
        <w:t xml:space="preserve">, for </w:t>
      </w:r>
      <w:r w:rsidR="002F11F2">
        <w:rPr>
          <w:color w:val="000000" w:themeColor="text1"/>
          <w:lang w:val="en-GB"/>
        </w:rPr>
        <w:t xml:space="preserve">acetone and </w:t>
      </w:r>
      <w:r w:rsidR="002F11F2" w:rsidRPr="002F11F2">
        <w:rPr>
          <w:color w:val="000000" w:themeColor="text1"/>
          <w:lang w:val="en-GB"/>
        </w:rPr>
        <w:t>Fig</w:t>
      </w:r>
      <w:r w:rsidR="00DF5872">
        <w:rPr>
          <w:color w:val="000000" w:themeColor="text1"/>
          <w:lang w:val="en-GB"/>
        </w:rPr>
        <w:t>ure</w:t>
      </w:r>
      <w:r w:rsidR="002F11F2" w:rsidRPr="002F11F2">
        <w:rPr>
          <w:color w:val="000000" w:themeColor="text1"/>
          <w:lang w:val="en-GB"/>
        </w:rPr>
        <w:t xml:space="preserve"> </w:t>
      </w:r>
      <w:r w:rsidR="002F11F2">
        <w:rPr>
          <w:color w:val="000000" w:themeColor="text1"/>
          <w:lang w:val="en-GB"/>
        </w:rPr>
        <w:t>S2</w:t>
      </w:r>
      <w:r w:rsidR="003E4C29">
        <w:rPr>
          <w:color w:val="000000" w:themeColor="text1"/>
          <w:lang w:val="en-GB"/>
        </w:rPr>
        <w:t>.</w:t>
      </w:r>
      <w:r w:rsidR="002F11F2" w:rsidRPr="002F11F2">
        <w:rPr>
          <w:color w:val="000000" w:themeColor="text1"/>
          <w:lang w:val="en-GB"/>
        </w:rPr>
        <w:t>c-d, Fig</w:t>
      </w:r>
      <w:r w:rsidR="00DF5872">
        <w:rPr>
          <w:color w:val="000000" w:themeColor="text1"/>
          <w:lang w:val="en-GB"/>
        </w:rPr>
        <w:t>ure</w:t>
      </w:r>
      <w:r w:rsidR="002F11F2">
        <w:rPr>
          <w:color w:val="000000" w:themeColor="text1"/>
          <w:lang w:val="en-GB"/>
        </w:rPr>
        <w:t xml:space="preserve"> S3</w:t>
      </w:r>
      <w:r w:rsidR="003E4C29">
        <w:rPr>
          <w:color w:val="000000" w:themeColor="text1"/>
          <w:lang w:val="en-GB"/>
        </w:rPr>
        <w:t>.</w:t>
      </w:r>
      <w:r w:rsidR="002F11F2" w:rsidRPr="002F11F2">
        <w:rPr>
          <w:color w:val="000000" w:themeColor="text1"/>
          <w:lang w:val="en-GB"/>
        </w:rPr>
        <w:t>a, for stripper</w:t>
      </w:r>
      <w:r w:rsidR="00762757" w:rsidRPr="0015116E">
        <w:rPr>
          <w:color w:val="000000" w:themeColor="text1"/>
          <w:lang w:val="en-GB"/>
        </w:rPr>
        <w:t xml:space="preserve">). </w:t>
      </w:r>
      <w:r w:rsidR="002F11F2" w:rsidRPr="002F11F2">
        <w:rPr>
          <w:color w:val="000000" w:themeColor="text1"/>
          <w:lang w:val="en-GB"/>
        </w:rPr>
        <w:t>Long-term US bath (Fig</w:t>
      </w:r>
      <w:r w:rsidR="00DF5872">
        <w:rPr>
          <w:color w:val="000000" w:themeColor="text1"/>
          <w:lang w:val="en-GB"/>
        </w:rPr>
        <w:t>ure</w:t>
      </w:r>
      <w:r w:rsidR="002F11F2">
        <w:rPr>
          <w:color w:val="000000" w:themeColor="text1"/>
          <w:lang w:val="en-GB"/>
        </w:rPr>
        <w:t xml:space="preserve"> S2</w:t>
      </w:r>
      <w:r w:rsidR="003E4C29">
        <w:rPr>
          <w:color w:val="000000" w:themeColor="text1"/>
          <w:lang w:val="en-GB"/>
        </w:rPr>
        <w:t>.b)</w:t>
      </w:r>
      <w:r w:rsidR="002F11F2" w:rsidRPr="002F11F2">
        <w:rPr>
          <w:color w:val="000000" w:themeColor="text1"/>
          <w:lang w:val="en-GB"/>
        </w:rPr>
        <w:t xml:space="preserve"> or </w:t>
      </w:r>
      <w:r w:rsidR="002F11F2">
        <w:rPr>
          <w:color w:val="000000" w:themeColor="text1"/>
          <w:lang w:val="en-GB"/>
        </w:rPr>
        <w:t>o</w:t>
      </w:r>
      <w:r w:rsidR="00762757" w:rsidRPr="0015116E">
        <w:rPr>
          <w:color w:val="000000" w:themeColor="text1"/>
          <w:lang w:val="en-GB"/>
        </w:rPr>
        <w:t>xygen plasma by RIE process (Fig</w:t>
      </w:r>
      <w:r w:rsidR="00DF5872">
        <w:rPr>
          <w:color w:val="000000" w:themeColor="text1"/>
          <w:lang w:val="en-GB"/>
        </w:rPr>
        <w:t>ure</w:t>
      </w:r>
      <w:r w:rsidR="00762757" w:rsidRPr="0015116E">
        <w:rPr>
          <w:color w:val="000000" w:themeColor="text1"/>
          <w:lang w:val="en-GB"/>
        </w:rPr>
        <w:t xml:space="preserve"> </w:t>
      </w:r>
      <w:r w:rsidR="009516A4">
        <w:rPr>
          <w:color w:val="000000" w:themeColor="text1"/>
          <w:lang w:val="en-GB"/>
        </w:rPr>
        <w:t>S2</w:t>
      </w:r>
      <w:r w:rsidR="003E4C29">
        <w:rPr>
          <w:color w:val="000000" w:themeColor="text1"/>
          <w:lang w:val="en-GB"/>
        </w:rPr>
        <w:t>.</w:t>
      </w:r>
      <w:r w:rsidR="002F11F2">
        <w:rPr>
          <w:color w:val="000000" w:themeColor="text1"/>
          <w:lang w:val="en-GB"/>
        </w:rPr>
        <w:t>g</w:t>
      </w:r>
      <w:r w:rsidR="00762757" w:rsidRPr="0015116E">
        <w:rPr>
          <w:color w:val="000000" w:themeColor="text1"/>
          <w:lang w:val="en-GB"/>
        </w:rPr>
        <w:t xml:space="preserve">) </w:t>
      </w:r>
      <w:r w:rsidR="002F11F2" w:rsidRPr="002F11F2">
        <w:rPr>
          <w:color w:val="000000" w:themeColor="text1"/>
          <w:lang w:val="en-GB"/>
        </w:rPr>
        <w:t>proved to be destructive for the Cu grating-patterns (strong oxidation occurs in the latter case)</w:t>
      </w:r>
      <w:r w:rsidR="00762757" w:rsidRPr="0015116E">
        <w:rPr>
          <w:color w:val="000000" w:themeColor="text1"/>
          <w:lang w:val="en-GB"/>
        </w:rPr>
        <w:t xml:space="preserve">, </w:t>
      </w:r>
      <w:r w:rsidR="002F11F2" w:rsidRPr="002F11F2">
        <w:rPr>
          <w:color w:val="000000" w:themeColor="text1"/>
          <w:lang w:val="en-GB"/>
        </w:rPr>
        <w:t>and insufficient for Au gratings (Fig</w:t>
      </w:r>
      <w:r w:rsidR="00DF5872">
        <w:rPr>
          <w:color w:val="000000" w:themeColor="text1"/>
          <w:lang w:val="en-GB"/>
        </w:rPr>
        <w:t>ure</w:t>
      </w:r>
      <w:r w:rsidR="002F11F2" w:rsidRPr="002F11F2">
        <w:rPr>
          <w:color w:val="000000" w:themeColor="text1"/>
          <w:lang w:val="en-GB"/>
        </w:rPr>
        <w:t xml:space="preserve"> </w:t>
      </w:r>
      <w:r w:rsidR="002F11F2">
        <w:rPr>
          <w:color w:val="000000" w:themeColor="text1"/>
          <w:lang w:val="en-GB"/>
        </w:rPr>
        <w:t>S3</w:t>
      </w:r>
      <w:r w:rsidR="003E4C29">
        <w:rPr>
          <w:color w:val="000000" w:themeColor="text1"/>
          <w:lang w:val="en-GB"/>
        </w:rPr>
        <w:t>.</w:t>
      </w:r>
      <w:r w:rsidR="002F11F2" w:rsidRPr="002F11F2">
        <w:rPr>
          <w:color w:val="000000" w:themeColor="text1"/>
          <w:lang w:val="en-GB"/>
        </w:rPr>
        <w:t>d-e)</w:t>
      </w:r>
      <w:r w:rsidR="00762757" w:rsidRPr="0015116E">
        <w:rPr>
          <w:color w:val="000000" w:themeColor="text1"/>
          <w:lang w:val="en-GB"/>
        </w:rPr>
        <w:t>. Although resist removal for structures on Cu foils (</w:t>
      </w:r>
      <w:r w:rsidR="002F11F2" w:rsidRPr="002F11F2">
        <w:rPr>
          <w:color w:val="000000" w:themeColor="text1"/>
          <w:lang w:val="en-GB"/>
        </w:rPr>
        <w:t>Fig</w:t>
      </w:r>
      <w:r w:rsidR="00DF5872">
        <w:rPr>
          <w:color w:val="000000" w:themeColor="text1"/>
          <w:lang w:val="en-GB"/>
        </w:rPr>
        <w:t>ure</w:t>
      </w:r>
      <w:r w:rsidR="002F11F2">
        <w:rPr>
          <w:color w:val="000000" w:themeColor="text1"/>
          <w:lang w:val="en-GB"/>
        </w:rPr>
        <w:t xml:space="preserve"> S2</w:t>
      </w:r>
      <w:r w:rsidR="003E4C29">
        <w:rPr>
          <w:color w:val="000000" w:themeColor="text1"/>
          <w:lang w:val="en-GB"/>
        </w:rPr>
        <w:t>.</w:t>
      </w:r>
      <w:r w:rsidR="002F11F2" w:rsidRPr="002F11F2">
        <w:rPr>
          <w:color w:val="000000" w:themeColor="text1"/>
          <w:lang w:val="en-GB"/>
        </w:rPr>
        <w:t>e-f</w:t>
      </w:r>
      <w:r w:rsidR="00762757" w:rsidRPr="0015116E">
        <w:rPr>
          <w:color w:val="000000" w:themeColor="text1"/>
          <w:lang w:val="en-GB"/>
        </w:rPr>
        <w:t xml:space="preserve">) by means of RIE Ar plasma was more efficient at higher power (HF and ICP) and longer </w:t>
      </w:r>
      <w:r w:rsidR="00D362F5" w:rsidRPr="0015116E">
        <w:rPr>
          <w:color w:val="000000" w:themeColor="text1"/>
          <w:lang w:val="en-GB"/>
        </w:rPr>
        <w:t>etching time</w:t>
      </w:r>
      <w:r w:rsidR="00D362F5">
        <w:rPr>
          <w:color w:val="000000" w:themeColor="text1"/>
          <w:lang w:val="en-GB"/>
        </w:rPr>
        <w:t>,</w:t>
      </w:r>
      <w:r w:rsidR="006F059A">
        <w:rPr>
          <w:color w:val="000000" w:themeColor="text1"/>
          <w:lang w:val="en-GB"/>
        </w:rPr>
        <w:t xml:space="preserve"> </w:t>
      </w:r>
      <w:r w:rsidR="006F059A" w:rsidRPr="0015116E">
        <w:rPr>
          <w:color w:val="000000" w:themeColor="text1"/>
          <w:lang w:val="en-GB"/>
        </w:rPr>
        <w:t xml:space="preserve">the process was detrimental to the quality of the gratings and to the smoothness of their edges. </w:t>
      </w:r>
    </w:p>
    <w:p w14:paraId="19ABB6B2" w14:textId="759575F7" w:rsidR="009F27EC" w:rsidRPr="0015116E" w:rsidRDefault="009F27EC" w:rsidP="009F27EC">
      <w:pPr>
        <w:spacing w:line="480" w:lineRule="auto"/>
        <w:ind w:firstLine="426"/>
        <w:jc w:val="both"/>
        <w:rPr>
          <w:color w:val="000000" w:themeColor="text1"/>
          <w:lang w:val="en-GB"/>
        </w:rPr>
      </w:pPr>
      <w:r w:rsidRPr="0015116E">
        <w:rPr>
          <w:color w:val="000000" w:themeColor="text1"/>
          <w:lang w:val="en-GB"/>
        </w:rPr>
        <w:t xml:space="preserve">For Au structures, long-term puddle solution of nitric acid </w:t>
      </w:r>
      <w:r>
        <w:rPr>
          <w:color w:val="000000" w:themeColor="text1"/>
          <w:lang w:val="en-GB"/>
        </w:rPr>
        <w:t xml:space="preserve">(Figure S3.b) </w:t>
      </w:r>
      <w:r w:rsidRPr="0015116E">
        <w:rPr>
          <w:color w:val="000000" w:themeColor="text1"/>
          <w:lang w:val="en-GB"/>
        </w:rPr>
        <w:t>was found to be an inefficient removal method (similar as for chemical etching), while the use of short-time puddle</w:t>
      </w:r>
      <w:r w:rsidRPr="0015116E" w:rsidDel="005C3C8D">
        <w:rPr>
          <w:color w:val="000000" w:themeColor="text1"/>
          <w:lang w:val="en-GB"/>
        </w:rPr>
        <w:t xml:space="preserve"> </w:t>
      </w:r>
      <w:r w:rsidRPr="0015116E">
        <w:rPr>
          <w:color w:val="000000" w:themeColor="text1"/>
          <w:lang w:val="en-GB"/>
        </w:rPr>
        <w:t>solution of Au etchant resulted in a sand-like aspect morphology due to high KI reactivity with the Au</w:t>
      </w:r>
      <w:r>
        <w:rPr>
          <w:color w:val="000000" w:themeColor="text1"/>
          <w:lang w:val="en-GB"/>
        </w:rPr>
        <w:t xml:space="preserve"> </w:t>
      </w:r>
      <w:r w:rsidRPr="0015116E">
        <w:rPr>
          <w:color w:val="000000" w:themeColor="text1"/>
          <w:lang w:val="en-GB"/>
        </w:rPr>
        <w:t>surface (Fig</w:t>
      </w:r>
      <w:r>
        <w:rPr>
          <w:color w:val="000000" w:themeColor="text1"/>
          <w:lang w:val="en-GB"/>
        </w:rPr>
        <w:t>ure</w:t>
      </w:r>
      <w:r w:rsidRPr="0015116E">
        <w:rPr>
          <w:color w:val="000000" w:themeColor="text1"/>
          <w:lang w:val="en-GB"/>
        </w:rPr>
        <w:t xml:space="preserve"> </w:t>
      </w:r>
      <w:r>
        <w:rPr>
          <w:color w:val="000000" w:themeColor="text1"/>
          <w:lang w:val="en-GB"/>
        </w:rPr>
        <w:t>S3.c</w:t>
      </w:r>
      <w:r w:rsidRPr="0015116E">
        <w:rPr>
          <w:color w:val="000000" w:themeColor="text1"/>
          <w:lang w:val="en-GB"/>
        </w:rPr>
        <w:t>). Chloroform puddle and potassium hydroxide</w:t>
      </w:r>
      <w:r w:rsidR="0026061F">
        <w:rPr>
          <w:color w:val="000000" w:themeColor="text1"/>
          <w:lang w:val="en-GB"/>
        </w:rPr>
        <w:t xml:space="preserve"> </w:t>
      </w:r>
      <w:r w:rsidR="0026061F" w:rsidRPr="0015116E">
        <w:rPr>
          <w:color w:val="000000" w:themeColor="text1"/>
          <w:lang w:val="en-GB"/>
        </w:rPr>
        <w:t>solution (not depicted here) also did not show any significant influence in the removal</w:t>
      </w:r>
      <w:r w:rsidR="0026061F">
        <w:rPr>
          <w:color w:val="000000" w:themeColor="text1"/>
          <w:lang w:val="en-GB"/>
        </w:rPr>
        <w:t xml:space="preserve"> process.</w:t>
      </w:r>
    </w:p>
    <w:p w14:paraId="7CE01CED" w14:textId="0E88DFF4" w:rsidR="00762757" w:rsidRPr="0015116E" w:rsidRDefault="00762757" w:rsidP="00762757">
      <w:pPr>
        <w:spacing w:line="480" w:lineRule="auto"/>
        <w:jc w:val="both"/>
        <w:rPr>
          <w:i/>
          <w:iCs/>
          <w:color w:val="000000" w:themeColor="text1"/>
          <w:sz w:val="20"/>
          <w:szCs w:val="20"/>
          <w:lang w:val="en-GB"/>
        </w:rPr>
      </w:pPr>
      <w:r w:rsidRPr="0015116E">
        <w:rPr>
          <w:color w:val="000000" w:themeColor="text1"/>
          <w:sz w:val="20"/>
          <w:szCs w:val="20"/>
          <w:lang w:val="en-GB"/>
        </w:rPr>
        <w:lastRenderedPageBreak/>
        <w:t xml:space="preserve">Table </w:t>
      </w:r>
      <w:r w:rsidR="009516A4">
        <w:rPr>
          <w:color w:val="000000" w:themeColor="text1"/>
          <w:sz w:val="20"/>
          <w:szCs w:val="20"/>
          <w:lang w:val="en-GB"/>
        </w:rPr>
        <w:t>S1</w:t>
      </w:r>
      <w:r w:rsidRPr="0015116E">
        <w:rPr>
          <w:color w:val="000000" w:themeColor="text1"/>
          <w:sz w:val="20"/>
          <w:szCs w:val="20"/>
          <w:lang w:val="en-GB"/>
        </w:rPr>
        <w:t>. Summary of the efficiency of the physical and chemical methods used in this work</w:t>
      </w: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2977"/>
        <w:gridCol w:w="1984"/>
        <w:gridCol w:w="1843"/>
      </w:tblGrid>
      <w:tr w:rsidR="00762757" w:rsidRPr="0015116E" w14:paraId="32C626BC" w14:textId="77777777" w:rsidTr="005E42EA">
        <w:trPr>
          <w:jc w:val="center"/>
        </w:trPr>
        <w:tc>
          <w:tcPr>
            <w:tcW w:w="2410" w:type="dxa"/>
            <w:tcBorders>
              <w:left w:val="nil"/>
              <w:bottom w:val="single" w:sz="4" w:space="0" w:color="auto"/>
              <w:right w:val="nil"/>
            </w:tcBorders>
            <w:shd w:val="clear" w:color="auto" w:fill="auto"/>
          </w:tcPr>
          <w:p w14:paraId="3CC2BB04" w14:textId="77777777" w:rsidR="00762757" w:rsidRPr="0015116E" w:rsidRDefault="00762757" w:rsidP="005E42EA">
            <w:pPr>
              <w:spacing w:line="480" w:lineRule="auto"/>
              <w:jc w:val="center"/>
              <w:rPr>
                <w:rFonts w:eastAsia="Calibri"/>
                <w:color w:val="000000" w:themeColor="text1"/>
                <w:sz w:val="20"/>
                <w:szCs w:val="20"/>
              </w:rPr>
            </w:pPr>
            <w:r w:rsidRPr="0015116E">
              <w:rPr>
                <w:rFonts w:eastAsia="Calibri"/>
                <w:color w:val="000000" w:themeColor="text1"/>
                <w:sz w:val="20"/>
                <w:szCs w:val="20"/>
              </w:rPr>
              <w:t>Method/solution</w:t>
            </w:r>
          </w:p>
        </w:tc>
        <w:tc>
          <w:tcPr>
            <w:tcW w:w="2977" w:type="dxa"/>
            <w:tcBorders>
              <w:left w:val="nil"/>
              <w:bottom w:val="single" w:sz="4" w:space="0" w:color="auto"/>
              <w:right w:val="nil"/>
            </w:tcBorders>
            <w:shd w:val="clear" w:color="auto" w:fill="auto"/>
          </w:tcPr>
          <w:p w14:paraId="158D594E" w14:textId="77777777" w:rsidR="00762757" w:rsidRPr="0015116E" w:rsidRDefault="00762757" w:rsidP="005E42EA">
            <w:pPr>
              <w:spacing w:line="480" w:lineRule="auto"/>
              <w:jc w:val="center"/>
              <w:rPr>
                <w:rFonts w:eastAsia="Calibri"/>
                <w:color w:val="000000" w:themeColor="text1"/>
                <w:sz w:val="20"/>
                <w:szCs w:val="20"/>
              </w:rPr>
            </w:pPr>
            <w:r w:rsidRPr="0015116E">
              <w:rPr>
                <w:rFonts w:eastAsia="Calibri"/>
                <w:color w:val="000000" w:themeColor="text1"/>
                <w:sz w:val="20"/>
                <w:szCs w:val="20"/>
              </w:rPr>
              <w:t>Etching conditions</w:t>
            </w:r>
          </w:p>
        </w:tc>
        <w:tc>
          <w:tcPr>
            <w:tcW w:w="1984" w:type="dxa"/>
            <w:tcBorders>
              <w:left w:val="nil"/>
              <w:bottom w:val="single" w:sz="4" w:space="0" w:color="auto"/>
              <w:right w:val="nil"/>
            </w:tcBorders>
            <w:shd w:val="clear" w:color="auto" w:fill="auto"/>
          </w:tcPr>
          <w:p w14:paraId="6AA7B86F" w14:textId="77777777" w:rsidR="00762757" w:rsidRPr="0015116E" w:rsidRDefault="00762757" w:rsidP="005E42EA">
            <w:pPr>
              <w:spacing w:line="480" w:lineRule="auto"/>
              <w:jc w:val="center"/>
              <w:rPr>
                <w:rFonts w:eastAsia="Calibri"/>
                <w:color w:val="000000" w:themeColor="text1"/>
                <w:sz w:val="20"/>
                <w:szCs w:val="20"/>
              </w:rPr>
            </w:pPr>
            <w:r w:rsidRPr="0015116E">
              <w:rPr>
                <w:rFonts w:eastAsia="Calibri"/>
                <w:color w:val="000000" w:themeColor="text1"/>
                <w:sz w:val="20"/>
                <w:szCs w:val="20"/>
              </w:rPr>
              <w:t>Results (Cu)</w:t>
            </w:r>
          </w:p>
        </w:tc>
        <w:tc>
          <w:tcPr>
            <w:tcW w:w="1843" w:type="dxa"/>
            <w:tcBorders>
              <w:left w:val="nil"/>
              <w:bottom w:val="single" w:sz="4" w:space="0" w:color="auto"/>
              <w:right w:val="nil"/>
            </w:tcBorders>
          </w:tcPr>
          <w:p w14:paraId="3F5B75E2" w14:textId="77777777" w:rsidR="00762757" w:rsidRPr="0015116E" w:rsidRDefault="00762757" w:rsidP="005E42EA">
            <w:pPr>
              <w:spacing w:line="480" w:lineRule="auto"/>
              <w:jc w:val="center"/>
              <w:rPr>
                <w:rFonts w:eastAsia="Calibri"/>
                <w:color w:val="000000" w:themeColor="text1"/>
                <w:sz w:val="20"/>
                <w:szCs w:val="20"/>
              </w:rPr>
            </w:pPr>
            <w:r w:rsidRPr="0015116E">
              <w:rPr>
                <w:rFonts w:eastAsia="Calibri"/>
                <w:color w:val="000000" w:themeColor="text1"/>
                <w:sz w:val="20"/>
                <w:szCs w:val="20"/>
              </w:rPr>
              <w:t>Results (Au)</w:t>
            </w:r>
          </w:p>
        </w:tc>
      </w:tr>
      <w:tr w:rsidR="00762757" w:rsidRPr="0015116E" w14:paraId="0F79ABAB" w14:textId="77777777" w:rsidTr="005E42EA">
        <w:trPr>
          <w:jc w:val="center"/>
        </w:trPr>
        <w:tc>
          <w:tcPr>
            <w:tcW w:w="9214" w:type="dxa"/>
            <w:gridSpan w:val="4"/>
            <w:tcBorders>
              <w:left w:val="nil"/>
              <w:bottom w:val="single" w:sz="4" w:space="0" w:color="auto"/>
              <w:right w:val="nil"/>
            </w:tcBorders>
            <w:shd w:val="clear" w:color="auto" w:fill="auto"/>
          </w:tcPr>
          <w:p w14:paraId="76C8C6A5" w14:textId="77777777" w:rsidR="00762757" w:rsidRPr="0015116E" w:rsidRDefault="00762757" w:rsidP="005E42EA">
            <w:pPr>
              <w:spacing w:line="480" w:lineRule="auto"/>
              <w:rPr>
                <w:rFonts w:eastAsia="Calibri"/>
                <w:color w:val="000000" w:themeColor="text1"/>
                <w:sz w:val="20"/>
                <w:szCs w:val="20"/>
              </w:rPr>
            </w:pPr>
            <w:r w:rsidRPr="0015116E">
              <w:rPr>
                <w:rFonts w:eastAsia="Calibri"/>
                <w:i/>
                <w:color w:val="000000" w:themeColor="text1"/>
                <w:sz w:val="20"/>
                <w:szCs w:val="20"/>
                <w:lang w:val="en-GB"/>
              </w:rPr>
              <w:t xml:space="preserve">Physical methods </w:t>
            </w:r>
          </w:p>
        </w:tc>
      </w:tr>
      <w:tr w:rsidR="00762757" w:rsidRPr="0015116E" w14:paraId="51E9BE56" w14:textId="77777777" w:rsidTr="005E42EA">
        <w:trPr>
          <w:jc w:val="center"/>
        </w:trPr>
        <w:tc>
          <w:tcPr>
            <w:tcW w:w="2410" w:type="dxa"/>
            <w:tcBorders>
              <w:left w:val="nil"/>
              <w:bottom w:val="nil"/>
              <w:right w:val="nil"/>
            </w:tcBorders>
            <w:shd w:val="clear" w:color="auto" w:fill="auto"/>
          </w:tcPr>
          <w:p w14:paraId="49BB7F2F" w14:textId="77777777" w:rsidR="00762757" w:rsidRPr="0015116E" w:rsidRDefault="00762757" w:rsidP="005E42EA">
            <w:pPr>
              <w:spacing w:line="480" w:lineRule="auto"/>
              <w:rPr>
                <w:rFonts w:eastAsia="Calibri"/>
                <w:color w:val="000000" w:themeColor="text1"/>
                <w:sz w:val="20"/>
                <w:szCs w:val="20"/>
              </w:rPr>
            </w:pPr>
            <w:r w:rsidRPr="0015116E">
              <w:rPr>
                <w:rFonts w:eastAsia="Calibri"/>
                <w:color w:val="000000" w:themeColor="text1"/>
                <w:sz w:val="20"/>
                <w:szCs w:val="20"/>
                <w:lang w:val="en-GB"/>
              </w:rPr>
              <w:t>RIE etching O</w:t>
            </w:r>
            <w:r w:rsidRPr="0015116E">
              <w:rPr>
                <w:rFonts w:eastAsia="Calibri"/>
                <w:color w:val="000000" w:themeColor="text1"/>
                <w:sz w:val="20"/>
                <w:szCs w:val="20"/>
                <w:vertAlign w:val="subscript"/>
                <w:lang w:val="en-GB"/>
              </w:rPr>
              <w:t>2</w:t>
            </w:r>
            <w:r w:rsidRPr="0015116E">
              <w:rPr>
                <w:rFonts w:eastAsia="Calibri"/>
                <w:color w:val="000000" w:themeColor="text1"/>
                <w:sz w:val="20"/>
                <w:szCs w:val="20"/>
                <w:lang w:val="en-GB"/>
              </w:rPr>
              <w:t xml:space="preserve"> plasma</w:t>
            </w:r>
          </w:p>
        </w:tc>
        <w:tc>
          <w:tcPr>
            <w:tcW w:w="2977" w:type="dxa"/>
            <w:tcBorders>
              <w:left w:val="nil"/>
              <w:bottom w:val="nil"/>
              <w:right w:val="nil"/>
            </w:tcBorders>
            <w:shd w:val="clear" w:color="auto" w:fill="auto"/>
          </w:tcPr>
          <w:p w14:paraId="390B1387" w14:textId="77777777" w:rsidR="00762757" w:rsidRPr="0015116E" w:rsidRDefault="00762757" w:rsidP="005E42EA">
            <w:pPr>
              <w:spacing w:line="480" w:lineRule="auto"/>
              <w:jc w:val="center"/>
              <w:rPr>
                <w:rFonts w:eastAsia="Calibri"/>
                <w:color w:val="000000" w:themeColor="text1"/>
                <w:sz w:val="20"/>
                <w:szCs w:val="20"/>
                <w:lang w:val="en-GB"/>
              </w:rPr>
            </w:pPr>
            <w:r w:rsidRPr="0015116E">
              <w:rPr>
                <w:rFonts w:eastAsia="Calibri"/>
                <w:color w:val="000000" w:themeColor="text1"/>
                <w:sz w:val="20"/>
                <w:szCs w:val="20"/>
                <w:lang w:val="en-GB"/>
              </w:rPr>
              <w:t>HF at 250 W; 10 min</w:t>
            </w:r>
          </w:p>
          <w:p w14:paraId="78F8F9A2" w14:textId="77777777" w:rsidR="00762757" w:rsidRPr="0015116E" w:rsidRDefault="00762757" w:rsidP="005E42EA">
            <w:pPr>
              <w:spacing w:line="480" w:lineRule="auto"/>
              <w:jc w:val="center"/>
              <w:rPr>
                <w:rFonts w:eastAsia="Calibri"/>
                <w:color w:val="000000" w:themeColor="text1"/>
                <w:sz w:val="20"/>
                <w:szCs w:val="20"/>
              </w:rPr>
            </w:pPr>
            <w:r w:rsidRPr="0015116E">
              <w:rPr>
                <w:rFonts w:eastAsia="Calibri"/>
                <w:color w:val="000000" w:themeColor="text1"/>
                <w:sz w:val="20"/>
                <w:szCs w:val="20"/>
                <w:lang w:val="en-GB"/>
              </w:rPr>
              <w:t xml:space="preserve">ICP at 500 W; 10 min </w:t>
            </w:r>
          </w:p>
        </w:tc>
        <w:tc>
          <w:tcPr>
            <w:tcW w:w="1984" w:type="dxa"/>
            <w:tcBorders>
              <w:left w:val="nil"/>
              <w:bottom w:val="nil"/>
              <w:right w:val="nil"/>
            </w:tcBorders>
            <w:shd w:val="clear" w:color="auto" w:fill="auto"/>
          </w:tcPr>
          <w:p w14:paraId="028DA2A8" w14:textId="77777777" w:rsidR="00762757" w:rsidRPr="0015116E" w:rsidRDefault="00762757" w:rsidP="005E42EA">
            <w:pPr>
              <w:spacing w:line="480" w:lineRule="auto"/>
              <w:jc w:val="center"/>
              <w:rPr>
                <w:rFonts w:eastAsia="Calibri"/>
                <w:color w:val="000000" w:themeColor="text1"/>
                <w:sz w:val="20"/>
                <w:szCs w:val="20"/>
              </w:rPr>
            </w:pPr>
            <w:r w:rsidRPr="0015116E">
              <w:rPr>
                <w:rFonts w:eastAsia="Calibri"/>
                <w:color w:val="000000" w:themeColor="text1"/>
                <w:sz w:val="20"/>
                <w:szCs w:val="20"/>
              </w:rPr>
              <w:t>reduced efficiency</w:t>
            </w:r>
          </w:p>
          <w:p w14:paraId="0EA5C29A" w14:textId="77777777" w:rsidR="00762757" w:rsidRPr="0015116E" w:rsidRDefault="00762757" w:rsidP="005E42EA">
            <w:pPr>
              <w:spacing w:line="480" w:lineRule="auto"/>
              <w:jc w:val="center"/>
              <w:rPr>
                <w:rFonts w:eastAsia="Calibri"/>
                <w:color w:val="000000" w:themeColor="text1"/>
                <w:sz w:val="20"/>
                <w:szCs w:val="20"/>
              </w:rPr>
            </w:pPr>
            <w:r w:rsidRPr="0015116E">
              <w:rPr>
                <w:rFonts w:eastAsia="Calibri"/>
                <w:color w:val="000000" w:themeColor="text1"/>
                <w:sz w:val="20"/>
                <w:szCs w:val="20"/>
              </w:rPr>
              <w:t>n.a.</w:t>
            </w:r>
          </w:p>
        </w:tc>
        <w:tc>
          <w:tcPr>
            <w:tcW w:w="1843" w:type="dxa"/>
            <w:tcBorders>
              <w:left w:val="nil"/>
              <w:bottom w:val="nil"/>
              <w:right w:val="nil"/>
            </w:tcBorders>
          </w:tcPr>
          <w:p w14:paraId="082750F0" w14:textId="77777777" w:rsidR="00762757" w:rsidRPr="0015116E" w:rsidRDefault="00762757" w:rsidP="005E42EA">
            <w:pPr>
              <w:spacing w:line="480" w:lineRule="auto"/>
              <w:jc w:val="center"/>
              <w:rPr>
                <w:rFonts w:eastAsia="Calibri"/>
                <w:color w:val="000000" w:themeColor="text1"/>
                <w:sz w:val="20"/>
                <w:szCs w:val="20"/>
              </w:rPr>
            </w:pPr>
            <w:r w:rsidRPr="0015116E">
              <w:rPr>
                <w:rFonts w:eastAsia="Calibri"/>
                <w:color w:val="000000" w:themeColor="text1"/>
                <w:sz w:val="20"/>
                <w:szCs w:val="20"/>
              </w:rPr>
              <w:t>average efficiency</w:t>
            </w:r>
          </w:p>
          <w:p w14:paraId="6758BA23" w14:textId="77777777" w:rsidR="00762757" w:rsidRPr="0015116E" w:rsidRDefault="00762757" w:rsidP="005E42EA">
            <w:pPr>
              <w:spacing w:line="480" w:lineRule="auto"/>
              <w:ind w:left="-108" w:right="-116"/>
              <w:jc w:val="center"/>
              <w:rPr>
                <w:rFonts w:eastAsia="Calibri"/>
                <w:color w:val="000000" w:themeColor="text1"/>
                <w:sz w:val="20"/>
                <w:szCs w:val="20"/>
              </w:rPr>
            </w:pPr>
            <w:r w:rsidRPr="0015116E">
              <w:rPr>
                <w:rFonts w:eastAsia="Calibri"/>
                <w:color w:val="000000" w:themeColor="text1"/>
                <w:sz w:val="20"/>
                <w:szCs w:val="20"/>
              </w:rPr>
              <w:t>increased efficiency</w:t>
            </w:r>
          </w:p>
        </w:tc>
      </w:tr>
      <w:tr w:rsidR="00762757" w:rsidRPr="0015116E" w14:paraId="6FE821C3" w14:textId="77777777" w:rsidTr="005E42EA">
        <w:trPr>
          <w:jc w:val="center"/>
        </w:trPr>
        <w:tc>
          <w:tcPr>
            <w:tcW w:w="2410" w:type="dxa"/>
            <w:tcBorders>
              <w:top w:val="nil"/>
              <w:left w:val="nil"/>
              <w:bottom w:val="nil"/>
              <w:right w:val="nil"/>
            </w:tcBorders>
            <w:shd w:val="clear" w:color="auto" w:fill="auto"/>
          </w:tcPr>
          <w:p w14:paraId="0F37B91E" w14:textId="77777777" w:rsidR="00762757" w:rsidRPr="0015116E" w:rsidRDefault="00762757" w:rsidP="005E42EA">
            <w:pPr>
              <w:spacing w:line="480" w:lineRule="auto"/>
              <w:rPr>
                <w:rFonts w:eastAsia="Calibri"/>
                <w:color w:val="000000" w:themeColor="text1"/>
                <w:sz w:val="20"/>
                <w:szCs w:val="20"/>
              </w:rPr>
            </w:pPr>
            <w:r w:rsidRPr="0015116E">
              <w:rPr>
                <w:rFonts w:eastAsia="Calibri"/>
                <w:color w:val="000000" w:themeColor="text1"/>
                <w:sz w:val="20"/>
                <w:szCs w:val="20"/>
                <w:lang w:val="en-GB"/>
              </w:rPr>
              <w:t>RIE etching Ar plasma</w:t>
            </w:r>
          </w:p>
        </w:tc>
        <w:tc>
          <w:tcPr>
            <w:tcW w:w="2977" w:type="dxa"/>
            <w:tcBorders>
              <w:top w:val="nil"/>
              <w:left w:val="nil"/>
              <w:bottom w:val="nil"/>
              <w:right w:val="nil"/>
            </w:tcBorders>
            <w:shd w:val="clear" w:color="auto" w:fill="auto"/>
          </w:tcPr>
          <w:p w14:paraId="67C57F80" w14:textId="77777777" w:rsidR="00762757" w:rsidRPr="0015116E" w:rsidRDefault="00762757" w:rsidP="005E42EA">
            <w:pPr>
              <w:spacing w:line="480" w:lineRule="auto"/>
              <w:jc w:val="center"/>
              <w:rPr>
                <w:rFonts w:eastAsia="Calibri"/>
                <w:color w:val="000000" w:themeColor="text1"/>
                <w:sz w:val="20"/>
                <w:szCs w:val="20"/>
              </w:rPr>
            </w:pPr>
            <w:r w:rsidRPr="0015116E">
              <w:rPr>
                <w:rFonts w:eastAsia="Calibri"/>
                <w:color w:val="000000" w:themeColor="text1"/>
                <w:sz w:val="20"/>
                <w:szCs w:val="20"/>
                <w:lang w:val="en-GB"/>
              </w:rPr>
              <w:t>HF at 250 W; 20 min</w:t>
            </w:r>
          </w:p>
        </w:tc>
        <w:tc>
          <w:tcPr>
            <w:tcW w:w="1984" w:type="dxa"/>
            <w:tcBorders>
              <w:top w:val="nil"/>
              <w:left w:val="nil"/>
              <w:bottom w:val="nil"/>
              <w:right w:val="nil"/>
            </w:tcBorders>
            <w:shd w:val="clear" w:color="auto" w:fill="auto"/>
          </w:tcPr>
          <w:p w14:paraId="1EB935E8" w14:textId="77777777" w:rsidR="00762757" w:rsidRPr="0015116E" w:rsidRDefault="00762757" w:rsidP="005E42EA">
            <w:pPr>
              <w:spacing w:line="480" w:lineRule="auto"/>
              <w:ind w:right="-60"/>
              <w:jc w:val="center"/>
              <w:rPr>
                <w:rFonts w:eastAsia="Calibri"/>
                <w:color w:val="000000" w:themeColor="text1"/>
                <w:sz w:val="20"/>
                <w:szCs w:val="20"/>
              </w:rPr>
            </w:pPr>
            <w:r w:rsidRPr="0015116E">
              <w:rPr>
                <w:rFonts w:eastAsia="Calibri"/>
                <w:color w:val="000000" w:themeColor="text1"/>
                <w:sz w:val="20"/>
                <w:szCs w:val="20"/>
              </w:rPr>
              <w:t>average efficiency</w:t>
            </w:r>
          </w:p>
        </w:tc>
        <w:tc>
          <w:tcPr>
            <w:tcW w:w="1843" w:type="dxa"/>
            <w:tcBorders>
              <w:top w:val="nil"/>
              <w:left w:val="nil"/>
              <w:bottom w:val="nil"/>
              <w:right w:val="nil"/>
            </w:tcBorders>
          </w:tcPr>
          <w:p w14:paraId="4255C80B" w14:textId="77777777" w:rsidR="00762757" w:rsidRPr="0015116E" w:rsidRDefault="00762757" w:rsidP="005E42EA">
            <w:pPr>
              <w:spacing w:line="480" w:lineRule="auto"/>
              <w:jc w:val="center"/>
              <w:rPr>
                <w:rFonts w:eastAsia="Calibri"/>
                <w:color w:val="000000" w:themeColor="text1"/>
                <w:sz w:val="20"/>
                <w:szCs w:val="20"/>
              </w:rPr>
            </w:pPr>
            <w:r w:rsidRPr="0015116E">
              <w:rPr>
                <w:rFonts w:eastAsia="Calibri"/>
                <w:color w:val="000000" w:themeColor="text1"/>
                <w:sz w:val="20"/>
                <w:szCs w:val="20"/>
              </w:rPr>
              <w:t>average efficiency</w:t>
            </w:r>
          </w:p>
        </w:tc>
      </w:tr>
      <w:tr w:rsidR="00762757" w:rsidRPr="0015116E" w14:paraId="78EF22E6" w14:textId="77777777" w:rsidTr="005E42EA">
        <w:trPr>
          <w:jc w:val="center"/>
        </w:trPr>
        <w:tc>
          <w:tcPr>
            <w:tcW w:w="2410" w:type="dxa"/>
            <w:tcBorders>
              <w:top w:val="nil"/>
              <w:left w:val="nil"/>
              <w:bottom w:val="single" w:sz="4" w:space="0" w:color="auto"/>
              <w:right w:val="nil"/>
            </w:tcBorders>
            <w:shd w:val="clear" w:color="auto" w:fill="auto"/>
          </w:tcPr>
          <w:p w14:paraId="376438E4" w14:textId="77777777" w:rsidR="00762757" w:rsidRPr="0015116E" w:rsidRDefault="00762757" w:rsidP="005E42EA">
            <w:pPr>
              <w:spacing w:line="480" w:lineRule="auto"/>
              <w:rPr>
                <w:rFonts w:eastAsia="Calibri"/>
                <w:color w:val="000000" w:themeColor="text1"/>
                <w:sz w:val="20"/>
                <w:szCs w:val="20"/>
                <w:lang w:val="en-GB"/>
              </w:rPr>
            </w:pPr>
            <w:r w:rsidRPr="0015116E">
              <w:rPr>
                <w:rFonts w:eastAsia="Calibri"/>
                <w:color w:val="000000" w:themeColor="text1"/>
                <w:sz w:val="20"/>
                <w:szCs w:val="20"/>
                <w:lang w:val="en-GB"/>
              </w:rPr>
              <w:t>Ar-ion milling</w:t>
            </w:r>
          </w:p>
        </w:tc>
        <w:tc>
          <w:tcPr>
            <w:tcW w:w="2977" w:type="dxa"/>
            <w:tcBorders>
              <w:top w:val="nil"/>
              <w:left w:val="nil"/>
              <w:bottom w:val="single" w:sz="4" w:space="0" w:color="auto"/>
              <w:right w:val="nil"/>
            </w:tcBorders>
            <w:shd w:val="clear" w:color="auto" w:fill="auto"/>
          </w:tcPr>
          <w:p w14:paraId="1AE750D5" w14:textId="77777777" w:rsidR="00762757" w:rsidRPr="0015116E" w:rsidRDefault="00762757" w:rsidP="005E42EA">
            <w:pPr>
              <w:spacing w:line="480" w:lineRule="auto"/>
              <w:jc w:val="center"/>
              <w:rPr>
                <w:rFonts w:eastAsia="Calibri"/>
                <w:color w:val="000000" w:themeColor="text1"/>
                <w:sz w:val="20"/>
                <w:szCs w:val="20"/>
                <w:lang w:val="en-GB"/>
              </w:rPr>
            </w:pPr>
            <w:r w:rsidRPr="0015116E">
              <w:rPr>
                <w:rFonts w:eastAsia="Calibri"/>
                <w:color w:val="000000" w:themeColor="text1"/>
                <w:sz w:val="20"/>
                <w:szCs w:val="20"/>
                <w:lang w:val="en-GB"/>
              </w:rPr>
              <w:t>100 mA, 450 V, 30 min</w:t>
            </w:r>
          </w:p>
        </w:tc>
        <w:tc>
          <w:tcPr>
            <w:tcW w:w="1984" w:type="dxa"/>
            <w:tcBorders>
              <w:top w:val="nil"/>
              <w:left w:val="nil"/>
              <w:bottom w:val="single" w:sz="4" w:space="0" w:color="auto"/>
              <w:right w:val="nil"/>
            </w:tcBorders>
            <w:shd w:val="clear" w:color="auto" w:fill="auto"/>
          </w:tcPr>
          <w:p w14:paraId="3714B23A" w14:textId="77777777" w:rsidR="00762757" w:rsidRPr="0015116E" w:rsidRDefault="00762757" w:rsidP="005E42EA">
            <w:pPr>
              <w:spacing w:line="480" w:lineRule="auto"/>
              <w:jc w:val="center"/>
              <w:rPr>
                <w:rFonts w:eastAsia="Calibri"/>
                <w:color w:val="000000" w:themeColor="text1"/>
                <w:sz w:val="20"/>
                <w:szCs w:val="20"/>
              </w:rPr>
            </w:pPr>
            <w:r w:rsidRPr="0015116E">
              <w:rPr>
                <w:rFonts w:eastAsia="Calibri"/>
                <w:color w:val="000000" w:themeColor="text1"/>
                <w:sz w:val="20"/>
                <w:szCs w:val="20"/>
              </w:rPr>
              <w:t>complete removal</w:t>
            </w:r>
          </w:p>
        </w:tc>
        <w:tc>
          <w:tcPr>
            <w:tcW w:w="1843" w:type="dxa"/>
            <w:tcBorders>
              <w:top w:val="nil"/>
              <w:left w:val="nil"/>
              <w:bottom w:val="single" w:sz="4" w:space="0" w:color="auto"/>
              <w:right w:val="nil"/>
            </w:tcBorders>
          </w:tcPr>
          <w:p w14:paraId="30063369" w14:textId="77777777" w:rsidR="00762757" w:rsidRPr="0015116E" w:rsidRDefault="00762757" w:rsidP="005E42EA">
            <w:pPr>
              <w:spacing w:line="480" w:lineRule="auto"/>
              <w:jc w:val="center"/>
              <w:rPr>
                <w:rFonts w:eastAsia="Calibri"/>
                <w:color w:val="000000" w:themeColor="text1"/>
                <w:sz w:val="20"/>
                <w:szCs w:val="20"/>
              </w:rPr>
            </w:pPr>
            <w:r w:rsidRPr="0015116E">
              <w:rPr>
                <w:rFonts w:eastAsia="Calibri"/>
                <w:color w:val="000000" w:themeColor="text1"/>
                <w:sz w:val="20"/>
                <w:szCs w:val="20"/>
              </w:rPr>
              <w:t>complete removal</w:t>
            </w:r>
          </w:p>
        </w:tc>
      </w:tr>
      <w:tr w:rsidR="00762757" w:rsidRPr="0015116E" w14:paraId="65B7082B" w14:textId="77777777" w:rsidTr="005E42EA">
        <w:trPr>
          <w:jc w:val="center"/>
        </w:trPr>
        <w:tc>
          <w:tcPr>
            <w:tcW w:w="9214" w:type="dxa"/>
            <w:gridSpan w:val="4"/>
            <w:tcBorders>
              <w:left w:val="nil"/>
              <w:bottom w:val="single" w:sz="4" w:space="0" w:color="auto"/>
              <w:right w:val="nil"/>
            </w:tcBorders>
            <w:shd w:val="clear" w:color="auto" w:fill="auto"/>
          </w:tcPr>
          <w:p w14:paraId="091AD701" w14:textId="77777777" w:rsidR="00762757" w:rsidRPr="0015116E" w:rsidRDefault="00762757" w:rsidP="005E42EA">
            <w:pPr>
              <w:spacing w:line="480" w:lineRule="auto"/>
              <w:rPr>
                <w:rFonts w:eastAsia="Calibri"/>
                <w:color w:val="000000" w:themeColor="text1"/>
                <w:sz w:val="20"/>
                <w:szCs w:val="20"/>
              </w:rPr>
            </w:pPr>
            <w:r w:rsidRPr="0015116E">
              <w:rPr>
                <w:rFonts w:eastAsia="Calibri"/>
                <w:i/>
                <w:color w:val="000000" w:themeColor="text1"/>
                <w:sz w:val="20"/>
                <w:szCs w:val="20"/>
                <w:lang w:val="en-GB"/>
              </w:rPr>
              <w:t>Chemical methods</w:t>
            </w:r>
          </w:p>
        </w:tc>
      </w:tr>
      <w:tr w:rsidR="00762757" w:rsidRPr="0015116E" w14:paraId="543F28F6" w14:textId="77777777" w:rsidTr="005E42EA">
        <w:trPr>
          <w:jc w:val="center"/>
        </w:trPr>
        <w:tc>
          <w:tcPr>
            <w:tcW w:w="2410" w:type="dxa"/>
            <w:tcBorders>
              <w:top w:val="single" w:sz="4" w:space="0" w:color="auto"/>
              <w:left w:val="nil"/>
              <w:bottom w:val="nil"/>
              <w:right w:val="nil"/>
            </w:tcBorders>
            <w:shd w:val="clear" w:color="auto" w:fill="auto"/>
          </w:tcPr>
          <w:p w14:paraId="39C14C69" w14:textId="77777777" w:rsidR="00762757" w:rsidRPr="0015116E" w:rsidRDefault="00762757" w:rsidP="005E42EA">
            <w:pPr>
              <w:spacing w:line="480" w:lineRule="auto"/>
              <w:rPr>
                <w:rFonts w:eastAsia="Calibri"/>
                <w:color w:val="000000" w:themeColor="text1"/>
                <w:sz w:val="20"/>
                <w:szCs w:val="20"/>
                <w:lang w:val="en-GB"/>
              </w:rPr>
            </w:pPr>
            <w:r w:rsidRPr="0015116E">
              <w:rPr>
                <w:rFonts w:eastAsia="Calibri"/>
                <w:color w:val="000000" w:themeColor="text1"/>
                <w:sz w:val="20"/>
                <w:szCs w:val="20"/>
                <w:lang w:val="en-GB"/>
              </w:rPr>
              <w:t>acetone</w:t>
            </w:r>
          </w:p>
        </w:tc>
        <w:tc>
          <w:tcPr>
            <w:tcW w:w="2977" w:type="dxa"/>
            <w:tcBorders>
              <w:top w:val="single" w:sz="4" w:space="0" w:color="auto"/>
              <w:left w:val="nil"/>
              <w:bottom w:val="nil"/>
              <w:right w:val="nil"/>
            </w:tcBorders>
            <w:shd w:val="clear" w:color="auto" w:fill="auto"/>
          </w:tcPr>
          <w:p w14:paraId="479D3C79" w14:textId="77777777" w:rsidR="00762757" w:rsidRPr="0015116E" w:rsidRDefault="00762757" w:rsidP="005E42EA">
            <w:pPr>
              <w:spacing w:line="480" w:lineRule="auto"/>
              <w:jc w:val="center"/>
              <w:rPr>
                <w:rFonts w:eastAsia="Calibri"/>
                <w:color w:val="000000" w:themeColor="text1"/>
                <w:sz w:val="20"/>
                <w:szCs w:val="20"/>
                <w:lang w:val="en-GB"/>
              </w:rPr>
            </w:pPr>
            <w:r w:rsidRPr="0015116E">
              <w:rPr>
                <w:rFonts w:eastAsia="Calibri"/>
                <w:color w:val="000000" w:themeColor="text1"/>
                <w:sz w:val="20"/>
                <w:szCs w:val="20"/>
                <w:lang w:val="en-GB"/>
              </w:rPr>
              <w:t xml:space="preserve">puddle and US; 10-25 min; </w:t>
            </w:r>
          </w:p>
          <w:p w14:paraId="7625D01C" w14:textId="77777777" w:rsidR="00762757" w:rsidRPr="0015116E" w:rsidRDefault="00762757" w:rsidP="005E42EA">
            <w:pPr>
              <w:spacing w:line="480" w:lineRule="auto"/>
              <w:jc w:val="center"/>
              <w:rPr>
                <w:rFonts w:eastAsia="Calibri"/>
                <w:color w:val="000000" w:themeColor="text1"/>
                <w:sz w:val="20"/>
                <w:szCs w:val="20"/>
              </w:rPr>
            </w:pPr>
            <w:r w:rsidRPr="0015116E">
              <w:rPr>
                <w:rFonts w:eastAsia="Calibri"/>
                <w:color w:val="000000" w:themeColor="text1"/>
                <w:sz w:val="20"/>
                <w:szCs w:val="20"/>
                <w:lang w:val="en-GB"/>
              </w:rPr>
              <w:t>RT and 55 °C</w:t>
            </w:r>
          </w:p>
        </w:tc>
        <w:tc>
          <w:tcPr>
            <w:tcW w:w="1984" w:type="dxa"/>
            <w:tcBorders>
              <w:top w:val="single" w:sz="4" w:space="0" w:color="auto"/>
              <w:left w:val="nil"/>
              <w:bottom w:val="nil"/>
              <w:right w:val="nil"/>
            </w:tcBorders>
            <w:shd w:val="clear" w:color="auto" w:fill="auto"/>
          </w:tcPr>
          <w:p w14:paraId="23ADC06E" w14:textId="77777777" w:rsidR="00762757" w:rsidRPr="0015116E" w:rsidRDefault="00762757" w:rsidP="005E42EA">
            <w:pPr>
              <w:spacing w:line="480" w:lineRule="auto"/>
              <w:jc w:val="center"/>
              <w:rPr>
                <w:rFonts w:eastAsia="Calibri"/>
                <w:color w:val="000000" w:themeColor="text1"/>
                <w:sz w:val="20"/>
                <w:szCs w:val="20"/>
              </w:rPr>
            </w:pPr>
            <w:r w:rsidRPr="0015116E">
              <w:rPr>
                <w:rFonts w:eastAsia="Calibri"/>
                <w:color w:val="000000" w:themeColor="text1"/>
                <w:sz w:val="20"/>
                <w:szCs w:val="20"/>
              </w:rPr>
              <w:t>average efficiency</w:t>
            </w:r>
          </w:p>
        </w:tc>
        <w:tc>
          <w:tcPr>
            <w:tcW w:w="1843" w:type="dxa"/>
            <w:tcBorders>
              <w:top w:val="single" w:sz="4" w:space="0" w:color="auto"/>
              <w:left w:val="nil"/>
              <w:bottom w:val="nil"/>
              <w:right w:val="nil"/>
            </w:tcBorders>
          </w:tcPr>
          <w:p w14:paraId="5BBBF1FC" w14:textId="77777777" w:rsidR="00762757" w:rsidRPr="0015116E" w:rsidRDefault="00762757" w:rsidP="005E42EA">
            <w:pPr>
              <w:spacing w:line="480" w:lineRule="auto"/>
              <w:jc w:val="center"/>
              <w:rPr>
                <w:rFonts w:eastAsia="Calibri"/>
                <w:color w:val="000000" w:themeColor="text1"/>
                <w:sz w:val="20"/>
                <w:szCs w:val="20"/>
              </w:rPr>
            </w:pPr>
            <w:r w:rsidRPr="0015116E">
              <w:rPr>
                <w:rFonts w:eastAsia="Calibri"/>
                <w:color w:val="000000" w:themeColor="text1"/>
                <w:sz w:val="20"/>
                <w:szCs w:val="20"/>
              </w:rPr>
              <w:t>average efficiency</w:t>
            </w:r>
          </w:p>
        </w:tc>
      </w:tr>
      <w:tr w:rsidR="00762757" w:rsidRPr="0015116E" w14:paraId="26AEBE0C" w14:textId="77777777" w:rsidTr="005E42EA">
        <w:trPr>
          <w:jc w:val="center"/>
        </w:trPr>
        <w:tc>
          <w:tcPr>
            <w:tcW w:w="2410" w:type="dxa"/>
            <w:tcBorders>
              <w:top w:val="nil"/>
              <w:left w:val="nil"/>
              <w:bottom w:val="nil"/>
              <w:right w:val="nil"/>
            </w:tcBorders>
            <w:shd w:val="clear" w:color="auto" w:fill="auto"/>
          </w:tcPr>
          <w:p w14:paraId="16134C19" w14:textId="77777777" w:rsidR="00762757" w:rsidRPr="0015116E" w:rsidRDefault="00762757" w:rsidP="005E42EA">
            <w:pPr>
              <w:spacing w:line="480" w:lineRule="auto"/>
              <w:rPr>
                <w:rFonts w:eastAsia="Calibri"/>
                <w:color w:val="000000" w:themeColor="text1"/>
                <w:sz w:val="20"/>
                <w:szCs w:val="20"/>
                <w:lang w:val="en-GB"/>
              </w:rPr>
            </w:pPr>
            <w:r w:rsidRPr="0015116E">
              <w:rPr>
                <w:rFonts w:eastAsia="Calibri"/>
                <w:color w:val="000000" w:themeColor="text1"/>
                <w:sz w:val="20"/>
                <w:szCs w:val="20"/>
                <w:lang w:val="en-GB"/>
              </w:rPr>
              <w:t>P1316 stripper</w:t>
            </w:r>
          </w:p>
        </w:tc>
        <w:tc>
          <w:tcPr>
            <w:tcW w:w="2977" w:type="dxa"/>
            <w:tcBorders>
              <w:top w:val="nil"/>
              <w:left w:val="nil"/>
              <w:bottom w:val="nil"/>
              <w:right w:val="nil"/>
            </w:tcBorders>
            <w:shd w:val="clear" w:color="auto" w:fill="auto"/>
          </w:tcPr>
          <w:p w14:paraId="7D5B0FAE" w14:textId="77777777" w:rsidR="00762757" w:rsidRPr="0015116E" w:rsidRDefault="00762757" w:rsidP="005E42EA">
            <w:pPr>
              <w:spacing w:line="480" w:lineRule="auto"/>
              <w:jc w:val="center"/>
              <w:rPr>
                <w:rFonts w:eastAsia="Calibri"/>
                <w:color w:val="000000" w:themeColor="text1"/>
                <w:sz w:val="20"/>
                <w:szCs w:val="20"/>
                <w:lang w:val="en-GB"/>
              </w:rPr>
            </w:pPr>
            <w:r w:rsidRPr="0015116E">
              <w:rPr>
                <w:rFonts w:eastAsia="Calibri"/>
                <w:color w:val="000000" w:themeColor="text1"/>
                <w:sz w:val="20"/>
                <w:szCs w:val="20"/>
                <w:lang w:val="en-GB"/>
              </w:rPr>
              <w:t>120 min puddle, RT</w:t>
            </w:r>
          </w:p>
          <w:p w14:paraId="297573AF" w14:textId="77777777" w:rsidR="00762757" w:rsidRPr="0015116E" w:rsidRDefault="00762757" w:rsidP="005E42EA">
            <w:pPr>
              <w:spacing w:line="480" w:lineRule="auto"/>
              <w:jc w:val="center"/>
              <w:rPr>
                <w:rFonts w:eastAsia="Calibri"/>
                <w:color w:val="000000" w:themeColor="text1"/>
                <w:sz w:val="20"/>
                <w:szCs w:val="20"/>
                <w:lang w:val="en-GB"/>
              </w:rPr>
            </w:pPr>
            <w:r w:rsidRPr="0015116E">
              <w:rPr>
                <w:rFonts w:eastAsia="Calibri"/>
                <w:color w:val="000000" w:themeColor="text1"/>
                <w:sz w:val="20"/>
                <w:szCs w:val="20"/>
                <w:lang w:val="en-GB"/>
              </w:rPr>
              <w:t>5 min puddle, 90 °C</w:t>
            </w:r>
          </w:p>
        </w:tc>
        <w:tc>
          <w:tcPr>
            <w:tcW w:w="1984" w:type="dxa"/>
            <w:tcBorders>
              <w:top w:val="nil"/>
              <w:left w:val="nil"/>
              <w:bottom w:val="nil"/>
              <w:right w:val="nil"/>
            </w:tcBorders>
            <w:shd w:val="clear" w:color="auto" w:fill="auto"/>
          </w:tcPr>
          <w:p w14:paraId="19E3C297" w14:textId="77777777" w:rsidR="00762757" w:rsidRPr="0015116E" w:rsidRDefault="00762757" w:rsidP="005E42EA">
            <w:pPr>
              <w:spacing w:line="480" w:lineRule="auto"/>
              <w:jc w:val="center"/>
              <w:rPr>
                <w:rFonts w:eastAsia="Calibri"/>
                <w:color w:val="000000" w:themeColor="text1"/>
                <w:sz w:val="20"/>
                <w:szCs w:val="20"/>
              </w:rPr>
            </w:pPr>
            <w:r w:rsidRPr="0015116E">
              <w:rPr>
                <w:rFonts w:eastAsia="Calibri"/>
                <w:color w:val="000000" w:themeColor="text1"/>
                <w:sz w:val="20"/>
                <w:szCs w:val="20"/>
              </w:rPr>
              <w:t>reduced efficiency</w:t>
            </w:r>
          </w:p>
          <w:p w14:paraId="51ACCF4E" w14:textId="77777777" w:rsidR="00762757" w:rsidRPr="0015116E" w:rsidRDefault="00762757" w:rsidP="005E42EA">
            <w:pPr>
              <w:spacing w:line="480" w:lineRule="auto"/>
              <w:ind w:left="-135"/>
              <w:jc w:val="center"/>
              <w:rPr>
                <w:rFonts w:eastAsia="Calibri"/>
                <w:color w:val="000000" w:themeColor="text1"/>
                <w:sz w:val="20"/>
                <w:szCs w:val="20"/>
              </w:rPr>
            </w:pPr>
            <w:r w:rsidRPr="0015116E">
              <w:rPr>
                <w:rFonts w:eastAsia="Calibri"/>
                <w:color w:val="000000" w:themeColor="text1"/>
                <w:sz w:val="20"/>
                <w:szCs w:val="20"/>
              </w:rPr>
              <w:t>increased efficiency</w:t>
            </w:r>
          </w:p>
        </w:tc>
        <w:tc>
          <w:tcPr>
            <w:tcW w:w="1843" w:type="dxa"/>
            <w:tcBorders>
              <w:top w:val="nil"/>
              <w:left w:val="nil"/>
              <w:bottom w:val="nil"/>
              <w:right w:val="nil"/>
            </w:tcBorders>
          </w:tcPr>
          <w:p w14:paraId="6D99C2DE" w14:textId="77777777" w:rsidR="00762757" w:rsidRPr="0015116E" w:rsidRDefault="00762757" w:rsidP="005E42EA">
            <w:pPr>
              <w:spacing w:line="480" w:lineRule="auto"/>
              <w:ind w:left="-250" w:right="-173"/>
              <w:jc w:val="center"/>
              <w:rPr>
                <w:rFonts w:eastAsia="Calibri"/>
                <w:color w:val="000000" w:themeColor="text1"/>
                <w:sz w:val="20"/>
                <w:szCs w:val="20"/>
              </w:rPr>
            </w:pPr>
            <w:r w:rsidRPr="0015116E">
              <w:rPr>
                <w:rFonts w:eastAsia="Calibri"/>
                <w:color w:val="000000" w:themeColor="text1"/>
                <w:sz w:val="20"/>
                <w:szCs w:val="20"/>
              </w:rPr>
              <w:t>increased efficiency</w:t>
            </w:r>
          </w:p>
          <w:p w14:paraId="3ED5AF31" w14:textId="77777777" w:rsidR="00762757" w:rsidRPr="0015116E" w:rsidRDefault="00762757" w:rsidP="005E42EA">
            <w:pPr>
              <w:spacing w:line="480" w:lineRule="auto"/>
              <w:jc w:val="center"/>
              <w:rPr>
                <w:rFonts w:eastAsia="Calibri"/>
                <w:color w:val="000000" w:themeColor="text1"/>
                <w:sz w:val="20"/>
                <w:szCs w:val="20"/>
              </w:rPr>
            </w:pPr>
            <w:r w:rsidRPr="0015116E">
              <w:rPr>
                <w:rFonts w:eastAsia="Calibri"/>
                <w:color w:val="000000" w:themeColor="text1"/>
                <w:sz w:val="20"/>
                <w:szCs w:val="20"/>
              </w:rPr>
              <w:t>average efficiency</w:t>
            </w:r>
          </w:p>
        </w:tc>
      </w:tr>
      <w:tr w:rsidR="00762757" w:rsidRPr="0015116E" w14:paraId="6DE17110" w14:textId="77777777" w:rsidTr="005E42EA">
        <w:trPr>
          <w:jc w:val="center"/>
        </w:trPr>
        <w:tc>
          <w:tcPr>
            <w:tcW w:w="2410" w:type="dxa"/>
            <w:tcBorders>
              <w:top w:val="nil"/>
              <w:left w:val="nil"/>
              <w:bottom w:val="nil"/>
              <w:right w:val="nil"/>
            </w:tcBorders>
            <w:shd w:val="clear" w:color="auto" w:fill="auto"/>
          </w:tcPr>
          <w:p w14:paraId="18BDA4A2" w14:textId="77777777" w:rsidR="00762757" w:rsidRPr="0015116E" w:rsidRDefault="00762757" w:rsidP="005E42EA">
            <w:pPr>
              <w:spacing w:line="480" w:lineRule="auto"/>
              <w:rPr>
                <w:rFonts w:eastAsia="Calibri"/>
                <w:color w:val="000000" w:themeColor="text1"/>
                <w:sz w:val="20"/>
                <w:szCs w:val="20"/>
                <w:lang w:val="en-GB"/>
              </w:rPr>
            </w:pPr>
            <w:r w:rsidRPr="0015116E">
              <w:rPr>
                <w:rFonts w:eastAsia="Calibri"/>
                <w:color w:val="000000" w:themeColor="text1"/>
                <w:sz w:val="20"/>
                <w:szCs w:val="20"/>
                <w:lang w:val="en-GB"/>
              </w:rPr>
              <w:t>HNO</w:t>
            </w:r>
            <w:r w:rsidRPr="0015116E">
              <w:rPr>
                <w:rFonts w:eastAsia="Calibri"/>
                <w:color w:val="000000" w:themeColor="text1"/>
                <w:sz w:val="20"/>
                <w:szCs w:val="20"/>
                <w:vertAlign w:val="subscript"/>
                <w:lang w:val="en-GB"/>
              </w:rPr>
              <w:t>3</w:t>
            </w:r>
          </w:p>
        </w:tc>
        <w:tc>
          <w:tcPr>
            <w:tcW w:w="2977" w:type="dxa"/>
            <w:tcBorders>
              <w:top w:val="nil"/>
              <w:left w:val="nil"/>
              <w:bottom w:val="nil"/>
              <w:right w:val="nil"/>
            </w:tcBorders>
            <w:shd w:val="clear" w:color="auto" w:fill="auto"/>
          </w:tcPr>
          <w:p w14:paraId="3E619F43" w14:textId="77777777" w:rsidR="00762757" w:rsidRPr="0015116E" w:rsidRDefault="00762757" w:rsidP="005E42EA">
            <w:pPr>
              <w:spacing w:line="480" w:lineRule="auto"/>
              <w:jc w:val="center"/>
              <w:rPr>
                <w:rFonts w:eastAsia="Calibri"/>
                <w:color w:val="000000" w:themeColor="text1"/>
                <w:sz w:val="20"/>
                <w:szCs w:val="20"/>
                <w:lang w:val="en-GB"/>
              </w:rPr>
            </w:pPr>
            <w:r w:rsidRPr="0015116E">
              <w:rPr>
                <w:rFonts w:eastAsia="Calibri"/>
                <w:color w:val="000000" w:themeColor="text1"/>
                <w:sz w:val="20"/>
                <w:szCs w:val="20"/>
                <w:lang w:val="en-GB"/>
              </w:rPr>
              <w:t>sol. 70%; 40 min puddle, RT</w:t>
            </w:r>
          </w:p>
        </w:tc>
        <w:tc>
          <w:tcPr>
            <w:tcW w:w="1984" w:type="dxa"/>
            <w:tcBorders>
              <w:top w:val="nil"/>
              <w:left w:val="nil"/>
              <w:bottom w:val="nil"/>
              <w:right w:val="nil"/>
            </w:tcBorders>
            <w:shd w:val="clear" w:color="auto" w:fill="auto"/>
          </w:tcPr>
          <w:p w14:paraId="4227A0F6" w14:textId="77777777" w:rsidR="00762757" w:rsidRPr="0015116E" w:rsidRDefault="00762757" w:rsidP="005E42EA">
            <w:pPr>
              <w:spacing w:line="480" w:lineRule="auto"/>
              <w:jc w:val="center"/>
              <w:rPr>
                <w:rFonts w:eastAsia="Calibri"/>
                <w:color w:val="000000" w:themeColor="text1"/>
                <w:sz w:val="20"/>
                <w:szCs w:val="20"/>
              </w:rPr>
            </w:pPr>
            <w:r w:rsidRPr="0015116E">
              <w:rPr>
                <w:rFonts w:eastAsia="Calibri"/>
                <w:color w:val="000000" w:themeColor="text1"/>
                <w:sz w:val="20"/>
                <w:szCs w:val="20"/>
              </w:rPr>
              <w:t>n.a.</w:t>
            </w:r>
          </w:p>
        </w:tc>
        <w:tc>
          <w:tcPr>
            <w:tcW w:w="1843" w:type="dxa"/>
            <w:tcBorders>
              <w:top w:val="nil"/>
              <w:left w:val="nil"/>
              <w:bottom w:val="nil"/>
              <w:right w:val="nil"/>
            </w:tcBorders>
          </w:tcPr>
          <w:p w14:paraId="0556CC1F" w14:textId="77777777" w:rsidR="00762757" w:rsidRPr="0015116E" w:rsidRDefault="00762757" w:rsidP="005E42EA">
            <w:pPr>
              <w:spacing w:line="480" w:lineRule="auto"/>
              <w:jc w:val="center"/>
              <w:rPr>
                <w:rFonts w:eastAsia="Calibri"/>
                <w:color w:val="000000" w:themeColor="text1"/>
                <w:sz w:val="20"/>
                <w:szCs w:val="20"/>
              </w:rPr>
            </w:pPr>
            <w:r w:rsidRPr="0015116E">
              <w:rPr>
                <w:rFonts w:eastAsia="Calibri"/>
                <w:color w:val="000000" w:themeColor="text1"/>
                <w:sz w:val="20"/>
                <w:szCs w:val="20"/>
              </w:rPr>
              <w:t>average efficiency</w:t>
            </w:r>
          </w:p>
        </w:tc>
      </w:tr>
      <w:tr w:rsidR="00762757" w:rsidRPr="0015116E" w14:paraId="1445BFA8" w14:textId="77777777" w:rsidTr="005E42EA">
        <w:trPr>
          <w:jc w:val="center"/>
        </w:trPr>
        <w:tc>
          <w:tcPr>
            <w:tcW w:w="2410" w:type="dxa"/>
            <w:tcBorders>
              <w:top w:val="nil"/>
              <w:left w:val="nil"/>
              <w:bottom w:val="nil"/>
              <w:right w:val="nil"/>
            </w:tcBorders>
            <w:shd w:val="clear" w:color="auto" w:fill="auto"/>
          </w:tcPr>
          <w:p w14:paraId="7CBB6EAA" w14:textId="77777777" w:rsidR="00762757" w:rsidRPr="0015116E" w:rsidRDefault="00762757" w:rsidP="005E42EA">
            <w:pPr>
              <w:spacing w:line="480" w:lineRule="auto"/>
              <w:rPr>
                <w:rFonts w:eastAsia="Calibri"/>
                <w:color w:val="000000" w:themeColor="text1"/>
                <w:sz w:val="20"/>
                <w:szCs w:val="20"/>
                <w:lang w:val="en-GB"/>
              </w:rPr>
            </w:pPr>
            <w:r w:rsidRPr="0015116E">
              <w:rPr>
                <w:rFonts w:eastAsia="Calibri"/>
                <w:color w:val="000000" w:themeColor="text1"/>
                <w:sz w:val="20"/>
                <w:szCs w:val="20"/>
                <w:lang w:val="en-GB"/>
              </w:rPr>
              <w:t>ACI</w:t>
            </w:r>
            <w:r w:rsidRPr="0015116E">
              <w:rPr>
                <w:rFonts w:eastAsia="Calibri"/>
                <w:color w:val="000000" w:themeColor="text1"/>
                <w:sz w:val="20"/>
                <w:szCs w:val="20"/>
                <w:vertAlign w:val="subscript"/>
                <w:lang w:val="en-GB"/>
              </w:rPr>
              <w:t>2</w:t>
            </w:r>
            <w:r w:rsidRPr="0015116E">
              <w:rPr>
                <w:rFonts w:eastAsia="Calibri"/>
                <w:color w:val="000000" w:themeColor="text1"/>
                <w:sz w:val="20"/>
                <w:szCs w:val="20"/>
                <w:lang w:val="en-GB"/>
              </w:rPr>
              <w:t xml:space="preserve"> etchant</w:t>
            </w:r>
          </w:p>
        </w:tc>
        <w:tc>
          <w:tcPr>
            <w:tcW w:w="2977" w:type="dxa"/>
            <w:tcBorders>
              <w:top w:val="nil"/>
              <w:left w:val="nil"/>
              <w:bottom w:val="nil"/>
              <w:right w:val="nil"/>
            </w:tcBorders>
            <w:shd w:val="clear" w:color="auto" w:fill="auto"/>
          </w:tcPr>
          <w:p w14:paraId="3D9179B4" w14:textId="77777777" w:rsidR="00762757" w:rsidRPr="0015116E" w:rsidRDefault="00762757" w:rsidP="005E42EA">
            <w:pPr>
              <w:spacing w:line="480" w:lineRule="auto"/>
              <w:jc w:val="center"/>
              <w:rPr>
                <w:rFonts w:eastAsia="Calibri"/>
                <w:color w:val="000000" w:themeColor="text1"/>
                <w:sz w:val="20"/>
                <w:szCs w:val="20"/>
                <w:lang w:val="en-GB"/>
              </w:rPr>
            </w:pPr>
            <w:r w:rsidRPr="0015116E">
              <w:rPr>
                <w:rFonts w:eastAsia="Calibri"/>
                <w:color w:val="000000" w:themeColor="text1"/>
                <w:sz w:val="20"/>
                <w:szCs w:val="20"/>
                <w:lang w:val="en-GB"/>
              </w:rPr>
              <w:t>sol. 2.5-10%; 10 s puddle, RT</w:t>
            </w:r>
          </w:p>
        </w:tc>
        <w:tc>
          <w:tcPr>
            <w:tcW w:w="1984" w:type="dxa"/>
            <w:tcBorders>
              <w:top w:val="nil"/>
              <w:left w:val="nil"/>
              <w:bottom w:val="nil"/>
              <w:right w:val="nil"/>
            </w:tcBorders>
            <w:shd w:val="clear" w:color="auto" w:fill="auto"/>
          </w:tcPr>
          <w:p w14:paraId="10F6B14E" w14:textId="77777777" w:rsidR="00762757" w:rsidRPr="0015116E" w:rsidRDefault="00762757" w:rsidP="005E42EA">
            <w:pPr>
              <w:spacing w:line="480" w:lineRule="auto"/>
              <w:jc w:val="center"/>
              <w:rPr>
                <w:rFonts w:eastAsia="Calibri"/>
                <w:color w:val="000000" w:themeColor="text1"/>
                <w:sz w:val="20"/>
                <w:szCs w:val="20"/>
              </w:rPr>
            </w:pPr>
            <w:r w:rsidRPr="0015116E">
              <w:rPr>
                <w:rFonts w:eastAsia="Calibri"/>
                <w:color w:val="000000" w:themeColor="text1"/>
                <w:sz w:val="20"/>
                <w:szCs w:val="20"/>
              </w:rPr>
              <w:t>n.a.</w:t>
            </w:r>
          </w:p>
        </w:tc>
        <w:tc>
          <w:tcPr>
            <w:tcW w:w="1843" w:type="dxa"/>
            <w:tcBorders>
              <w:top w:val="nil"/>
              <w:left w:val="nil"/>
              <w:bottom w:val="nil"/>
              <w:right w:val="nil"/>
            </w:tcBorders>
          </w:tcPr>
          <w:p w14:paraId="62FCB8AD" w14:textId="77777777" w:rsidR="00762757" w:rsidRPr="0015116E" w:rsidRDefault="00762757" w:rsidP="005E42EA">
            <w:pPr>
              <w:spacing w:line="480" w:lineRule="auto"/>
              <w:jc w:val="center"/>
              <w:rPr>
                <w:rFonts w:eastAsia="Calibri"/>
                <w:color w:val="000000" w:themeColor="text1"/>
                <w:sz w:val="20"/>
                <w:szCs w:val="20"/>
              </w:rPr>
            </w:pPr>
            <w:r w:rsidRPr="0015116E">
              <w:rPr>
                <w:rFonts w:eastAsia="Calibri"/>
                <w:color w:val="000000" w:themeColor="text1"/>
                <w:sz w:val="20"/>
                <w:szCs w:val="20"/>
              </w:rPr>
              <w:t>reduced efficiency</w:t>
            </w:r>
          </w:p>
        </w:tc>
      </w:tr>
      <w:tr w:rsidR="00762757" w:rsidRPr="0015116E" w14:paraId="3DBC1CC7" w14:textId="77777777" w:rsidTr="005E42EA">
        <w:trPr>
          <w:jc w:val="center"/>
        </w:trPr>
        <w:tc>
          <w:tcPr>
            <w:tcW w:w="2410" w:type="dxa"/>
            <w:tcBorders>
              <w:top w:val="nil"/>
              <w:left w:val="nil"/>
              <w:bottom w:val="nil"/>
              <w:right w:val="nil"/>
            </w:tcBorders>
            <w:shd w:val="clear" w:color="auto" w:fill="auto"/>
          </w:tcPr>
          <w:p w14:paraId="52D65EB5" w14:textId="77777777" w:rsidR="00762757" w:rsidRPr="0015116E" w:rsidRDefault="00762757" w:rsidP="005E42EA">
            <w:pPr>
              <w:spacing w:line="480" w:lineRule="auto"/>
              <w:rPr>
                <w:rFonts w:eastAsia="Calibri"/>
                <w:color w:val="000000" w:themeColor="text1"/>
                <w:sz w:val="20"/>
                <w:szCs w:val="20"/>
                <w:lang w:val="en-GB"/>
              </w:rPr>
            </w:pPr>
            <w:r w:rsidRPr="0015116E">
              <w:rPr>
                <w:rFonts w:eastAsia="Calibri"/>
                <w:color w:val="000000" w:themeColor="text1"/>
                <w:sz w:val="20"/>
                <w:szCs w:val="20"/>
                <w:lang w:val="en-GB"/>
              </w:rPr>
              <w:t>chloroform</w:t>
            </w:r>
          </w:p>
        </w:tc>
        <w:tc>
          <w:tcPr>
            <w:tcW w:w="2977" w:type="dxa"/>
            <w:tcBorders>
              <w:top w:val="nil"/>
              <w:left w:val="nil"/>
              <w:bottom w:val="nil"/>
              <w:right w:val="nil"/>
            </w:tcBorders>
            <w:shd w:val="clear" w:color="auto" w:fill="auto"/>
          </w:tcPr>
          <w:p w14:paraId="04FC14F5" w14:textId="77777777" w:rsidR="00762757" w:rsidRPr="0015116E" w:rsidRDefault="00762757" w:rsidP="005E42EA">
            <w:pPr>
              <w:spacing w:line="480" w:lineRule="auto"/>
              <w:jc w:val="center"/>
              <w:rPr>
                <w:rFonts w:eastAsia="Calibri"/>
                <w:color w:val="000000" w:themeColor="text1"/>
                <w:sz w:val="20"/>
                <w:szCs w:val="20"/>
                <w:lang w:val="en-GB"/>
              </w:rPr>
            </w:pPr>
            <w:r w:rsidRPr="0015116E">
              <w:rPr>
                <w:rFonts w:eastAsia="Calibri"/>
                <w:color w:val="000000" w:themeColor="text1"/>
                <w:sz w:val="20"/>
                <w:szCs w:val="20"/>
                <w:lang w:val="en-GB"/>
              </w:rPr>
              <w:t>puddle, RT</w:t>
            </w:r>
          </w:p>
        </w:tc>
        <w:tc>
          <w:tcPr>
            <w:tcW w:w="1984" w:type="dxa"/>
            <w:tcBorders>
              <w:top w:val="nil"/>
              <w:left w:val="nil"/>
              <w:bottom w:val="nil"/>
              <w:right w:val="nil"/>
            </w:tcBorders>
            <w:shd w:val="clear" w:color="auto" w:fill="auto"/>
          </w:tcPr>
          <w:p w14:paraId="55BCAE41" w14:textId="77777777" w:rsidR="00762757" w:rsidRPr="0015116E" w:rsidRDefault="00762757" w:rsidP="005E42EA">
            <w:pPr>
              <w:spacing w:line="480" w:lineRule="auto"/>
              <w:jc w:val="center"/>
              <w:rPr>
                <w:rFonts w:eastAsia="Calibri"/>
                <w:color w:val="000000" w:themeColor="text1"/>
                <w:sz w:val="20"/>
                <w:szCs w:val="20"/>
              </w:rPr>
            </w:pPr>
            <w:r w:rsidRPr="0015116E">
              <w:rPr>
                <w:rFonts w:eastAsia="Calibri"/>
                <w:color w:val="000000" w:themeColor="text1"/>
                <w:sz w:val="20"/>
                <w:szCs w:val="20"/>
              </w:rPr>
              <w:t>n.a.</w:t>
            </w:r>
          </w:p>
        </w:tc>
        <w:tc>
          <w:tcPr>
            <w:tcW w:w="1843" w:type="dxa"/>
            <w:tcBorders>
              <w:top w:val="nil"/>
              <w:left w:val="nil"/>
              <w:bottom w:val="nil"/>
              <w:right w:val="nil"/>
            </w:tcBorders>
          </w:tcPr>
          <w:p w14:paraId="4275D6BE" w14:textId="77777777" w:rsidR="00762757" w:rsidRPr="0015116E" w:rsidRDefault="00762757" w:rsidP="005E42EA">
            <w:pPr>
              <w:spacing w:line="480" w:lineRule="auto"/>
              <w:jc w:val="center"/>
              <w:rPr>
                <w:rFonts w:eastAsia="Calibri"/>
                <w:color w:val="000000" w:themeColor="text1"/>
                <w:sz w:val="20"/>
                <w:szCs w:val="20"/>
              </w:rPr>
            </w:pPr>
            <w:r w:rsidRPr="0015116E">
              <w:rPr>
                <w:rFonts w:eastAsia="Calibri"/>
                <w:color w:val="000000" w:themeColor="text1"/>
                <w:sz w:val="20"/>
                <w:szCs w:val="20"/>
              </w:rPr>
              <w:t xml:space="preserve">reduced efficiency </w:t>
            </w:r>
          </w:p>
        </w:tc>
      </w:tr>
      <w:tr w:rsidR="00762757" w:rsidRPr="0015116E" w14:paraId="2B936BBA" w14:textId="77777777" w:rsidTr="005E42EA">
        <w:trPr>
          <w:jc w:val="center"/>
        </w:trPr>
        <w:tc>
          <w:tcPr>
            <w:tcW w:w="2410" w:type="dxa"/>
            <w:tcBorders>
              <w:top w:val="nil"/>
              <w:left w:val="nil"/>
              <w:right w:val="nil"/>
            </w:tcBorders>
            <w:shd w:val="clear" w:color="auto" w:fill="auto"/>
          </w:tcPr>
          <w:p w14:paraId="74A8CB64" w14:textId="77777777" w:rsidR="00762757" w:rsidRPr="0015116E" w:rsidRDefault="00762757" w:rsidP="005E42EA">
            <w:pPr>
              <w:spacing w:line="480" w:lineRule="auto"/>
              <w:rPr>
                <w:rFonts w:eastAsia="Calibri"/>
                <w:color w:val="000000" w:themeColor="text1"/>
                <w:sz w:val="20"/>
                <w:szCs w:val="20"/>
                <w:lang w:val="en-GB"/>
              </w:rPr>
            </w:pPr>
            <w:r w:rsidRPr="0015116E">
              <w:rPr>
                <w:rFonts w:eastAsia="Calibri"/>
                <w:color w:val="000000" w:themeColor="text1"/>
                <w:sz w:val="20"/>
                <w:szCs w:val="20"/>
                <w:lang w:val="en-GB"/>
              </w:rPr>
              <w:t>KOH</w:t>
            </w:r>
          </w:p>
        </w:tc>
        <w:tc>
          <w:tcPr>
            <w:tcW w:w="2977" w:type="dxa"/>
            <w:tcBorders>
              <w:top w:val="nil"/>
              <w:left w:val="nil"/>
              <w:right w:val="nil"/>
            </w:tcBorders>
            <w:shd w:val="clear" w:color="auto" w:fill="auto"/>
          </w:tcPr>
          <w:p w14:paraId="0A8FB803" w14:textId="77777777" w:rsidR="00762757" w:rsidRPr="0015116E" w:rsidRDefault="00762757" w:rsidP="005E42EA">
            <w:pPr>
              <w:spacing w:line="480" w:lineRule="auto"/>
              <w:jc w:val="center"/>
              <w:rPr>
                <w:rFonts w:eastAsia="Calibri"/>
                <w:color w:val="000000" w:themeColor="text1"/>
                <w:sz w:val="20"/>
                <w:szCs w:val="20"/>
                <w:lang w:val="en-GB"/>
              </w:rPr>
            </w:pPr>
            <w:r w:rsidRPr="0015116E">
              <w:rPr>
                <w:rFonts w:eastAsia="Calibri"/>
                <w:color w:val="000000" w:themeColor="text1"/>
                <w:sz w:val="20"/>
                <w:szCs w:val="20"/>
                <w:lang w:val="en-GB"/>
              </w:rPr>
              <w:t>sol. 30-50 %, puddle, RT</w:t>
            </w:r>
          </w:p>
        </w:tc>
        <w:tc>
          <w:tcPr>
            <w:tcW w:w="1984" w:type="dxa"/>
            <w:tcBorders>
              <w:top w:val="nil"/>
              <w:left w:val="nil"/>
              <w:right w:val="nil"/>
            </w:tcBorders>
            <w:shd w:val="clear" w:color="auto" w:fill="auto"/>
          </w:tcPr>
          <w:p w14:paraId="46930828" w14:textId="77777777" w:rsidR="00762757" w:rsidRPr="0015116E" w:rsidRDefault="00762757" w:rsidP="005E42EA">
            <w:pPr>
              <w:spacing w:line="480" w:lineRule="auto"/>
              <w:jc w:val="center"/>
              <w:rPr>
                <w:rFonts w:eastAsia="Calibri"/>
                <w:color w:val="000000" w:themeColor="text1"/>
                <w:sz w:val="20"/>
                <w:szCs w:val="20"/>
              </w:rPr>
            </w:pPr>
            <w:r w:rsidRPr="0015116E">
              <w:rPr>
                <w:rFonts w:eastAsia="Calibri"/>
                <w:color w:val="000000" w:themeColor="text1"/>
                <w:sz w:val="20"/>
                <w:szCs w:val="20"/>
              </w:rPr>
              <w:t>n.a.</w:t>
            </w:r>
          </w:p>
        </w:tc>
        <w:tc>
          <w:tcPr>
            <w:tcW w:w="1843" w:type="dxa"/>
            <w:tcBorders>
              <w:top w:val="nil"/>
              <w:left w:val="nil"/>
              <w:right w:val="nil"/>
            </w:tcBorders>
          </w:tcPr>
          <w:p w14:paraId="11ACC1CC" w14:textId="77777777" w:rsidR="00762757" w:rsidRPr="0015116E" w:rsidRDefault="00762757" w:rsidP="005E42EA">
            <w:pPr>
              <w:spacing w:line="480" w:lineRule="auto"/>
              <w:jc w:val="center"/>
              <w:rPr>
                <w:rFonts w:eastAsia="Calibri"/>
                <w:color w:val="000000" w:themeColor="text1"/>
                <w:sz w:val="20"/>
                <w:szCs w:val="20"/>
              </w:rPr>
            </w:pPr>
            <w:r w:rsidRPr="0015116E">
              <w:rPr>
                <w:rFonts w:eastAsia="Calibri"/>
                <w:color w:val="000000" w:themeColor="text1"/>
                <w:sz w:val="20"/>
                <w:szCs w:val="20"/>
              </w:rPr>
              <w:t>reduced efficiency</w:t>
            </w:r>
          </w:p>
        </w:tc>
      </w:tr>
    </w:tbl>
    <w:p w14:paraId="51989663" w14:textId="77777777" w:rsidR="00762757" w:rsidRPr="0015116E" w:rsidRDefault="00762757" w:rsidP="00762757">
      <w:pPr>
        <w:spacing w:line="480" w:lineRule="auto"/>
        <w:jc w:val="both"/>
        <w:rPr>
          <w:rFonts w:eastAsia="Calibri"/>
          <w:color w:val="000000" w:themeColor="text1"/>
          <w:sz w:val="20"/>
          <w:szCs w:val="20"/>
        </w:rPr>
      </w:pPr>
      <w:r w:rsidRPr="0015116E">
        <w:rPr>
          <w:color w:val="000000" w:themeColor="text1"/>
          <w:sz w:val="20"/>
          <w:szCs w:val="20"/>
          <w:lang w:val="en-GB"/>
        </w:rPr>
        <w:t xml:space="preserve">Note: </w:t>
      </w:r>
      <w:r w:rsidRPr="0015116E">
        <w:rPr>
          <w:rFonts w:eastAsia="Calibri"/>
          <w:color w:val="000000" w:themeColor="text1"/>
          <w:sz w:val="20"/>
          <w:szCs w:val="20"/>
        </w:rPr>
        <w:t>reduced efficiency - gratings quality affected; average efficiency - hardened resist remained; increased efficiency - minor amount of resist remained; n.a. - not measured.</w:t>
      </w:r>
    </w:p>
    <w:p w14:paraId="65CE294E" w14:textId="77777777" w:rsidR="00762757" w:rsidRPr="0015116E" w:rsidRDefault="00762757" w:rsidP="00762757">
      <w:pPr>
        <w:spacing w:line="480" w:lineRule="auto"/>
        <w:jc w:val="both"/>
        <w:rPr>
          <w:rFonts w:eastAsia="Calibri"/>
          <w:color w:val="000000" w:themeColor="text1"/>
          <w:sz w:val="20"/>
          <w:szCs w:val="20"/>
        </w:rPr>
      </w:pPr>
    </w:p>
    <w:p w14:paraId="56B8C82D" w14:textId="6BEF3CCB" w:rsidR="00762757" w:rsidRPr="0015116E" w:rsidRDefault="002F11F2" w:rsidP="0026061F">
      <w:pPr>
        <w:spacing w:line="480" w:lineRule="auto"/>
        <w:jc w:val="both"/>
        <w:rPr>
          <w:color w:val="000000" w:themeColor="text1"/>
          <w:lang w:val="en-GB"/>
        </w:rPr>
      </w:pPr>
      <w:r>
        <w:t xml:space="preserve">Overall, </w:t>
      </w:r>
      <w:r w:rsidRPr="002F11F2">
        <w:rPr>
          <w:color w:val="000000" w:themeColor="text1"/>
          <w:lang w:val="en-GB"/>
        </w:rPr>
        <w:t xml:space="preserve">Ar-ion milling process was found to give the best results among </w:t>
      </w:r>
      <w:r>
        <w:rPr>
          <w:color w:val="000000" w:themeColor="text1"/>
          <w:lang w:val="en-GB"/>
        </w:rPr>
        <w:t>the</w:t>
      </w:r>
      <w:r w:rsidRPr="002F11F2">
        <w:rPr>
          <w:color w:val="000000" w:themeColor="text1"/>
          <w:lang w:val="en-GB"/>
        </w:rPr>
        <w:t xml:space="preserve"> different methods, </w:t>
      </w:r>
      <w:r>
        <w:rPr>
          <w:color w:val="000000" w:themeColor="text1"/>
          <w:lang w:val="en-GB"/>
        </w:rPr>
        <w:t>with</w:t>
      </w:r>
      <w:r w:rsidRPr="002F11F2">
        <w:rPr>
          <w:color w:val="000000" w:themeColor="text1"/>
          <w:lang w:val="en-GB"/>
        </w:rPr>
        <w:t xml:space="preserve"> complete removal of hardened PMMA resist, </w:t>
      </w:r>
      <w:r>
        <w:rPr>
          <w:color w:val="000000" w:themeColor="text1"/>
          <w:lang w:val="en-GB"/>
        </w:rPr>
        <w:t xml:space="preserve">and high </w:t>
      </w:r>
      <w:r w:rsidRPr="002F11F2">
        <w:rPr>
          <w:color w:val="000000" w:themeColor="text1"/>
          <w:lang w:val="en-GB"/>
        </w:rPr>
        <w:t>quality aspect of the gratings (see Fig</w:t>
      </w:r>
      <w:r w:rsidR="00BF5CBE">
        <w:rPr>
          <w:color w:val="000000" w:themeColor="text1"/>
          <w:lang w:val="en-GB"/>
        </w:rPr>
        <w:t>ure</w:t>
      </w:r>
      <w:r>
        <w:rPr>
          <w:color w:val="000000" w:themeColor="text1"/>
          <w:lang w:val="en-GB"/>
        </w:rPr>
        <w:t xml:space="preserve"> S2</w:t>
      </w:r>
      <w:r w:rsidR="003E4C29">
        <w:rPr>
          <w:color w:val="000000" w:themeColor="text1"/>
          <w:lang w:val="en-GB"/>
        </w:rPr>
        <w:t>.</w:t>
      </w:r>
      <w:r w:rsidRPr="002F11F2">
        <w:rPr>
          <w:color w:val="000000" w:themeColor="text1"/>
          <w:lang w:val="en-GB"/>
        </w:rPr>
        <w:t>h and Fig</w:t>
      </w:r>
      <w:r w:rsidR="00BF5CBE">
        <w:rPr>
          <w:color w:val="000000" w:themeColor="text1"/>
          <w:lang w:val="en-GB"/>
        </w:rPr>
        <w:t>ure</w:t>
      </w:r>
      <w:r>
        <w:rPr>
          <w:color w:val="000000" w:themeColor="text1"/>
          <w:lang w:val="en-GB"/>
        </w:rPr>
        <w:t xml:space="preserve"> S3</w:t>
      </w:r>
      <w:r w:rsidR="003E4C29">
        <w:rPr>
          <w:color w:val="000000" w:themeColor="text1"/>
          <w:lang w:val="en-GB"/>
        </w:rPr>
        <w:t>.</w:t>
      </w:r>
      <w:r>
        <w:rPr>
          <w:color w:val="000000" w:themeColor="text1"/>
          <w:lang w:val="en-GB"/>
        </w:rPr>
        <w:t>f)</w:t>
      </w:r>
      <w:r w:rsidRPr="002F11F2">
        <w:rPr>
          <w:color w:val="000000" w:themeColor="text1"/>
          <w:lang w:val="en-GB"/>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0"/>
      </w:tblGrid>
      <w:tr w:rsidR="00762757" w:rsidRPr="0015116E" w14:paraId="15231BBE" w14:textId="77777777" w:rsidTr="005E42EA">
        <w:trPr>
          <w:jc w:val="center"/>
        </w:trPr>
        <w:tc>
          <w:tcPr>
            <w:tcW w:w="9060" w:type="dxa"/>
          </w:tcPr>
          <w:p w14:paraId="09E44476" w14:textId="238F9339" w:rsidR="00762757" w:rsidRPr="0015116E" w:rsidRDefault="002F11F2" w:rsidP="009516A4">
            <w:pPr>
              <w:spacing w:before="240" w:line="480" w:lineRule="auto"/>
              <w:jc w:val="center"/>
              <w:rPr>
                <w:color w:val="000000" w:themeColor="text1"/>
                <w:lang w:val="en-GB"/>
              </w:rPr>
            </w:pPr>
            <w:r w:rsidRPr="007566DF">
              <w:rPr>
                <w:rFonts w:cs="Calibri"/>
                <w:i/>
                <w:noProof/>
                <w:lang w:eastAsia="ro-RO"/>
              </w:rPr>
              <w:lastRenderedPageBreak/>
              <w:drawing>
                <wp:inline distT="0" distB="0" distL="0" distR="0" wp14:anchorId="561A1A77" wp14:editId="1BC2260E">
                  <wp:extent cx="3960000" cy="2622517"/>
                  <wp:effectExtent l="0" t="0" r="254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60000" cy="2622517"/>
                          </a:xfrm>
                          <a:prstGeom prst="rect">
                            <a:avLst/>
                          </a:prstGeom>
                          <a:noFill/>
                          <a:ln>
                            <a:noFill/>
                          </a:ln>
                        </pic:spPr>
                      </pic:pic>
                    </a:graphicData>
                  </a:graphic>
                </wp:inline>
              </w:drawing>
            </w:r>
          </w:p>
        </w:tc>
      </w:tr>
      <w:tr w:rsidR="00762757" w:rsidRPr="0015116E" w14:paraId="3D55D819" w14:textId="77777777" w:rsidTr="00DF5872">
        <w:trPr>
          <w:jc w:val="center"/>
        </w:trPr>
        <w:tc>
          <w:tcPr>
            <w:tcW w:w="9060" w:type="dxa"/>
          </w:tcPr>
          <w:p w14:paraId="7EEBF653" w14:textId="7CFD3FB5" w:rsidR="00762757" w:rsidRPr="0015116E" w:rsidRDefault="00762757" w:rsidP="00407712">
            <w:pPr>
              <w:pStyle w:val="Caption"/>
              <w:spacing w:after="240" w:line="480" w:lineRule="auto"/>
              <w:jc w:val="both"/>
              <w:rPr>
                <w:rFonts w:ascii="Times New Roman" w:hAnsi="Times New Roman"/>
                <w:i w:val="0"/>
                <w:iCs w:val="0"/>
                <w:color w:val="000000" w:themeColor="text1"/>
                <w:sz w:val="20"/>
                <w:szCs w:val="20"/>
                <w:lang w:val="en-GB"/>
              </w:rPr>
            </w:pPr>
            <w:r w:rsidRPr="0015116E">
              <w:rPr>
                <w:rFonts w:ascii="Times New Roman" w:hAnsi="Times New Roman"/>
                <w:i w:val="0"/>
                <w:iCs w:val="0"/>
                <w:color w:val="000000" w:themeColor="text1"/>
                <w:sz w:val="20"/>
                <w:szCs w:val="20"/>
                <w:lang w:val="en-GB"/>
              </w:rPr>
              <w:t xml:space="preserve">Figure </w:t>
            </w:r>
            <w:r w:rsidR="009516A4">
              <w:rPr>
                <w:rFonts w:ascii="Times New Roman" w:hAnsi="Times New Roman"/>
                <w:i w:val="0"/>
                <w:iCs w:val="0"/>
                <w:color w:val="000000" w:themeColor="text1"/>
                <w:sz w:val="20"/>
                <w:szCs w:val="20"/>
                <w:lang w:val="en-GB"/>
              </w:rPr>
              <w:t>S2</w:t>
            </w:r>
            <w:r w:rsidRPr="0015116E">
              <w:rPr>
                <w:rFonts w:ascii="Times New Roman" w:hAnsi="Times New Roman"/>
                <w:i w:val="0"/>
                <w:iCs w:val="0"/>
                <w:color w:val="000000" w:themeColor="text1"/>
                <w:sz w:val="20"/>
                <w:szCs w:val="20"/>
                <w:lang w:val="en-GB"/>
              </w:rPr>
              <w:t xml:space="preserve">. </w:t>
            </w:r>
            <w:r w:rsidR="002F11F2" w:rsidRPr="002F11F2">
              <w:rPr>
                <w:rFonts w:ascii="Times New Roman" w:hAnsi="Times New Roman"/>
                <w:i w:val="0"/>
                <w:iCs w:val="0"/>
                <w:color w:val="000000" w:themeColor="text1"/>
                <w:sz w:val="20"/>
                <w:szCs w:val="20"/>
                <w:lang w:val="en-GB"/>
              </w:rPr>
              <w:t>Optical images of Cu foils after different chemical or physical processes used for resist removal: a) acetone puddle, 10 min; b) acetone US bath, 25 min; c) P1316 puddle, 30 min and 2 min US bath; d) P1316 puddle, 5 min and 2 min US bath, both at 90°C; e) RIE Ar plasma, 5 min, HF 150W; f) RIE Ar plasma, 20 min, HF 250W; g) RIE O</w:t>
            </w:r>
            <w:r w:rsidR="002F11F2" w:rsidRPr="00DF5872">
              <w:rPr>
                <w:rFonts w:ascii="Times New Roman" w:hAnsi="Times New Roman"/>
                <w:i w:val="0"/>
                <w:iCs w:val="0"/>
                <w:color w:val="000000" w:themeColor="text1"/>
                <w:sz w:val="20"/>
                <w:szCs w:val="20"/>
                <w:vertAlign w:val="subscript"/>
                <w:lang w:val="en-GB"/>
              </w:rPr>
              <w:t>2</w:t>
            </w:r>
            <w:r w:rsidR="002F11F2" w:rsidRPr="002F11F2">
              <w:rPr>
                <w:rFonts w:ascii="Times New Roman" w:hAnsi="Times New Roman"/>
                <w:i w:val="0"/>
                <w:iCs w:val="0"/>
                <w:color w:val="000000" w:themeColor="text1"/>
                <w:sz w:val="20"/>
                <w:szCs w:val="20"/>
                <w:lang w:val="en-GB"/>
              </w:rPr>
              <w:t xml:space="preserve"> plasma, 15 min, HF 150W; h) Ar-ion milling, 30 min. Where not mentioned, </w:t>
            </w:r>
            <w:r w:rsidR="000F2BE7">
              <w:rPr>
                <w:rFonts w:ascii="Times New Roman" w:hAnsi="Times New Roman"/>
                <w:i w:val="0"/>
                <w:iCs w:val="0"/>
                <w:color w:val="000000" w:themeColor="text1"/>
                <w:sz w:val="20"/>
                <w:szCs w:val="20"/>
                <w:lang w:val="en-GB"/>
              </w:rPr>
              <w:t xml:space="preserve">chemical etching process was performed </w:t>
            </w:r>
            <w:r w:rsidR="002F11F2" w:rsidRPr="002F11F2">
              <w:rPr>
                <w:rFonts w:ascii="Times New Roman" w:hAnsi="Times New Roman"/>
                <w:i w:val="0"/>
                <w:iCs w:val="0"/>
                <w:color w:val="000000" w:themeColor="text1"/>
                <w:sz w:val="20"/>
                <w:szCs w:val="20"/>
                <w:lang w:val="en-GB"/>
              </w:rPr>
              <w:t>at RT</w:t>
            </w:r>
            <w:r w:rsidR="002F11F2">
              <w:rPr>
                <w:rFonts w:ascii="Times New Roman" w:hAnsi="Times New Roman"/>
                <w:i w:val="0"/>
                <w:iCs w:val="0"/>
                <w:color w:val="000000" w:themeColor="text1"/>
                <w:sz w:val="20"/>
                <w:szCs w:val="20"/>
                <w:lang w:val="en-GB"/>
              </w:rPr>
              <w:t>.</w:t>
            </w:r>
          </w:p>
        </w:tc>
      </w:tr>
      <w:tr w:rsidR="002F11F2" w:rsidRPr="0015116E" w14:paraId="02C739C5" w14:textId="77777777" w:rsidTr="00DF5872">
        <w:trPr>
          <w:jc w:val="center"/>
        </w:trPr>
        <w:tc>
          <w:tcPr>
            <w:tcW w:w="9060" w:type="dxa"/>
            <w:tcBorders>
              <w:top w:val="nil"/>
              <w:left w:val="nil"/>
              <w:bottom w:val="nil"/>
              <w:right w:val="nil"/>
            </w:tcBorders>
          </w:tcPr>
          <w:p w14:paraId="0E6639E2" w14:textId="5DAD8E3D" w:rsidR="002F11F2" w:rsidRPr="0015116E" w:rsidRDefault="002F11F2" w:rsidP="00DF0E36">
            <w:pPr>
              <w:spacing w:before="240" w:line="480" w:lineRule="auto"/>
              <w:jc w:val="center"/>
              <w:rPr>
                <w:color w:val="000000" w:themeColor="text1"/>
                <w:lang w:val="en-GB"/>
              </w:rPr>
            </w:pPr>
            <w:r w:rsidRPr="007566DF">
              <w:rPr>
                <w:rFonts w:ascii="Calibri" w:hAnsi="Calibri" w:cs="Calibri"/>
                <w:noProof/>
                <w:lang w:eastAsia="ro-RO"/>
              </w:rPr>
              <w:drawing>
                <wp:inline distT="0" distB="0" distL="0" distR="0" wp14:anchorId="03117702" wp14:editId="041790FD">
                  <wp:extent cx="3600000" cy="2423841"/>
                  <wp:effectExtent l="0" t="0" r="635" b="0"/>
                  <wp:docPr id="9" name="Picture 9" descr="Fi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00000" cy="2423841"/>
                          </a:xfrm>
                          <a:prstGeom prst="rect">
                            <a:avLst/>
                          </a:prstGeom>
                          <a:noFill/>
                          <a:ln>
                            <a:noFill/>
                          </a:ln>
                        </pic:spPr>
                      </pic:pic>
                    </a:graphicData>
                  </a:graphic>
                </wp:inline>
              </w:drawing>
            </w:r>
          </w:p>
        </w:tc>
      </w:tr>
      <w:tr w:rsidR="002F11F2" w:rsidRPr="0015116E" w14:paraId="06C97FC8" w14:textId="77777777" w:rsidTr="00DF5872">
        <w:trPr>
          <w:jc w:val="center"/>
        </w:trPr>
        <w:tc>
          <w:tcPr>
            <w:tcW w:w="9060" w:type="dxa"/>
            <w:tcBorders>
              <w:top w:val="nil"/>
              <w:left w:val="nil"/>
              <w:bottom w:val="nil"/>
              <w:right w:val="nil"/>
            </w:tcBorders>
          </w:tcPr>
          <w:p w14:paraId="2FFFE38E" w14:textId="737EAFF6" w:rsidR="002F11F2" w:rsidRPr="0015116E" w:rsidRDefault="002F11F2" w:rsidP="00407712">
            <w:pPr>
              <w:pStyle w:val="Caption"/>
              <w:spacing w:after="240" w:line="480" w:lineRule="auto"/>
              <w:jc w:val="both"/>
              <w:rPr>
                <w:rFonts w:ascii="Times New Roman" w:hAnsi="Times New Roman"/>
                <w:i w:val="0"/>
                <w:iCs w:val="0"/>
                <w:color w:val="000000" w:themeColor="text1"/>
                <w:sz w:val="20"/>
                <w:szCs w:val="20"/>
                <w:lang w:val="en-GB"/>
              </w:rPr>
            </w:pPr>
            <w:r w:rsidRPr="0015116E">
              <w:rPr>
                <w:rFonts w:ascii="Times New Roman" w:hAnsi="Times New Roman"/>
                <w:i w:val="0"/>
                <w:iCs w:val="0"/>
                <w:color w:val="000000" w:themeColor="text1"/>
                <w:sz w:val="20"/>
                <w:szCs w:val="20"/>
                <w:lang w:val="en-GB"/>
              </w:rPr>
              <w:t xml:space="preserve">Figure </w:t>
            </w:r>
            <w:r>
              <w:rPr>
                <w:rFonts w:ascii="Times New Roman" w:hAnsi="Times New Roman"/>
                <w:i w:val="0"/>
                <w:iCs w:val="0"/>
                <w:color w:val="000000" w:themeColor="text1"/>
                <w:sz w:val="20"/>
                <w:szCs w:val="20"/>
                <w:lang w:val="en-GB"/>
              </w:rPr>
              <w:t>S3</w:t>
            </w:r>
            <w:r w:rsidRPr="0015116E">
              <w:rPr>
                <w:rFonts w:ascii="Times New Roman" w:hAnsi="Times New Roman"/>
                <w:i w:val="0"/>
                <w:iCs w:val="0"/>
                <w:color w:val="000000" w:themeColor="text1"/>
                <w:sz w:val="20"/>
                <w:szCs w:val="20"/>
                <w:lang w:val="en-GB"/>
              </w:rPr>
              <w:t xml:space="preserve">. </w:t>
            </w:r>
            <w:r w:rsidRPr="002F11F2">
              <w:rPr>
                <w:rFonts w:ascii="Times New Roman" w:hAnsi="Times New Roman"/>
                <w:i w:val="0"/>
                <w:iCs w:val="0"/>
                <w:color w:val="000000" w:themeColor="text1"/>
                <w:sz w:val="20"/>
                <w:szCs w:val="20"/>
                <w:lang w:val="en-GB"/>
              </w:rPr>
              <w:t>Optical images of Au foils after different chemical or physical processes used for resist removal: a) P1316 puddle, 120 min; b) HNO</w:t>
            </w:r>
            <w:r w:rsidRPr="00DF5872">
              <w:rPr>
                <w:rFonts w:ascii="Times New Roman" w:hAnsi="Times New Roman"/>
                <w:i w:val="0"/>
                <w:iCs w:val="0"/>
                <w:color w:val="000000" w:themeColor="text1"/>
                <w:sz w:val="20"/>
                <w:szCs w:val="20"/>
                <w:vertAlign w:val="subscript"/>
                <w:lang w:val="en-GB"/>
              </w:rPr>
              <w:t>3</w:t>
            </w:r>
            <w:r w:rsidRPr="002F11F2">
              <w:rPr>
                <w:rFonts w:ascii="Times New Roman" w:hAnsi="Times New Roman"/>
                <w:i w:val="0"/>
                <w:iCs w:val="0"/>
                <w:color w:val="000000" w:themeColor="text1"/>
                <w:sz w:val="20"/>
                <w:szCs w:val="20"/>
                <w:lang w:val="en-GB"/>
              </w:rPr>
              <w:t xml:space="preserve"> puddle, 40 min; c) ACI</w:t>
            </w:r>
            <w:r w:rsidRPr="00DF5872">
              <w:rPr>
                <w:rFonts w:ascii="Times New Roman" w:hAnsi="Times New Roman"/>
                <w:i w:val="0"/>
                <w:iCs w:val="0"/>
                <w:color w:val="000000" w:themeColor="text1"/>
                <w:sz w:val="20"/>
                <w:szCs w:val="20"/>
                <w:vertAlign w:val="subscript"/>
                <w:lang w:val="en-GB"/>
              </w:rPr>
              <w:t>2</w:t>
            </w:r>
            <w:r w:rsidRPr="002F11F2">
              <w:rPr>
                <w:rFonts w:ascii="Times New Roman" w:hAnsi="Times New Roman"/>
                <w:i w:val="0"/>
                <w:iCs w:val="0"/>
                <w:color w:val="000000" w:themeColor="text1"/>
                <w:sz w:val="20"/>
                <w:szCs w:val="20"/>
                <w:lang w:val="en-GB"/>
              </w:rPr>
              <w:t xml:space="preserve"> puddle, 10 sec; d) RIE O</w:t>
            </w:r>
            <w:r w:rsidRPr="00DF5872">
              <w:rPr>
                <w:rFonts w:ascii="Times New Roman" w:hAnsi="Times New Roman"/>
                <w:i w:val="0"/>
                <w:iCs w:val="0"/>
                <w:color w:val="000000" w:themeColor="text1"/>
                <w:sz w:val="20"/>
                <w:szCs w:val="20"/>
                <w:vertAlign w:val="subscript"/>
                <w:lang w:val="en-GB"/>
              </w:rPr>
              <w:t>2</w:t>
            </w:r>
            <w:r w:rsidRPr="002F11F2">
              <w:rPr>
                <w:rFonts w:ascii="Times New Roman" w:hAnsi="Times New Roman"/>
                <w:i w:val="0"/>
                <w:iCs w:val="0"/>
                <w:color w:val="000000" w:themeColor="text1"/>
                <w:sz w:val="20"/>
                <w:szCs w:val="20"/>
                <w:lang w:val="en-GB"/>
              </w:rPr>
              <w:t xml:space="preserve"> plasma, 10 min, HF 250W; e) RIE O</w:t>
            </w:r>
            <w:r w:rsidRPr="00DF5872">
              <w:rPr>
                <w:rFonts w:ascii="Times New Roman" w:hAnsi="Times New Roman"/>
                <w:i w:val="0"/>
                <w:iCs w:val="0"/>
                <w:color w:val="000000" w:themeColor="text1"/>
                <w:sz w:val="20"/>
                <w:szCs w:val="20"/>
                <w:vertAlign w:val="subscript"/>
                <w:lang w:val="en-GB"/>
              </w:rPr>
              <w:t>2</w:t>
            </w:r>
            <w:r w:rsidRPr="002F11F2">
              <w:rPr>
                <w:rFonts w:ascii="Times New Roman" w:hAnsi="Times New Roman"/>
                <w:i w:val="0"/>
                <w:iCs w:val="0"/>
                <w:color w:val="000000" w:themeColor="text1"/>
                <w:sz w:val="20"/>
                <w:szCs w:val="20"/>
                <w:lang w:val="en-GB"/>
              </w:rPr>
              <w:t xml:space="preserve"> plasma, 10 min, ICP 500W; f) Ar-ion milling, 30 min and acetone puddle, 10 min. Where not mentioned, the solution was at RT</w:t>
            </w:r>
            <w:r w:rsidRPr="0015116E">
              <w:rPr>
                <w:rFonts w:ascii="Times New Roman" w:hAnsi="Times New Roman"/>
                <w:i w:val="0"/>
                <w:iCs w:val="0"/>
                <w:color w:val="000000" w:themeColor="text1"/>
                <w:sz w:val="20"/>
                <w:szCs w:val="20"/>
                <w:lang w:val="en-GB"/>
              </w:rPr>
              <w:t>.</w:t>
            </w:r>
          </w:p>
        </w:tc>
      </w:tr>
    </w:tbl>
    <w:p w14:paraId="6EDE8A02" w14:textId="20227723" w:rsidR="00540C3A" w:rsidRPr="00540C3A" w:rsidRDefault="00540C3A" w:rsidP="00407712">
      <w:pPr>
        <w:spacing w:after="160" w:line="480" w:lineRule="auto"/>
        <w:ind w:firstLine="426"/>
        <w:jc w:val="both"/>
        <w:rPr>
          <w:color w:val="000000" w:themeColor="text1"/>
          <w:lang w:val="en-GB"/>
        </w:rPr>
      </w:pPr>
      <w:r>
        <w:rPr>
          <w:color w:val="000000" w:themeColor="text1"/>
          <w:lang w:val="en-GB"/>
        </w:rPr>
        <w:lastRenderedPageBreak/>
        <w:t>Examples of incomplete and optimal development are also given</w:t>
      </w:r>
      <w:r w:rsidR="00407712">
        <w:rPr>
          <w:color w:val="000000" w:themeColor="text1"/>
          <w:lang w:val="en-GB"/>
        </w:rPr>
        <w:t>,</w:t>
      </w:r>
      <w:r>
        <w:rPr>
          <w:color w:val="000000" w:themeColor="text1"/>
          <w:lang w:val="en-GB"/>
        </w:rPr>
        <w:t xml:space="preserve"> </w:t>
      </w:r>
      <w:r w:rsidRPr="00540C3A">
        <w:rPr>
          <w:color w:val="000000" w:themeColor="text1"/>
          <w:lang w:val="en-GB"/>
        </w:rPr>
        <w:t>optical image of an optimized developed structure being shown in Fig</w:t>
      </w:r>
      <w:r w:rsidR="00B77FAC">
        <w:rPr>
          <w:color w:val="000000" w:themeColor="text1"/>
          <w:lang w:val="en-GB"/>
        </w:rPr>
        <w:t>ure</w:t>
      </w:r>
      <w:r>
        <w:rPr>
          <w:color w:val="000000" w:themeColor="text1"/>
          <w:lang w:val="en-GB"/>
        </w:rPr>
        <w:t xml:space="preserve"> S</w:t>
      </w:r>
      <w:r w:rsidR="00DE6230">
        <w:rPr>
          <w:color w:val="000000" w:themeColor="text1"/>
          <w:lang w:val="en-GB"/>
        </w:rPr>
        <w:t>4.</w:t>
      </w:r>
      <w:r>
        <w:rPr>
          <w:color w:val="000000" w:themeColor="text1"/>
          <w:lang w:val="en-GB"/>
        </w:rPr>
        <w:t>a, along with e</w:t>
      </w:r>
      <w:r w:rsidRPr="00540C3A">
        <w:rPr>
          <w:color w:val="000000" w:themeColor="text1"/>
          <w:lang w:val="en-GB"/>
        </w:rPr>
        <w:t xml:space="preserve">xamples of incomplete </w:t>
      </w:r>
      <w:r>
        <w:rPr>
          <w:color w:val="000000" w:themeColor="text1"/>
          <w:lang w:val="en-GB"/>
        </w:rPr>
        <w:t>and</w:t>
      </w:r>
      <w:r w:rsidRPr="00540C3A">
        <w:rPr>
          <w:color w:val="000000" w:themeColor="text1"/>
          <w:lang w:val="en-GB"/>
        </w:rPr>
        <w:t xml:space="preserve"> over-developed profiles on the Cu foil </w:t>
      </w:r>
      <w:r>
        <w:rPr>
          <w:color w:val="000000" w:themeColor="text1"/>
          <w:lang w:val="en-GB"/>
        </w:rPr>
        <w:t>(</w:t>
      </w:r>
      <w:r w:rsidRPr="00540C3A">
        <w:rPr>
          <w:color w:val="000000" w:themeColor="text1"/>
          <w:lang w:val="en-GB"/>
        </w:rPr>
        <w:t>Fig</w:t>
      </w:r>
      <w:r w:rsidR="00B77FAC">
        <w:rPr>
          <w:color w:val="000000" w:themeColor="text1"/>
          <w:lang w:val="en-GB"/>
        </w:rPr>
        <w:t>ure</w:t>
      </w:r>
      <w:r>
        <w:rPr>
          <w:color w:val="000000" w:themeColor="text1"/>
          <w:lang w:val="en-GB"/>
        </w:rPr>
        <w:t xml:space="preserve"> S</w:t>
      </w:r>
      <w:r w:rsidR="00DE6230">
        <w:rPr>
          <w:color w:val="000000" w:themeColor="text1"/>
          <w:lang w:val="en-GB"/>
        </w:rPr>
        <w:t>4.</w:t>
      </w:r>
      <w:r w:rsidRPr="00540C3A">
        <w:rPr>
          <w:color w:val="000000" w:themeColor="text1"/>
          <w:lang w:val="en-GB"/>
        </w:rPr>
        <w:t>b-c</w:t>
      </w:r>
      <w:r>
        <w:rPr>
          <w:color w:val="000000" w:themeColor="text1"/>
          <w:lang w:val="en-GB"/>
        </w:rPr>
        <w:t>)</w:t>
      </w:r>
      <w:r w:rsidRPr="00540C3A">
        <w:rPr>
          <w:color w:val="000000" w:themeColor="text1"/>
          <w:lang w:val="en-GB"/>
        </w:rPr>
        <w:t>. The non-exposed areas show PMMA-gratings of about 200 nm height (with a continuous layer of resist underneath), for incomplete resist development (</w:t>
      </w:r>
      <w:r>
        <w:rPr>
          <w:color w:val="000000" w:themeColor="text1"/>
          <w:lang w:val="en-GB"/>
        </w:rPr>
        <w:t>Fig</w:t>
      </w:r>
      <w:r w:rsidR="00B77FAC">
        <w:rPr>
          <w:color w:val="000000" w:themeColor="text1"/>
          <w:lang w:val="en-GB"/>
        </w:rPr>
        <w:t>ure</w:t>
      </w:r>
      <w:r>
        <w:rPr>
          <w:color w:val="000000" w:themeColor="text1"/>
          <w:lang w:val="en-GB"/>
        </w:rPr>
        <w:t xml:space="preserve"> S</w:t>
      </w:r>
      <w:r w:rsidR="00DE6230">
        <w:rPr>
          <w:color w:val="000000" w:themeColor="text1"/>
          <w:lang w:val="en-GB"/>
        </w:rPr>
        <w:t>4.</w:t>
      </w:r>
      <w:r w:rsidRPr="00540C3A">
        <w:rPr>
          <w:color w:val="000000" w:themeColor="text1"/>
          <w:lang w:val="en-GB"/>
        </w:rPr>
        <w:t>b), and about 400 nm height, for overdeveloped (Fig</w:t>
      </w:r>
      <w:r w:rsidR="00B77FAC">
        <w:rPr>
          <w:color w:val="000000" w:themeColor="text1"/>
          <w:lang w:val="en-GB"/>
        </w:rPr>
        <w:t>ure</w:t>
      </w:r>
      <w:r>
        <w:rPr>
          <w:color w:val="000000" w:themeColor="text1"/>
          <w:lang w:val="en-GB"/>
        </w:rPr>
        <w:t xml:space="preserve"> S</w:t>
      </w:r>
      <w:r w:rsidR="00DE6230">
        <w:rPr>
          <w:color w:val="000000" w:themeColor="text1"/>
          <w:lang w:val="en-GB"/>
        </w:rPr>
        <w:t>4.</w:t>
      </w:r>
      <w:r w:rsidRPr="00540C3A">
        <w:rPr>
          <w:color w:val="000000" w:themeColor="text1"/>
          <w:lang w:val="en-GB"/>
        </w:rPr>
        <w:t xml:space="preserve">c), the height being determined from AFM analysis. The development data indicate not only the amount of resist removal between the structures, but also partial removal of the resist on non-exposed areas for underdeveloped process, with further reduced width of the gratings due to resist overdevelopment. </w:t>
      </w:r>
    </w:p>
    <w:p w14:paraId="6A615C7F" w14:textId="6E83F44C" w:rsidR="00540C3A" w:rsidRPr="00540C3A" w:rsidRDefault="00540C3A" w:rsidP="00DF5872">
      <w:pPr>
        <w:spacing w:after="160" w:line="480" w:lineRule="auto"/>
        <w:jc w:val="center"/>
        <w:rPr>
          <w:color w:val="000000" w:themeColor="text1"/>
          <w:lang w:val="en-GB"/>
        </w:rPr>
      </w:pPr>
      <w:r w:rsidRPr="007566DF">
        <w:rPr>
          <w:rFonts w:cs="Calibri"/>
          <w:noProof/>
          <w:lang w:eastAsia="ro-RO"/>
        </w:rPr>
        <w:drawing>
          <wp:inline distT="0" distB="0" distL="0" distR="0" wp14:anchorId="61936DC5" wp14:editId="6DE17A67">
            <wp:extent cx="4314825" cy="15240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14825" cy="1524000"/>
                    </a:xfrm>
                    <a:prstGeom prst="rect">
                      <a:avLst/>
                    </a:prstGeom>
                    <a:noFill/>
                    <a:ln>
                      <a:noFill/>
                    </a:ln>
                  </pic:spPr>
                </pic:pic>
              </a:graphicData>
            </a:graphic>
          </wp:inline>
        </w:drawing>
      </w:r>
    </w:p>
    <w:p w14:paraId="04EA62D1" w14:textId="6541482A" w:rsidR="008F6B87" w:rsidRPr="00407712" w:rsidRDefault="00540C3A" w:rsidP="00DF5872">
      <w:pPr>
        <w:spacing w:line="480" w:lineRule="auto"/>
        <w:jc w:val="both"/>
        <w:rPr>
          <w:color w:val="000000" w:themeColor="text1"/>
          <w:sz w:val="20"/>
          <w:szCs w:val="20"/>
          <w:lang w:val="en-GB"/>
        </w:rPr>
      </w:pPr>
      <w:r w:rsidRPr="00407712">
        <w:rPr>
          <w:color w:val="000000" w:themeColor="text1"/>
          <w:sz w:val="20"/>
          <w:szCs w:val="20"/>
          <w:lang w:val="en-GB"/>
        </w:rPr>
        <w:t>Figure S</w:t>
      </w:r>
      <w:r w:rsidR="00DE6230" w:rsidRPr="00407712">
        <w:rPr>
          <w:color w:val="000000" w:themeColor="text1"/>
          <w:sz w:val="20"/>
          <w:szCs w:val="20"/>
          <w:lang w:val="en-GB"/>
        </w:rPr>
        <w:t>4</w:t>
      </w:r>
      <w:r w:rsidRPr="00407712">
        <w:rPr>
          <w:color w:val="000000" w:themeColor="text1"/>
          <w:sz w:val="20"/>
          <w:szCs w:val="20"/>
          <w:lang w:val="en-GB"/>
        </w:rPr>
        <w:t xml:space="preserve">. Optical images of Cu foils showing: (a) a complete, (b) underdeveloped, (c) and overdeveloped photoresist pattern. </w:t>
      </w:r>
    </w:p>
    <w:p w14:paraId="147A6AEC" w14:textId="77777777" w:rsidR="00407712" w:rsidRPr="004838AD" w:rsidRDefault="00407712" w:rsidP="00DF5872">
      <w:pPr>
        <w:spacing w:line="480" w:lineRule="auto"/>
        <w:jc w:val="both"/>
      </w:pPr>
    </w:p>
    <w:p w14:paraId="22AD6413" w14:textId="4DA6DD99" w:rsidR="0040724D" w:rsidRPr="001D7F20" w:rsidRDefault="00F501E2" w:rsidP="001D7F20">
      <w:pPr>
        <w:pStyle w:val="COL09sub-section"/>
      </w:pPr>
      <w:r>
        <w:t>2</w:t>
      </w:r>
      <w:r w:rsidR="0040724D" w:rsidRPr="001D7F20">
        <w:t>. EBSD characterization</w:t>
      </w:r>
    </w:p>
    <w:p w14:paraId="5226169B" w14:textId="01C2733E" w:rsidR="00F15946" w:rsidRPr="001D7F20" w:rsidRDefault="0040724D" w:rsidP="00DD06F7">
      <w:pPr>
        <w:spacing w:line="480" w:lineRule="auto"/>
        <w:jc w:val="both"/>
        <w:rPr>
          <w:lang w:val="en-GB"/>
        </w:rPr>
      </w:pPr>
      <w:r w:rsidRPr="001D7F20">
        <w:rPr>
          <w:lang w:val="en-GB"/>
        </w:rPr>
        <w:t xml:space="preserve">In order to determine the modifications of the material microstructure and of the crystallographic orientation due to cold rolling and Ar-ion milling processes, a microstructural-crystallographic analysis has been performed by means of EBSD technique. Furthermore, </w:t>
      </w:r>
      <w:r w:rsidRPr="001D7F20">
        <w:t>grain size and grain distribution may have an important effect on the micro-processing of the foils and, therefore, on the quality of the gratings</w:t>
      </w:r>
      <w:r w:rsidRPr="001D7F20">
        <w:rPr>
          <w:rStyle w:val="FootnoteReference"/>
        </w:rPr>
        <w:fldChar w:fldCharType="begin" w:fldLock="1"/>
      </w:r>
      <w:r w:rsidR="000A44D1" w:rsidRPr="001D7F20">
        <w:instrText>ADDIN CSL_CITATION {"citationItems":[{"id":"ITEM-1","itemData":{"DOI":"10.1007/s00170-015-6828-5","ISSN":"1433-3015","abstract":"In recent years, the demands for micro components are increasing in various industries. Mechanical micromachining is one of the best fabrication methods for creating micro parts with complex dimensional features. However, in micromachining, the material microstructures, such as grain size, grain boundary, and crystallographic orientation, have significant influence on the machining process and the part’s quality. In this paper, a set of micromachining experiments were conducted on oxygen-free copper to investigate cutting force and burr formation affected by the material microstructures. The results showed that both the crystallographic orientation in single crystal material and the grain size in polycrystalline material have great effect on the cutting force and the burr formation.","author":[{"dropping-particle":"","family":"Wu","given":"Xian","non-dropping-particle":"","parse-names":false,"suffix":""},{"dropping-particle":"","family":"Li","given":"Liang","non-dropping-particle":"","parse-names":false,"suffix":""},{"dropping-particle":"","family":"He","given":"Ning","non-dropping-particle":"","parse-names":false,"suffix":""},{"dropping-particle":"","family":"Zhao","given":"Meng","non-dropping-particle":"","parse-names":false,"suffix":""},{"dropping-particle":"","family":"Zhan","given":"Zhongbo","non-dropping-particle":"","parse-names":false,"suffix":""}],"container-title":"The International Journal of Advanced Manufacturing Technology","id":"ITEM-1","issue":"1","issued":{"date-parts":[["2015"]]},"page":"321-327","title":"Investigation on the influence of material microstructure on cutting force and bur formation in the micro cutting of copper","type":"article-journal","volume":"79"},"uris":["http://www.mendeley.com/documents/?uuid=f40d3c21-4266-4dd6-ad26-73c04ac85e4c"]}],"mendeley":{"formattedCitation":"&lt;sup&gt;[1]&lt;/sup&gt;","plainTextFormattedCitation":"[1]","previouslyFormattedCitation":"&lt;sup&gt;[1]&lt;/sup&gt;"},"properties":{"noteIndex":0},"schema":"https://github.com/citation-style-language/schema/raw/master/csl-citation.json"}</w:instrText>
      </w:r>
      <w:r w:rsidRPr="001D7F20">
        <w:rPr>
          <w:rStyle w:val="FootnoteReference"/>
        </w:rPr>
        <w:fldChar w:fldCharType="separate"/>
      </w:r>
      <w:r w:rsidR="00661B70" w:rsidRPr="001D7F20">
        <w:rPr>
          <w:noProof/>
          <w:vertAlign w:val="superscript"/>
        </w:rPr>
        <w:t>[1]</w:t>
      </w:r>
      <w:r w:rsidRPr="001D7F20">
        <w:rPr>
          <w:rStyle w:val="FootnoteReference"/>
        </w:rPr>
        <w:fldChar w:fldCharType="end"/>
      </w:r>
      <w:r w:rsidRPr="001D7F20">
        <w:rPr>
          <w:rStyle w:val="FootnoteReference"/>
        </w:rPr>
        <w:t>.</w:t>
      </w:r>
      <w:r w:rsidRPr="001D7F20">
        <w:rPr>
          <w:lang w:val="en-GB"/>
        </w:rPr>
        <w:t xml:space="preserve"> The average grain size in a metallic material is also closely associated with its physical properties and mechanical characteristics, according to Hall-Petch strengthening relation which mainly describes the strength of a material inversely </w:t>
      </w:r>
      <w:r w:rsidRPr="001D7F20">
        <w:rPr>
          <w:lang w:val="en-GB"/>
        </w:rPr>
        <w:lastRenderedPageBreak/>
        <w:t>dependent to the square root of grain size. Also, as Pham et al.</w:t>
      </w:r>
      <w:r w:rsidRPr="001D7F20">
        <w:rPr>
          <w:rStyle w:val="FootnoteReference"/>
          <w:lang w:val="en-GB"/>
        </w:rPr>
        <w:fldChar w:fldCharType="begin" w:fldLock="1"/>
      </w:r>
      <w:r w:rsidR="000A44D1" w:rsidRPr="001D7F20">
        <w:rPr>
          <w:lang w:val="en-GB"/>
        </w:rPr>
        <w:instrText>ADDIN CSL_CITATION {"citationItems":[{"id":"ITEM-1","itemData":{"DOI":"https://doi.org/10.1016/j.msea.2016.09.101","ISSN":"0921-5093","abstract":"The aim of this study is to model the mechanical behavior of ultra-thin sheets of stainless steel taking into account the heterogeneous distribution of the mechanical properties of the grains. EBSD analysis and micro-hardness measurements are performed to characterize the grain size and shape as well as the local hardness distribution. A finite element model of a representative volume, based on the grain size distribution and Vorono polyhedrons, is developed using the dedicated free software Neper and the material inhomogeneity is introduced via a discrete distribution of the flow stress of the grains. Four different flow stress distributions are considered, by changing either the flow stress range or the corresponding volume fractions. A uniaxial tensile test of the representative volume is simulated and compared to experimental data. Then, the influence of the grain heterogeneity on the hysteresis of loading-unloading sequences in tension and on the Bauschinger effect in simple shear is investigated numerically and compared with experiments. In particular, it is shown that the type of the flow stress distribution influences significantly the magnitude of the Bauschinger effect. Finally, the surface roughness is characterized numerically both in tension and simple shear and is shown to reproduce faithfully the experimental values.","author":[{"dropping-particle":"","family":"Pham","given":"Cong Hanh","non-dropping-particle":"","parse-names":false,"suffix":""},{"dropping-particle":"","family":"Thuillier","given":"Sandrine","non-dropping-particle":"","parse-names":false,"suffix":""},{"dropping-particle":"","family":"Manach","given":"Pierre-Yves","non-dropping-particle":"","parse-names":false,"suffix":""}],"container-title":"Materials Science and Engineering: A","id":"ITEM-1","issued":{"date-parts":[["2016"]]},"page":"377-388","title":"Prediction of flow stress and surface roughness of stainless steel sheets considering an inhomogeneous microstructure","type":"article-journal","volume":"678"},"uris":["http://www.mendeley.com/documents/?uuid=607ac218-7400-4fce-a014-8a091f8c3961"]}],"mendeley":{"formattedCitation":"&lt;sup&gt;[2]&lt;/sup&gt;","plainTextFormattedCitation":"[2]","previouslyFormattedCitation":"&lt;sup&gt;[2]&lt;/sup&gt;"},"properties":{"noteIndex":0},"schema":"https://github.com/citation-style-language/schema/raw/master/csl-citation.json"}</w:instrText>
      </w:r>
      <w:r w:rsidRPr="001D7F20">
        <w:rPr>
          <w:rStyle w:val="FootnoteReference"/>
          <w:lang w:val="en-GB"/>
        </w:rPr>
        <w:fldChar w:fldCharType="separate"/>
      </w:r>
      <w:r w:rsidR="00661B70" w:rsidRPr="001D7F20">
        <w:rPr>
          <w:noProof/>
          <w:vertAlign w:val="superscript"/>
          <w:lang w:val="en-GB"/>
        </w:rPr>
        <w:t>[2]</w:t>
      </w:r>
      <w:r w:rsidRPr="001D7F20">
        <w:rPr>
          <w:rStyle w:val="FootnoteReference"/>
          <w:lang w:val="en-GB"/>
        </w:rPr>
        <w:fldChar w:fldCharType="end"/>
      </w:r>
      <w:r w:rsidRPr="001D7F20">
        <w:rPr>
          <w:lang w:val="en-GB"/>
        </w:rPr>
        <w:t xml:space="preserve"> numerically and experimentally demonstrated in their study of metallic thin foils (stainless steel sheets, less than 100 μm thick), the grain distribution through foil thickness influences significantly their mechanical properties.</w:t>
      </w:r>
      <w:r w:rsidR="00D362F5">
        <w:rPr>
          <w:lang w:val="en-GB"/>
        </w:rPr>
        <w:t xml:space="preserve"> </w:t>
      </w:r>
      <w:r w:rsidRPr="001D7F20">
        <w:rPr>
          <w:lang w:val="en-GB"/>
        </w:rPr>
        <w:t>In our study the mechanical properties required for the thinned self-supported cold rolled</w:t>
      </w:r>
      <w:r w:rsidR="00F15946">
        <w:rPr>
          <w:lang w:val="en-GB"/>
        </w:rPr>
        <w:t xml:space="preserve"> </w:t>
      </w:r>
      <w:r w:rsidR="00F15946" w:rsidRPr="001D7F20">
        <w:rPr>
          <w:lang w:val="en-GB"/>
        </w:rPr>
        <w:t>foil</w:t>
      </w:r>
      <w:r w:rsidR="00F15946">
        <w:rPr>
          <w:lang w:val="en-GB"/>
        </w:rPr>
        <w:t xml:space="preserve"> </w:t>
      </w:r>
      <w:r w:rsidR="00F15946" w:rsidRPr="001D7F20">
        <w:rPr>
          <w:lang w:val="en-GB"/>
        </w:rPr>
        <w:t>and for the patterned structures which have to survive the laser pre-pulse are decisive for an</w:t>
      </w:r>
      <w:r w:rsidR="00F15946">
        <w:rPr>
          <w:lang w:val="en-GB"/>
        </w:rPr>
        <w:t xml:space="preserve"> </w:t>
      </w:r>
      <w:r w:rsidR="00F15946" w:rsidRPr="001D7F20">
        <w:rPr>
          <w:lang w:val="en-GB"/>
        </w:rPr>
        <w:t>effective target. Any surface polishing of the foils, as preparation for the EBSD analysis, was avoided in order to prevent any mechanical modifications to the surface, especially for the as-received foils. The Inverse Pole Figure maps (IPF) on z-direction (normal to the surface) obtained by EBSD analysis display the orientation data of the crystal grains. Fig</w:t>
      </w:r>
      <w:r w:rsidR="00F15946">
        <w:rPr>
          <w:lang w:val="en-GB"/>
        </w:rPr>
        <w:t>ure</w:t>
      </w:r>
      <w:r w:rsidR="00F15946" w:rsidRPr="001D7F20">
        <w:rPr>
          <w:lang w:val="en-GB"/>
        </w:rPr>
        <w:t xml:space="preserve"> S</w:t>
      </w:r>
      <w:r w:rsidR="00F15946">
        <w:rPr>
          <w:lang w:val="en-GB"/>
        </w:rPr>
        <w:t>5</w:t>
      </w:r>
      <w:r w:rsidR="00F15946">
        <w:rPr>
          <w:lang w:val="en-GB"/>
        </w:rPr>
        <w:t xml:space="preserve"> </w:t>
      </w:r>
      <w:r w:rsidR="00F15946" w:rsidRPr="001D7F20">
        <w:rPr>
          <w:lang w:val="en-GB"/>
        </w:rPr>
        <w:t>illustrates the EBSD data of the Au foils as-received (Fig</w:t>
      </w:r>
      <w:r w:rsidR="00F15946">
        <w:rPr>
          <w:lang w:val="en-GB"/>
        </w:rPr>
        <w:t>ure</w:t>
      </w:r>
      <w:r w:rsidR="00F15946" w:rsidRPr="001D7F20">
        <w:rPr>
          <w:lang w:val="en-GB"/>
        </w:rPr>
        <w:t xml:space="preserve"> </w:t>
      </w:r>
      <w:proofErr w:type="gramStart"/>
      <w:r w:rsidR="00F15946" w:rsidRPr="001D7F20">
        <w:rPr>
          <w:lang w:val="en-GB"/>
        </w:rPr>
        <w:t>S</w:t>
      </w:r>
      <w:r w:rsidR="00F15946">
        <w:rPr>
          <w:lang w:val="en-GB"/>
        </w:rPr>
        <w:t>5</w:t>
      </w:r>
      <w:r w:rsidR="00F15946" w:rsidRPr="001D7F20">
        <w:rPr>
          <w:lang w:val="en-GB"/>
        </w:rPr>
        <w:t>.a,d</w:t>
      </w:r>
      <w:proofErr w:type="gramEnd"/>
      <w:r w:rsidR="00F15946" w:rsidRPr="001D7F20">
        <w:rPr>
          <w:lang w:val="en-GB"/>
        </w:rPr>
        <w:t>,g), after cold rolling (Fig</w:t>
      </w:r>
      <w:r w:rsidR="00F15946">
        <w:rPr>
          <w:lang w:val="en-GB"/>
        </w:rPr>
        <w:t>ure</w:t>
      </w:r>
    </w:p>
    <w:tbl>
      <w:tblPr>
        <w:tblStyle w:val="TableGrid"/>
        <w:tblpPr w:leftFromText="180" w:rightFromText="180" w:vertAnchor="text" w:horzAnchor="margin" w:tblpY="72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0"/>
      </w:tblGrid>
      <w:tr w:rsidR="00F15946" w14:paraId="5B5F010F" w14:textId="77777777" w:rsidTr="00F15946">
        <w:tc>
          <w:tcPr>
            <w:tcW w:w="9060" w:type="dxa"/>
          </w:tcPr>
          <w:p w14:paraId="1A3E1958" w14:textId="77777777" w:rsidR="00F15946" w:rsidRDefault="00F15946" w:rsidP="00F15946">
            <w:pPr>
              <w:spacing w:line="480" w:lineRule="auto"/>
              <w:jc w:val="center"/>
              <w:rPr>
                <w:lang w:val="en-GB"/>
              </w:rPr>
            </w:pPr>
            <w:r w:rsidRPr="001D7F20">
              <w:rPr>
                <w:noProof/>
                <w:lang w:eastAsia="ro-RO"/>
              </w:rPr>
              <w:drawing>
                <wp:inline distT="0" distB="0" distL="0" distR="0" wp14:anchorId="6053C133" wp14:editId="0827BCCA">
                  <wp:extent cx="3606800" cy="3454400"/>
                  <wp:effectExtent l="0" t="0" r="0" b="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06800" cy="3454400"/>
                          </a:xfrm>
                          <a:prstGeom prst="rect">
                            <a:avLst/>
                          </a:prstGeom>
                          <a:noFill/>
                          <a:ln>
                            <a:noFill/>
                          </a:ln>
                        </pic:spPr>
                      </pic:pic>
                    </a:graphicData>
                  </a:graphic>
                </wp:inline>
              </w:drawing>
            </w:r>
          </w:p>
        </w:tc>
      </w:tr>
      <w:tr w:rsidR="00F15946" w14:paraId="6A5F2D25" w14:textId="77777777" w:rsidTr="00F15946">
        <w:tc>
          <w:tcPr>
            <w:tcW w:w="9060" w:type="dxa"/>
          </w:tcPr>
          <w:p w14:paraId="66B89036" w14:textId="77777777" w:rsidR="00F15946" w:rsidRDefault="00F15946" w:rsidP="00F15946">
            <w:pPr>
              <w:pStyle w:val="Caption"/>
              <w:spacing w:after="0" w:line="480" w:lineRule="auto"/>
              <w:rPr>
                <w:rFonts w:ascii="Times New Roman" w:hAnsi="Times New Roman"/>
                <w:i w:val="0"/>
                <w:iCs w:val="0"/>
                <w:color w:val="auto"/>
                <w:sz w:val="20"/>
                <w:szCs w:val="20"/>
                <w:lang w:val="en-GB"/>
              </w:rPr>
            </w:pPr>
            <w:r w:rsidRPr="00C927C8">
              <w:rPr>
                <w:rFonts w:ascii="Times New Roman" w:hAnsi="Times New Roman"/>
                <w:i w:val="0"/>
                <w:iCs w:val="0"/>
                <w:color w:val="auto"/>
                <w:sz w:val="20"/>
                <w:szCs w:val="20"/>
                <w:lang w:val="en-GB"/>
              </w:rPr>
              <w:t>Figure S</w:t>
            </w:r>
            <w:r>
              <w:rPr>
                <w:rFonts w:ascii="Times New Roman" w:hAnsi="Times New Roman"/>
                <w:i w:val="0"/>
                <w:iCs w:val="0"/>
                <w:color w:val="auto"/>
                <w:sz w:val="20"/>
                <w:szCs w:val="20"/>
                <w:lang w:val="en-GB"/>
              </w:rPr>
              <w:t>5</w:t>
            </w:r>
            <w:r w:rsidRPr="00C927C8">
              <w:rPr>
                <w:rFonts w:ascii="Times New Roman" w:hAnsi="Times New Roman"/>
                <w:i w:val="0"/>
                <w:iCs w:val="0"/>
                <w:color w:val="auto"/>
                <w:sz w:val="20"/>
                <w:szCs w:val="20"/>
                <w:lang w:val="en-GB"/>
              </w:rPr>
              <w:t>. EBSD data analysis for the Au foil: as-received (</w:t>
            </w:r>
            <w:proofErr w:type="gramStart"/>
            <w:r w:rsidRPr="00C927C8">
              <w:rPr>
                <w:rFonts w:ascii="Times New Roman" w:hAnsi="Times New Roman"/>
                <w:i w:val="0"/>
                <w:iCs w:val="0"/>
                <w:color w:val="auto"/>
                <w:sz w:val="20"/>
                <w:szCs w:val="20"/>
                <w:lang w:val="en-GB"/>
              </w:rPr>
              <w:t>a,d</w:t>
            </w:r>
            <w:proofErr w:type="gramEnd"/>
            <w:r w:rsidRPr="00C927C8">
              <w:rPr>
                <w:rFonts w:ascii="Times New Roman" w:hAnsi="Times New Roman"/>
                <w:i w:val="0"/>
                <w:iCs w:val="0"/>
                <w:color w:val="auto"/>
                <w:sz w:val="20"/>
                <w:szCs w:val="20"/>
                <w:lang w:val="en-GB"/>
              </w:rPr>
              <w:t>,g), after cold rolling (b,e,h), and cleaned by Ar-ion milling (c,f,i) representing: inverse pole figure maps (a-c), grains distribution maps (d-f), and area weighted grain size distribution histograms (g-i). Insets: stereographic projections. Note different scale for the distribution histograms.</w:t>
            </w:r>
          </w:p>
          <w:p w14:paraId="518159CF" w14:textId="77777777" w:rsidR="00F15946" w:rsidRPr="0060388D" w:rsidRDefault="00F15946" w:rsidP="00F15946">
            <w:pPr>
              <w:rPr>
                <w:lang w:val="en-GB"/>
              </w:rPr>
            </w:pPr>
          </w:p>
        </w:tc>
      </w:tr>
    </w:tbl>
    <w:p w14:paraId="5CD12C80" w14:textId="7029A703" w:rsidR="00D362F5" w:rsidRDefault="00F15946" w:rsidP="00DF5872">
      <w:pPr>
        <w:spacing w:line="480" w:lineRule="auto"/>
        <w:jc w:val="both"/>
        <w:rPr>
          <w:lang w:val="en-GB"/>
        </w:rPr>
      </w:pPr>
      <w:r w:rsidRPr="001D7F20">
        <w:rPr>
          <w:lang w:val="en-GB"/>
        </w:rPr>
        <w:lastRenderedPageBreak/>
        <w:t xml:space="preserve"> </w:t>
      </w:r>
      <w:proofErr w:type="gramStart"/>
      <w:r w:rsidR="00D362F5" w:rsidRPr="001D7F20">
        <w:rPr>
          <w:lang w:val="en-GB"/>
        </w:rPr>
        <w:t>S</w:t>
      </w:r>
      <w:r w:rsidR="003E4C29">
        <w:rPr>
          <w:lang w:val="en-GB"/>
        </w:rPr>
        <w:t>5</w:t>
      </w:r>
      <w:r w:rsidR="00D362F5" w:rsidRPr="001D7F20">
        <w:rPr>
          <w:lang w:val="en-GB"/>
        </w:rPr>
        <w:t>.b,e</w:t>
      </w:r>
      <w:proofErr w:type="gramEnd"/>
      <w:r w:rsidR="00D362F5" w:rsidRPr="001D7F20">
        <w:rPr>
          <w:lang w:val="en-GB"/>
        </w:rPr>
        <w:t>,h), and after Ar-ion milling cleaning step (Fig</w:t>
      </w:r>
      <w:r w:rsidR="00384AB6">
        <w:rPr>
          <w:lang w:val="en-GB"/>
        </w:rPr>
        <w:t>ure</w:t>
      </w:r>
      <w:r w:rsidR="00D362F5" w:rsidRPr="001D7F20">
        <w:rPr>
          <w:lang w:val="en-GB"/>
        </w:rPr>
        <w:t xml:space="preserve"> S</w:t>
      </w:r>
      <w:r w:rsidR="003E4C29">
        <w:rPr>
          <w:lang w:val="en-GB"/>
        </w:rPr>
        <w:t>5</w:t>
      </w:r>
      <w:r w:rsidR="00D362F5" w:rsidRPr="001D7F20">
        <w:rPr>
          <w:lang w:val="en-GB"/>
        </w:rPr>
        <w:t>.c,f,i). Specifically, the IPF maps (Fig</w:t>
      </w:r>
      <w:r w:rsidR="00384AB6">
        <w:rPr>
          <w:lang w:val="en-GB"/>
        </w:rPr>
        <w:t>ure</w:t>
      </w:r>
      <w:r w:rsidR="00D362F5" w:rsidRPr="001D7F20">
        <w:rPr>
          <w:lang w:val="en-GB"/>
        </w:rPr>
        <w:t xml:space="preserve"> S</w:t>
      </w:r>
      <w:r w:rsidR="003E4C29">
        <w:rPr>
          <w:lang w:val="en-GB"/>
        </w:rPr>
        <w:t>5</w:t>
      </w:r>
      <w:r w:rsidR="00D362F5" w:rsidRPr="001D7F20">
        <w:rPr>
          <w:lang w:val="en-GB"/>
        </w:rPr>
        <w:t>.a-c), the grains distribution maps (Fig</w:t>
      </w:r>
      <w:r w:rsidR="00384AB6">
        <w:rPr>
          <w:lang w:val="en-GB"/>
        </w:rPr>
        <w:t>ure</w:t>
      </w:r>
      <w:r w:rsidR="00D362F5" w:rsidRPr="001D7F20">
        <w:rPr>
          <w:lang w:val="en-GB"/>
        </w:rPr>
        <w:t xml:space="preserve"> S</w:t>
      </w:r>
      <w:r w:rsidR="003E4C29">
        <w:rPr>
          <w:lang w:val="en-GB"/>
        </w:rPr>
        <w:t>5</w:t>
      </w:r>
      <w:r w:rsidR="00D362F5" w:rsidRPr="001D7F20">
        <w:rPr>
          <w:lang w:val="en-GB"/>
        </w:rPr>
        <w:t>.d-f), and the grain size distribution histograms (Fig</w:t>
      </w:r>
      <w:r w:rsidR="00384AB6">
        <w:rPr>
          <w:lang w:val="en-GB"/>
        </w:rPr>
        <w:t>ure</w:t>
      </w:r>
      <w:r w:rsidR="00D362F5" w:rsidRPr="001D7F20">
        <w:rPr>
          <w:lang w:val="en-GB"/>
        </w:rPr>
        <w:t xml:space="preserve"> S</w:t>
      </w:r>
      <w:r w:rsidR="003E4C29">
        <w:rPr>
          <w:lang w:val="en-GB"/>
        </w:rPr>
        <w:t>5</w:t>
      </w:r>
      <w:r w:rsidR="00D362F5" w:rsidRPr="001D7F20">
        <w:rPr>
          <w:lang w:val="en-GB"/>
        </w:rPr>
        <w:t>.g-i) are given for Au foils, with similar information in Fig</w:t>
      </w:r>
      <w:r w:rsidR="00384AB6">
        <w:rPr>
          <w:lang w:val="en-GB"/>
        </w:rPr>
        <w:t>ure</w:t>
      </w:r>
      <w:r w:rsidR="00D362F5" w:rsidRPr="001D7F20">
        <w:rPr>
          <w:lang w:val="en-GB"/>
        </w:rPr>
        <w:t xml:space="preserve"> S</w:t>
      </w:r>
      <w:r w:rsidR="003E4C29">
        <w:rPr>
          <w:lang w:val="en-GB"/>
        </w:rPr>
        <w:t>6</w:t>
      </w:r>
      <w:r w:rsidR="00D362F5" w:rsidRPr="001D7F20">
        <w:rPr>
          <w:lang w:val="en-GB"/>
        </w:rPr>
        <w:t xml:space="preserve"> for Cu foils. The insets from the IPF maps in Fig</w:t>
      </w:r>
      <w:r w:rsidR="00384AB6">
        <w:rPr>
          <w:lang w:val="en-GB"/>
        </w:rPr>
        <w:t>ure</w:t>
      </w:r>
      <w:r w:rsidR="00D362F5" w:rsidRPr="001D7F20">
        <w:rPr>
          <w:lang w:val="en-GB"/>
        </w:rPr>
        <w:t xml:space="preserve"> S</w:t>
      </w:r>
      <w:r w:rsidR="003E4C29">
        <w:rPr>
          <w:lang w:val="en-GB"/>
        </w:rPr>
        <w:t>5</w:t>
      </w:r>
      <w:r w:rsidR="00D362F5" w:rsidRPr="001D7F20">
        <w:rPr>
          <w:lang w:val="en-GB"/>
        </w:rPr>
        <w:t xml:space="preserve"> represent the stereographic projections corresponding to Au cubic </w:t>
      </w:r>
      <w:r w:rsidR="00D362F5" w:rsidRPr="001D7F20">
        <w:rPr>
          <w:noProof/>
          <w:position w:val="-6"/>
        </w:rPr>
        <w:object w:dxaOrig="680" w:dyaOrig="340" w14:anchorId="3D78FC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4.65pt;height:16.65pt;mso-width-percent:0;mso-height-percent:0;mso-width-percent:0;mso-height-percent:0" o:ole="">
            <v:imagedata r:id="rId13" o:title=""/>
          </v:shape>
          <o:OLEObject Type="Embed" ProgID="Equation.DSMT4" ShapeID="_x0000_i1025" DrawAspect="Content" ObjectID="_1696861615" r:id="rId14"/>
        </w:object>
      </w:r>
      <w:r w:rsidR="00D362F5" w:rsidRPr="001D7F20">
        <w:rPr>
          <w:lang w:val="en-GB"/>
        </w:rPr>
        <w:t xml:space="preserve"> structure (using Laue group dependent colour index). For the as-received Au foils the crystalline orientation maps showed a non-preferred orientation of the grains (Fig</w:t>
      </w:r>
      <w:r w:rsidR="00384AB6">
        <w:rPr>
          <w:lang w:val="en-GB"/>
        </w:rPr>
        <w:t>ure</w:t>
      </w:r>
      <w:r w:rsidR="00D362F5" w:rsidRPr="001D7F20">
        <w:rPr>
          <w:lang w:val="en-GB"/>
        </w:rPr>
        <w:t xml:space="preserve"> S</w:t>
      </w:r>
      <w:r w:rsidR="003E4C29">
        <w:rPr>
          <w:lang w:val="en-GB"/>
        </w:rPr>
        <w:t>5</w:t>
      </w:r>
      <w:r w:rsidR="00D362F5" w:rsidRPr="001D7F20">
        <w:rPr>
          <w:lang w:val="en-GB"/>
        </w:rPr>
        <w:t>.a), while after the cold rolling process a &lt;001&gt; preferred orientation is observed (Fig</w:t>
      </w:r>
      <w:r w:rsidR="00384AB6">
        <w:rPr>
          <w:lang w:val="en-GB"/>
        </w:rPr>
        <w:t>ure</w:t>
      </w:r>
      <w:r w:rsidR="00D362F5" w:rsidRPr="001D7F20">
        <w:rPr>
          <w:lang w:val="en-GB"/>
        </w:rPr>
        <w:t xml:space="preserve"> S</w:t>
      </w:r>
      <w:r w:rsidR="003E4C29">
        <w:rPr>
          <w:lang w:val="en-GB"/>
        </w:rPr>
        <w:t>5</w:t>
      </w:r>
      <w:r w:rsidR="00D362F5" w:rsidRPr="001D7F20">
        <w:rPr>
          <w:lang w:val="en-GB"/>
        </w:rPr>
        <w:t>.b). Following the etching step, the IPF map suggests that this process induces also the &lt;111&gt; orientation additionally to the &lt;001&gt; direction (Fig</w:t>
      </w:r>
      <w:r w:rsidR="00384AB6">
        <w:rPr>
          <w:lang w:val="en-GB"/>
        </w:rPr>
        <w:t>ure</w:t>
      </w:r>
      <w:r w:rsidR="00D362F5" w:rsidRPr="001D7F20">
        <w:rPr>
          <w:lang w:val="en-GB"/>
        </w:rPr>
        <w:t xml:space="preserve"> S</w:t>
      </w:r>
      <w:r w:rsidR="003E4C29">
        <w:rPr>
          <w:lang w:val="en-GB"/>
        </w:rPr>
        <w:t>5</w:t>
      </w:r>
      <w:r w:rsidR="00D362F5" w:rsidRPr="001D7F20">
        <w:rPr>
          <w:lang w:val="en-GB"/>
        </w:rPr>
        <w:t xml:space="preserve">.c), thus reverting to the initial crystalline orientations of the as-received foils. </w:t>
      </w:r>
    </w:p>
    <w:tbl>
      <w:tblPr>
        <w:tblStyle w:val="TableGrid"/>
        <w:tblpPr w:leftFromText="180" w:rightFromText="180" w:vertAnchor="text" w:horzAnchor="margin" w:tblpY="9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0"/>
      </w:tblGrid>
      <w:tr w:rsidR="00F15946" w14:paraId="7D343CF3" w14:textId="77777777" w:rsidTr="00F15946">
        <w:tc>
          <w:tcPr>
            <w:tcW w:w="9060" w:type="dxa"/>
          </w:tcPr>
          <w:p w14:paraId="3B3F0F21" w14:textId="77777777" w:rsidR="00F15946" w:rsidRDefault="00F15946" w:rsidP="00F15946">
            <w:pPr>
              <w:spacing w:line="480" w:lineRule="auto"/>
              <w:jc w:val="center"/>
              <w:rPr>
                <w:lang w:val="en-GB"/>
              </w:rPr>
            </w:pPr>
            <w:r w:rsidRPr="001D7F20">
              <w:rPr>
                <w:noProof/>
                <w:lang w:eastAsia="ro-RO"/>
              </w:rPr>
              <w:drawing>
                <wp:inline distT="0" distB="0" distL="0" distR="0" wp14:anchorId="4A544771" wp14:editId="1E4596E4">
                  <wp:extent cx="3606840" cy="35053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06840" cy="3505320"/>
                          </a:xfrm>
                          <a:prstGeom prst="rect">
                            <a:avLst/>
                          </a:prstGeom>
                          <a:noFill/>
                          <a:ln>
                            <a:noFill/>
                          </a:ln>
                        </pic:spPr>
                      </pic:pic>
                    </a:graphicData>
                  </a:graphic>
                </wp:inline>
              </w:drawing>
            </w:r>
          </w:p>
        </w:tc>
      </w:tr>
      <w:tr w:rsidR="00F15946" w14:paraId="7F93208A" w14:textId="77777777" w:rsidTr="00F15946">
        <w:tc>
          <w:tcPr>
            <w:tcW w:w="9060" w:type="dxa"/>
          </w:tcPr>
          <w:p w14:paraId="58133FEB" w14:textId="77777777" w:rsidR="00F15946" w:rsidRDefault="00F15946" w:rsidP="00F15946">
            <w:pPr>
              <w:pStyle w:val="Caption"/>
              <w:spacing w:after="0" w:line="480" w:lineRule="auto"/>
              <w:rPr>
                <w:rFonts w:ascii="Times New Roman" w:hAnsi="Times New Roman"/>
                <w:i w:val="0"/>
                <w:iCs w:val="0"/>
                <w:color w:val="auto"/>
                <w:sz w:val="20"/>
                <w:szCs w:val="20"/>
                <w:lang w:val="en-GB"/>
              </w:rPr>
            </w:pPr>
            <w:r w:rsidRPr="00C927C8">
              <w:rPr>
                <w:rFonts w:ascii="Times New Roman" w:hAnsi="Times New Roman"/>
                <w:i w:val="0"/>
                <w:iCs w:val="0"/>
                <w:color w:val="auto"/>
                <w:sz w:val="20"/>
                <w:szCs w:val="20"/>
                <w:lang w:val="en-GB"/>
              </w:rPr>
              <w:t>Figure S</w:t>
            </w:r>
            <w:r>
              <w:rPr>
                <w:rFonts w:ascii="Times New Roman" w:hAnsi="Times New Roman"/>
                <w:i w:val="0"/>
                <w:iCs w:val="0"/>
                <w:color w:val="auto"/>
                <w:sz w:val="20"/>
                <w:szCs w:val="20"/>
                <w:lang w:val="en-GB"/>
              </w:rPr>
              <w:t>6</w:t>
            </w:r>
            <w:r w:rsidRPr="00C927C8">
              <w:rPr>
                <w:rFonts w:ascii="Times New Roman" w:hAnsi="Times New Roman"/>
                <w:i w:val="0"/>
                <w:iCs w:val="0"/>
                <w:color w:val="auto"/>
                <w:sz w:val="20"/>
                <w:szCs w:val="20"/>
                <w:lang w:val="en-GB"/>
              </w:rPr>
              <w:t>. EBSD data analysis for the Cu foil: as-received (</w:t>
            </w:r>
            <w:proofErr w:type="gramStart"/>
            <w:r w:rsidRPr="00C927C8">
              <w:rPr>
                <w:rFonts w:ascii="Times New Roman" w:hAnsi="Times New Roman"/>
                <w:i w:val="0"/>
                <w:iCs w:val="0"/>
                <w:color w:val="auto"/>
                <w:sz w:val="20"/>
                <w:szCs w:val="20"/>
                <w:lang w:val="en-GB"/>
              </w:rPr>
              <w:t>a,d</w:t>
            </w:r>
            <w:proofErr w:type="gramEnd"/>
            <w:r w:rsidRPr="00C927C8">
              <w:rPr>
                <w:rFonts w:ascii="Times New Roman" w:hAnsi="Times New Roman"/>
                <w:i w:val="0"/>
                <w:iCs w:val="0"/>
                <w:color w:val="auto"/>
                <w:sz w:val="20"/>
                <w:szCs w:val="20"/>
                <w:lang w:val="en-GB"/>
              </w:rPr>
              <w:t xml:space="preserve">,g), after cold rolling (b,e,h), and cleaned by Ar-ion milling (c,f,i), representing: inverse pole figure maps (a-c), grains distribution maps (d-f), and area weighted grain size distribution histograms (g-i). Insets: stereographic projections. Note different scale of the distribution histograms. </w:t>
            </w:r>
          </w:p>
          <w:p w14:paraId="75880E22" w14:textId="77777777" w:rsidR="00F15946" w:rsidRPr="006F1647" w:rsidRDefault="00F15946" w:rsidP="00F15946">
            <w:pPr>
              <w:rPr>
                <w:lang w:val="en-GB"/>
              </w:rPr>
            </w:pPr>
          </w:p>
        </w:tc>
      </w:tr>
    </w:tbl>
    <w:p w14:paraId="3EFDEDF2" w14:textId="6EBA5E53" w:rsidR="004A30C5" w:rsidRDefault="00F15946" w:rsidP="00DF5872">
      <w:pPr>
        <w:spacing w:line="480" w:lineRule="auto"/>
        <w:ind w:firstLine="426"/>
        <w:jc w:val="both"/>
        <w:rPr>
          <w:lang w:val="en-GB"/>
        </w:rPr>
      </w:pPr>
      <w:r w:rsidRPr="001D7F20">
        <w:rPr>
          <w:lang w:val="en-GB"/>
        </w:rPr>
        <w:lastRenderedPageBreak/>
        <w:t xml:space="preserve"> </w:t>
      </w:r>
      <w:r w:rsidR="0040724D" w:rsidRPr="001D7F20">
        <w:rPr>
          <w:lang w:val="en-GB"/>
        </w:rPr>
        <w:t>This change in the surface orientation may be due to the recrystallization process of the damaged surface layer, which occurs during sample cooling down after etching by Ar-ion milling. It can also indicate a post-cold rolling stress release mechanism through heating during the milling process, the foils reaching temperatures of at least 200</w:t>
      </w:r>
      <w:r w:rsidR="00C34DC6">
        <w:rPr>
          <w:lang w:val="en-GB"/>
        </w:rPr>
        <w:t xml:space="preserve"> </w:t>
      </w:r>
      <w:r w:rsidR="0040724D" w:rsidRPr="001D7F20">
        <w:rPr>
          <w:vertAlign w:val="superscript"/>
          <w:lang w:val="en-GB"/>
        </w:rPr>
        <w:t>°</w:t>
      </w:r>
      <w:r w:rsidR="0040724D" w:rsidRPr="001D7F20">
        <w:rPr>
          <w:lang w:val="en-GB"/>
        </w:rPr>
        <w:t>C during Ar-ion milling. This change in surface orientation with temperature confirms the thermal annealing</w:t>
      </w:r>
      <w:r w:rsidR="004A30C5">
        <w:rPr>
          <w:lang w:val="en-GB"/>
        </w:rPr>
        <w:t xml:space="preserve"> </w:t>
      </w:r>
      <w:r w:rsidR="004A30C5" w:rsidRPr="001D7F20">
        <w:rPr>
          <w:lang w:val="en-GB"/>
        </w:rPr>
        <w:t>studies by Mariano et al.</w:t>
      </w:r>
      <w:r w:rsidR="004A30C5" w:rsidRPr="001D7F20">
        <w:rPr>
          <w:rStyle w:val="FootnoteReference"/>
          <w:lang w:val="en-GB"/>
        </w:rPr>
        <w:fldChar w:fldCharType="begin" w:fldLock="1"/>
      </w:r>
      <w:r w:rsidR="004A30C5" w:rsidRPr="001D7F20">
        <w:rPr>
          <w:lang w:val="en-GB"/>
        </w:rPr>
        <w:instrText>ADDIN CSL_CITATION {"citationItems":[{"id":"ITEM-1","itemData":{"DOI":"10.1126/science.aao3691","author":[{"dropping-particle":"","family":"Mariano","given":"Ruperto","non-dropping-particle":"","parse-names":false,"suffix":""},{"dropping-particle":"","family":"Mckelvey","given":"Kim","non-dropping-particle":"","parse-names":false,"suffix":""},{"dropping-particle":"","family":"White","given":"Henry","non-dropping-particle":"","parse-names":false,"suffix":""},{"dropping-particle":"","family":"Kanan","given":"Matthew","non-dropping-particle":"","parse-names":false,"suffix":""}],"container-title":"Science","id":"ITEM-1","issued":{"date-parts":[["2017","12","1"]]},"page":"1187-1192","title":"Selective increase in CO2 electroreduction activity at grain-boundary surface terminations","type":"article-journal","volume":"358"},"uris":["http://www.mendeley.com/documents/?uuid=87e87449-7823-46af-a938-18d5c5a8f55c"]}],"mendeley":{"formattedCitation":"&lt;sup&gt;[3]&lt;/sup&gt;","plainTextFormattedCitation":"[3]","previouslyFormattedCitation":"&lt;sup&gt;[4]&lt;/sup&gt;"},"properties":{"noteIndex":0},"schema":"https://github.com/citation-style-language/schema/raw/master/csl-citation.json"}</w:instrText>
      </w:r>
      <w:r w:rsidR="004A30C5" w:rsidRPr="001D7F20">
        <w:rPr>
          <w:rStyle w:val="FootnoteReference"/>
          <w:lang w:val="en-GB"/>
        </w:rPr>
        <w:fldChar w:fldCharType="separate"/>
      </w:r>
      <w:r w:rsidR="004A30C5" w:rsidRPr="001D7F20">
        <w:rPr>
          <w:noProof/>
          <w:vertAlign w:val="superscript"/>
          <w:lang w:val="en-GB"/>
        </w:rPr>
        <w:t>[3]</w:t>
      </w:r>
      <w:r w:rsidR="004A30C5" w:rsidRPr="001D7F20">
        <w:rPr>
          <w:rStyle w:val="FootnoteReference"/>
          <w:lang w:val="en-GB"/>
        </w:rPr>
        <w:fldChar w:fldCharType="end"/>
      </w:r>
      <w:r w:rsidR="004A30C5" w:rsidRPr="001D7F20">
        <w:rPr>
          <w:lang w:val="en-GB"/>
        </w:rPr>
        <w:t>, that indicated no preferential orientation for Au foils after thermal treatments up to 970 °C. However, our data indicated that by a simple cold rolling process preferred orientation can be attained, at least on the surface depth probed during EBSD studies.</w:t>
      </w:r>
      <w:r w:rsidR="006F1647">
        <w:rPr>
          <w:lang w:val="en-GB"/>
        </w:rPr>
        <w:t xml:space="preserve"> On the contrary </w:t>
      </w:r>
      <w:r w:rsidR="006F1647" w:rsidRPr="006F1647">
        <w:rPr>
          <w:lang w:val="en-GB"/>
        </w:rPr>
        <w:t>in the Cu (cubic structure, space group) foils, the random</w:t>
      </w:r>
      <w:r w:rsidR="006F1647">
        <w:rPr>
          <w:lang w:val="en-GB"/>
        </w:rPr>
        <w:t xml:space="preserve"> </w:t>
      </w:r>
      <w:r w:rsidR="006F1647" w:rsidRPr="006F1647">
        <w:rPr>
          <w:lang w:val="en-GB"/>
        </w:rPr>
        <w:t>crystallographic orientation</w:t>
      </w:r>
    </w:p>
    <w:p w14:paraId="2E9E4331" w14:textId="1AB1DF1A" w:rsidR="004A30C5" w:rsidRDefault="006F1647" w:rsidP="004A30C5">
      <w:pPr>
        <w:spacing w:line="480" w:lineRule="auto"/>
        <w:jc w:val="both"/>
        <w:rPr>
          <w:lang w:val="en-GB"/>
        </w:rPr>
      </w:pPr>
      <w:r w:rsidRPr="001D7F20">
        <w:rPr>
          <w:lang w:val="en-GB"/>
        </w:rPr>
        <w:t xml:space="preserve"> </w:t>
      </w:r>
      <w:r w:rsidR="004A30C5" w:rsidRPr="001D7F20">
        <w:rPr>
          <w:lang w:val="en-GB"/>
        </w:rPr>
        <w:t>of the as-received foil is maintained after cold rolling and Ar-ion milling, an indication of less or no influence on the surface microstructure of these processes (see Fig</w:t>
      </w:r>
      <w:r>
        <w:rPr>
          <w:lang w:val="en-GB"/>
        </w:rPr>
        <w:t>ure</w:t>
      </w:r>
      <w:r w:rsidR="004A30C5" w:rsidRPr="001D7F20">
        <w:rPr>
          <w:lang w:val="en-GB"/>
        </w:rPr>
        <w:t xml:space="preserve"> S</w:t>
      </w:r>
      <w:r w:rsidR="003E4C29">
        <w:rPr>
          <w:lang w:val="en-GB"/>
        </w:rPr>
        <w:t>6</w:t>
      </w:r>
      <w:r w:rsidR="004A30C5" w:rsidRPr="001D7F20">
        <w:rPr>
          <w:lang w:val="en-GB"/>
        </w:rPr>
        <w:t xml:space="preserve">.a-c). </w:t>
      </w:r>
    </w:p>
    <w:p w14:paraId="334BC719" w14:textId="2B885990" w:rsidR="000A44D1" w:rsidRPr="001D7F20" w:rsidRDefault="000A44D1" w:rsidP="004A30C5">
      <w:pPr>
        <w:spacing w:line="480" w:lineRule="auto"/>
        <w:ind w:firstLine="426"/>
        <w:jc w:val="both"/>
        <w:rPr>
          <w:lang w:val="en-GB"/>
        </w:rPr>
      </w:pPr>
      <w:r w:rsidRPr="001D7F20">
        <w:rPr>
          <w:lang w:val="en-GB"/>
        </w:rPr>
        <w:t>Grain distribution maps and distribution histograms show an equiaxed microstructure in the case of Au foils (Fig</w:t>
      </w:r>
      <w:r w:rsidR="006F1647">
        <w:rPr>
          <w:lang w:val="en-GB"/>
        </w:rPr>
        <w:t>ure</w:t>
      </w:r>
      <w:r w:rsidRPr="001D7F20">
        <w:rPr>
          <w:lang w:val="en-GB"/>
        </w:rPr>
        <w:t xml:space="preserve"> S</w:t>
      </w:r>
      <w:r w:rsidR="003E4C29">
        <w:rPr>
          <w:lang w:val="en-GB"/>
        </w:rPr>
        <w:t>5</w:t>
      </w:r>
      <w:r w:rsidRPr="001D7F20">
        <w:rPr>
          <w:lang w:val="en-GB"/>
        </w:rPr>
        <w:t>.d-f), with an average equivalent grain diameter of about 4 μm (Fig</w:t>
      </w:r>
      <w:r w:rsidR="006F1647">
        <w:rPr>
          <w:lang w:val="en-GB"/>
        </w:rPr>
        <w:t>ure</w:t>
      </w:r>
      <w:r w:rsidRPr="001D7F20">
        <w:rPr>
          <w:lang w:val="en-GB"/>
        </w:rPr>
        <w:t xml:space="preserve"> S</w:t>
      </w:r>
      <w:r w:rsidR="003E4C29">
        <w:rPr>
          <w:lang w:val="en-GB"/>
        </w:rPr>
        <w:t>5</w:t>
      </w:r>
      <w:r w:rsidRPr="001D7F20">
        <w:rPr>
          <w:lang w:val="en-GB"/>
        </w:rPr>
        <w:t>.g</w:t>
      </w:r>
      <w:r w:rsidRPr="001D7F20">
        <w:rPr>
          <w:lang w:val="en-GB"/>
        </w:rPr>
        <w:noBreakHyphen/>
        <w:t>i), while for Cu foils bigger and elongated grains are observed (Fig</w:t>
      </w:r>
      <w:r w:rsidR="006F1647">
        <w:rPr>
          <w:lang w:val="en-GB"/>
        </w:rPr>
        <w:t>ure</w:t>
      </w:r>
      <w:r w:rsidRPr="001D7F20">
        <w:rPr>
          <w:lang w:val="en-GB"/>
        </w:rPr>
        <w:t xml:space="preserve"> S</w:t>
      </w:r>
      <w:r w:rsidR="003E4C29">
        <w:rPr>
          <w:lang w:val="en-GB"/>
        </w:rPr>
        <w:t>6</w:t>
      </w:r>
      <w:r w:rsidRPr="001D7F20">
        <w:rPr>
          <w:lang w:val="en-GB"/>
        </w:rPr>
        <w:t>.d-f), with an average diameter of about 8 μm (Fig</w:t>
      </w:r>
      <w:r w:rsidR="006F1647">
        <w:rPr>
          <w:lang w:val="en-GB"/>
        </w:rPr>
        <w:t>ure</w:t>
      </w:r>
      <w:r w:rsidRPr="001D7F20">
        <w:rPr>
          <w:lang w:val="en-GB"/>
        </w:rPr>
        <w:t xml:space="preserve"> S</w:t>
      </w:r>
      <w:r w:rsidR="003E4C29">
        <w:rPr>
          <w:lang w:val="en-GB"/>
        </w:rPr>
        <w:t>6</w:t>
      </w:r>
      <w:r w:rsidRPr="001D7F20">
        <w:rPr>
          <w:lang w:val="en-GB"/>
        </w:rPr>
        <w:t>.g-i). It should be noted that the grain colours in the grain distribution map is not related to any orientation information, but automatically assigned by the software as correlated to their neighbours. The results are in agreement with the reported study by Yin et al.</w:t>
      </w:r>
      <w:r w:rsidRPr="001D7F20">
        <w:rPr>
          <w:rStyle w:val="FootnoteReference"/>
          <w:lang w:val="en-GB"/>
        </w:rPr>
        <w:fldChar w:fldCharType="begin" w:fldLock="1"/>
      </w:r>
      <w:r w:rsidRPr="001D7F20">
        <w:rPr>
          <w:lang w:val="en-GB"/>
        </w:rPr>
        <w:instrText>ADDIN CSL_CITATION {"citationItems":[{"id":"ITEM-1","itemData":{"DOI":"10.1007/s12598-016-0806-4","ISSN":"1867-7185","abstract":"Commercial grade rolled and electrodeposited copper foils from Japan and China were selected, and their mechanical properties and microstructure were investigated. It was observed that there are notable differences in fracture strength, elongation at break and hydrophilicity between rolled and electrodeposited copper foils. The rolled copper foils have higher tensile strength, lower ductility and larger static contact angle than electrodeposited copper foils. The rolled copper foils contain a β-fiber texture, and the electrodeposited copper foils have random crystalline orientations. It was also observed that the rolled foils have packed grains, and electrodeposited foils have equiaxial grains. The uniform fine grain size and a few substructures of Japanese electrodeposited foils are major reasons for their higher elongation.","author":[{"dropping-particle":"","family":"Yin","given":"Xiang-Qian","non-dropping-particle":"","parse-names":false,"suffix":""},{"dropping-particle":"","family":"Peng","given":"Li-Jun","non-dropping-particle":"","parse-names":false,"suffix":""},{"dropping-particle":"","family":"Kayani","given":"Saif","non-dropping-particle":"","parse-names":false,"suffix":""},{"dropping-particle":"","family":"Cheng","given":"Lei","non-dropping-particle":"","parse-names":false,"suffix":""},{"dropping-particle":"","family":"Wang","given":"Jian-Wei","non-dropping-particle":"","parse-names":false,"suffix":""},{"dropping-particle":"","family":"Xiao","given":"Wei","non-dropping-particle":"","parse-names":false,"suffix":""},{"dropping-particle":"","family":"Wang","given":"Li-Gen","non-dropping-particle":"","parse-names":false,"suffix":""},{"dropping-particle":"","family":"Huang","given":"Guo-Jie","non-dropping-particle":"","parse-names":false,"suffix":""}],"container-title":"Rare Metals","id":"ITEM-1","issue":"12","issued":{"date-parts":[["2016"]]},"page":"909-914","title":"Mechanical properties and microstructure of rolled and electrodeposited thin copper foil","type":"article-journal","volume":"35"},"uris":["http://www.mendeley.com/documents/?uuid=19f0ec02-1303-469e-b6a1-c40bc2fc4022"]}],"mendeley":{"formattedCitation":"&lt;sup&gt;[4]&lt;/sup&gt;","plainTextFormattedCitation":"[4]","previouslyFormattedCitation":"&lt;sup&gt;[5]&lt;/sup&gt;"},"properties":{"noteIndex":0},"schema":"https://github.com/citation-style-language/schema/raw/master/csl-citation.json"}</w:instrText>
      </w:r>
      <w:r w:rsidRPr="001D7F20">
        <w:rPr>
          <w:rStyle w:val="FootnoteReference"/>
          <w:lang w:val="en-GB"/>
        </w:rPr>
        <w:fldChar w:fldCharType="separate"/>
      </w:r>
      <w:r w:rsidRPr="001D7F20">
        <w:rPr>
          <w:noProof/>
          <w:vertAlign w:val="superscript"/>
          <w:lang w:val="en-GB"/>
        </w:rPr>
        <w:t>[4]</w:t>
      </w:r>
      <w:r w:rsidRPr="001D7F20">
        <w:rPr>
          <w:rStyle w:val="FootnoteReference"/>
          <w:lang w:val="en-GB"/>
        </w:rPr>
        <w:fldChar w:fldCharType="end"/>
      </w:r>
      <w:r w:rsidRPr="001D7F20">
        <w:rPr>
          <w:lang w:val="en-GB"/>
        </w:rPr>
        <w:t xml:space="preserve"> on cold-rolled 10 μm  thick commercial copper foils, showing elongated, uniform microstructure, with some large grains, similar to the data presented in Fig</w:t>
      </w:r>
      <w:r w:rsidR="006F1647">
        <w:rPr>
          <w:lang w:val="en-GB"/>
        </w:rPr>
        <w:t>ure</w:t>
      </w:r>
      <w:r w:rsidRPr="001D7F20">
        <w:rPr>
          <w:lang w:val="en-GB"/>
        </w:rPr>
        <w:t xml:space="preserve"> S</w:t>
      </w:r>
      <w:r w:rsidR="003E4C29">
        <w:rPr>
          <w:lang w:val="en-GB"/>
        </w:rPr>
        <w:t>6</w:t>
      </w:r>
      <w:r w:rsidRPr="001D7F20">
        <w:rPr>
          <w:lang w:val="en-GB"/>
        </w:rPr>
        <w:t>.e-f.</w:t>
      </w:r>
    </w:p>
    <w:p w14:paraId="4DB014AC" w14:textId="54DF3655" w:rsidR="0040724D" w:rsidRDefault="0040724D" w:rsidP="004A30C5">
      <w:pPr>
        <w:pStyle w:val="COL09sub-section"/>
        <w:ind w:firstLine="426"/>
        <w:jc w:val="both"/>
        <w:rPr>
          <w:b w:val="0"/>
          <w:bCs w:val="0"/>
          <w:lang w:val="en-GB"/>
        </w:rPr>
      </w:pPr>
      <w:r w:rsidRPr="001D7F20">
        <w:rPr>
          <w:b w:val="0"/>
          <w:bCs w:val="0"/>
          <w:lang w:val="en-GB"/>
        </w:rPr>
        <w:t>According to the distribution histograms (Fig</w:t>
      </w:r>
      <w:r w:rsidR="00BB0CC3">
        <w:rPr>
          <w:b w:val="0"/>
          <w:bCs w:val="0"/>
          <w:lang w:val="en-GB"/>
        </w:rPr>
        <w:t>ure</w:t>
      </w:r>
      <w:r w:rsidRPr="001D7F20">
        <w:rPr>
          <w:b w:val="0"/>
          <w:bCs w:val="0"/>
          <w:lang w:val="en-GB"/>
        </w:rPr>
        <w:t xml:space="preserve"> S</w:t>
      </w:r>
      <w:r w:rsidR="003E4C29">
        <w:rPr>
          <w:b w:val="0"/>
          <w:bCs w:val="0"/>
          <w:lang w:val="en-GB"/>
        </w:rPr>
        <w:t>5</w:t>
      </w:r>
      <w:r w:rsidRPr="001D7F20">
        <w:rPr>
          <w:b w:val="0"/>
          <w:bCs w:val="0"/>
          <w:lang w:val="en-GB"/>
        </w:rPr>
        <w:t>.g-i, for Au; Fig</w:t>
      </w:r>
      <w:r w:rsidR="00BB0CC3">
        <w:rPr>
          <w:b w:val="0"/>
          <w:bCs w:val="0"/>
          <w:lang w:val="en-GB"/>
        </w:rPr>
        <w:t>ure</w:t>
      </w:r>
      <w:r w:rsidRPr="001D7F20">
        <w:rPr>
          <w:b w:val="0"/>
          <w:bCs w:val="0"/>
          <w:lang w:val="en-GB"/>
        </w:rPr>
        <w:t xml:space="preserve"> S</w:t>
      </w:r>
      <w:r w:rsidR="003E4C29">
        <w:rPr>
          <w:b w:val="0"/>
          <w:bCs w:val="0"/>
          <w:lang w:val="en-GB"/>
        </w:rPr>
        <w:t>6</w:t>
      </w:r>
      <w:r w:rsidRPr="001D7F20">
        <w:rPr>
          <w:b w:val="0"/>
          <w:bCs w:val="0"/>
          <w:lang w:val="en-GB"/>
        </w:rPr>
        <w:t>.g-i, for Cu), after the surface cleaning by Ar-ion milling a more uniform distribution of the grain size is observed for both metallic foils. Moreover, for Au foils, a more uniform dispersion of the grain size is noticed after the final milling process (Fig</w:t>
      </w:r>
      <w:r w:rsidR="00BB0CC3">
        <w:rPr>
          <w:b w:val="0"/>
          <w:bCs w:val="0"/>
          <w:lang w:val="en-GB"/>
        </w:rPr>
        <w:t>ure</w:t>
      </w:r>
      <w:r w:rsidRPr="001D7F20">
        <w:rPr>
          <w:b w:val="0"/>
          <w:bCs w:val="0"/>
          <w:lang w:val="en-GB"/>
        </w:rPr>
        <w:t xml:space="preserve"> S</w:t>
      </w:r>
      <w:r w:rsidR="003E4C29">
        <w:rPr>
          <w:b w:val="0"/>
          <w:bCs w:val="0"/>
          <w:lang w:val="en-GB"/>
        </w:rPr>
        <w:t>5</w:t>
      </w:r>
      <w:r w:rsidRPr="001D7F20">
        <w:rPr>
          <w:b w:val="0"/>
          <w:bCs w:val="0"/>
          <w:lang w:val="en-GB"/>
        </w:rPr>
        <w:t xml:space="preserve">.f). It is worth mentioning that as EBSD is a surface technique and the diffraction pattern is the result of the electrons coming from the first </w:t>
      </w:r>
      <w:r w:rsidRPr="001D7F20">
        <w:rPr>
          <w:b w:val="0"/>
          <w:bCs w:val="0"/>
          <w:lang w:val="en-GB"/>
        </w:rPr>
        <w:lastRenderedPageBreak/>
        <w:t>few tens of nanometres at the sample surface, the conclusions on the surface characteristics of the dry-etched foils do not imply that the same modifications took place also in the “bulk” of the foils.</w:t>
      </w:r>
    </w:p>
    <w:p w14:paraId="34ED97E3" w14:textId="77777777" w:rsidR="004A30C5" w:rsidRPr="001D7F20" w:rsidRDefault="004A30C5" w:rsidP="004A30C5">
      <w:pPr>
        <w:pStyle w:val="COL09sub-section"/>
        <w:jc w:val="both"/>
        <w:rPr>
          <w:b w:val="0"/>
          <w:bCs w:val="0"/>
          <w:lang w:val="en-GB"/>
        </w:rPr>
      </w:pPr>
    </w:p>
    <w:p w14:paraId="1F0D2882" w14:textId="77777777" w:rsidR="0040724D" w:rsidRPr="001D7F20" w:rsidRDefault="0040724D" w:rsidP="001D7F20">
      <w:pPr>
        <w:pStyle w:val="COL09sub-section"/>
      </w:pPr>
      <w:r w:rsidRPr="001D7F20">
        <w:t xml:space="preserve">2. Optimization of the electron-beam lithographic process </w:t>
      </w:r>
    </w:p>
    <w:p w14:paraId="379EBE15" w14:textId="77777777" w:rsidR="00AE3548" w:rsidRDefault="0040724D" w:rsidP="001D7F20">
      <w:pPr>
        <w:spacing w:line="480" w:lineRule="auto"/>
        <w:jc w:val="both"/>
        <w:rPr>
          <w:lang w:val="en-GB" w:eastAsia="en-GB"/>
        </w:rPr>
      </w:pPr>
      <w:r w:rsidRPr="001D7F20">
        <w:rPr>
          <w:lang w:val="en-GB" w:eastAsia="en-GB"/>
        </w:rPr>
        <w:t>Analysis of the interaction of accelerated electrons with the resist and substrate, by means of Monte Carlo simulation, revealed the electron scattering process, allowing the optimization of the acceleration voltage, exposure dosage, and beam step size for gratings structure on different substrate materials. The number of simulated electrons (</w:t>
      </w:r>
      <w:r w:rsidRPr="001D7F20">
        <w:rPr>
          <w:noProof/>
          <w:position w:val="-14"/>
        </w:rPr>
        <w:object w:dxaOrig="340" w:dyaOrig="380" w14:anchorId="43E0ADD6">
          <v:shape id="_x0000_i1028" type="#_x0000_t75" alt="" style="width:16.65pt;height:19.35pt;mso-width-percent:0;mso-height-percent:0;mso-width-percent:0;mso-height-percent:0" o:ole="">
            <v:imagedata r:id="rId16" o:title=""/>
          </v:shape>
          <o:OLEObject Type="Embed" ProgID="Equation.DSMT4" ShapeID="_x0000_i1028" DrawAspect="Content" ObjectID="_1696861616" r:id="rId17"/>
        </w:object>
      </w:r>
      <w:r w:rsidRPr="001D7F20">
        <w:rPr>
          <w:lang w:val="en-GB" w:eastAsia="en-GB"/>
        </w:rPr>
        <w:t>) has been calculated from the correlation with the test dose (Equation 1) and corresponds to 16875 electrons. For this, the experimental tests and the simulated absorbed energy reveal an optimum dose of 300 μC/cm</w:t>
      </w:r>
      <w:r w:rsidRPr="001D7F20">
        <w:rPr>
          <w:vertAlign w:val="superscript"/>
          <w:lang w:val="en-GB" w:eastAsia="en-GB"/>
        </w:rPr>
        <w:t>2</w:t>
      </w:r>
      <w:r w:rsidRPr="001D7F20">
        <w:rPr>
          <w:lang w:val="en-GB" w:eastAsia="en-GB"/>
        </w:rPr>
        <w:t xml:space="preserve"> and 30 nm step size. Accordingly, the program simulated a number of 17 000 electron trajectories, using a beam energy of 30 keV and 18.5 nm beam radius, for 600 nm thick PMMA resist over Au, Cu and, for comparison purposes (low atomic number), also on Si, as substrates.</w:t>
      </w:r>
    </w:p>
    <w:p w14:paraId="6BCC2B24" w14:textId="3ED5BF8F" w:rsidR="00AE3548" w:rsidRPr="001D7F20" w:rsidRDefault="00AE3548" w:rsidP="00AE3548">
      <w:pPr>
        <w:pStyle w:val="MTDisplayEquation"/>
        <w:spacing w:before="0" w:after="0"/>
        <w:jc w:val="right"/>
        <w:rPr>
          <w:lang w:eastAsia="zh-CN"/>
        </w:rPr>
      </w:pPr>
      <w:r w:rsidRPr="001D7F20">
        <w:rPr>
          <w:noProof/>
          <w:position w:val="-30"/>
        </w:rPr>
        <w:object w:dxaOrig="5120" w:dyaOrig="740" w14:anchorId="5FEEEB77">
          <v:shape id="_x0000_i1071" type="#_x0000_t75" alt="" style="width:255.35pt;height:37.35pt;mso-width-percent:0;mso-height-percent:0;mso-width-percent:0;mso-height-percent:0" o:ole="">
            <v:imagedata r:id="rId18" o:title=""/>
          </v:shape>
          <o:OLEObject Type="Embed" ProgID="Equation.DSMT4" ShapeID="_x0000_i1071" DrawAspect="Content" ObjectID="_1696861617" r:id="rId19"/>
        </w:object>
      </w:r>
      <w:r w:rsidRPr="001D7F20">
        <w:tab/>
        <w:t>(1)</w:t>
      </w:r>
    </w:p>
    <w:p w14:paraId="56D7B3DB" w14:textId="5AD2E8B2" w:rsidR="0040724D" w:rsidRPr="001D7F20" w:rsidRDefault="00AE3548" w:rsidP="00AE3548">
      <w:pPr>
        <w:spacing w:line="480" w:lineRule="auto"/>
        <w:jc w:val="both"/>
        <w:rPr>
          <w:lang w:val="en-GB"/>
        </w:rPr>
      </w:pPr>
      <w:r w:rsidRPr="001D7F20">
        <w:rPr>
          <w:lang w:val="en-GB"/>
        </w:rPr>
        <w:t>The computation data provided the interaction, scattering, and penetration depth of the incident electrons in the material. Fig</w:t>
      </w:r>
      <w:r>
        <w:rPr>
          <w:lang w:val="en-GB"/>
        </w:rPr>
        <w:t>ure</w:t>
      </w:r>
      <w:r w:rsidRPr="001D7F20">
        <w:rPr>
          <w:lang w:val="en-GB"/>
        </w:rPr>
        <w:t xml:space="preserve"> S</w:t>
      </w:r>
      <w:r>
        <w:rPr>
          <w:lang w:val="en-GB"/>
        </w:rPr>
        <w:t>7</w:t>
      </w:r>
      <w:r w:rsidRPr="001D7F20">
        <w:rPr>
          <w:lang w:val="en-GB"/>
        </w:rPr>
        <w:t xml:space="preserve"> shows 200 trajectories of the transmitted or absorbed electrons (in blue) and backscattered electrons (in red) for 600 nm thick PMMA on different substrates: Si (Fig</w:t>
      </w:r>
      <w:r>
        <w:rPr>
          <w:lang w:val="en-GB"/>
        </w:rPr>
        <w:t>ure</w:t>
      </w:r>
      <w:r w:rsidRPr="001D7F20">
        <w:rPr>
          <w:lang w:val="en-GB"/>
        </w:rPr>
        <w:t xml:space="preserve"> S</w:t>
      </w:r>
      <w:r>
        <w:rPr>
          <w:lang w:val="en-GB"/>
        </w:rPr>
        <w:t>7</w:t>
      </w:r>
      <w:r w:rsidRPr="001D7F20">
        <w:rPr>
          <w:lang w:val="en-GB"/>
        </w:rPr>
        <w:t>.a), Cu (Fig</w:t>
      </w:r>
      <w:r>
        <w:rPr>
          <w:lang w:val="en-GB"/>
        </w:rPr>
        <w:t>ure</w:t>
      </w:r>
      <w:r w:rsidRPr="001D7F20">
        <w:rPr>
          <w:lang w:val="en-GB"/>
        </w:rPr>
        <w:t xml:space="preserve"> S</w:t>
      </w:r>
      <w:r>
        <w:rPr>
          <w:lang w:val="en-GB"/>
        </w:rPr>
        <w:t>7</w:t>
      </w:r>
      <w:r w:rsidRPr="001D7F20">
        <w:rPr>
          <w:lang w:val="en-GB"/>
        </w:rPr>
        <w:t>.b), and Au (Fig</w:t>
      </w:r>
      <w:r>
        <w:rPr>
          <w:lang w:val="en-GB"/>
        </w:rPr>
        <w:t>ure</w:t>
      </w:r>
      <w:r w:rsidRPr="001D7F20">
        <w:rPr>
          <w:lang w:val="en-GB"/>
        </w:rPr>
        <w:t xml:space="preserve"> S</w:t>
      </w:r>
      <w:r>
        <w:rPr>
          <w:lang w:val="en-GB"/>
        </w:rPr>
        <w:t>7</w:t>
      </w:r>
      <w:r w:rsidRPr="001D7F20">
        <w:rPr>
          <w:lang w:val="en-GB"/>
        </w:rPr>
        <w:t>.c). As observed, for substrates with high atomic number (e.g.</w:t>
      </w:r>
      <w:r w:rsidR="004D000B">
        <w:rPr>
          <w:lang w:val="en-GB"/>
        </w:rPr>
        <w:t>,</w:t>
      </w:r>
      <w:r w:rsidRPr="001D7F20">
        <w:rPr>
          <w:lang w:val="en-GB"/>
        </w:rPr>
        <w:t xml:space="preserve"> Au), the number and spread of the backscattered electrons increase significantly in the PMMA resist, providing an additional exposure (overexposure) of the resist. Hence, a deep undercut and blurred edges of the pattern profile are expected in the case of the metallic substrates, after development. This hypothesis is corroborated by the results of Samardak et al.</w:t>
      </w:r>
      <w:r w:rsidRPr="001D7F20">
        <w:rPr>
          <w:rStyle w:val="FootnoteReference"/>
          <w:lang w:val="en-GB"/>
        </w:rPr>
        <w:fldChar w:fldCharType="begin" w:fldLock="1"/>
      </w:r>
      <w:r w:rsidRPr="001D7F20">
        <w:rPr>
          <w:lang w:val="en-GB"/>
        </w:rPr>
        <w:instrText>ADDIN CSL_CITATION {"citationItems":[{"id":"ITEM-1","itemData":{"DOI":"10.3762/bjnano.6.101","ISSN":"2190-4286","abstract":"The paper presents a method for the high-resolution production of polymer nanopatterns with controllable geometrical parameters by means of a single-spot electron-beam lithography technique. The essence of the method entails the overexposure of a positive-tone resist, spin-coated onto a substrate where nanoscale spots are exposed to an electron beam with a dose greater than 0.1 pC per dot. A single-spot enables the fabrication of a nanoring, while a chain of spots placed at distance of 5-30 nm from each other allows the production of a polymer pattern of complex geometry of sub-10 nm resolution. We demonstrate that in addition to the naturally oxidized silicon substrates, gold-coated substrates can also successfully be used for the single-spot nanopattering technique. An explanation of the results related to the resist overexposure was demonstrated using Monte Carlo simulations. Our nanofabrication method significantly accelerates (up to 10 times) the fabrication rate as compared to conventional lithography on positive-tone resist. This technique can be potentially employed in the electronics industry for the production of nanoprinted lithography molds, etching masks, nanoelectronics, nanophotonics, NEMS and MEMS devices.","author":[{"dropping-particle":"","family":"Samardak","given":"Alexander","non-dropping-particle":"","parse-names":false,"suffix":""},{"dropping-particle":"","family":"Anisimova","given":"Margarita","non-dropping-particle":"","parse-names":false,"suffix":""},{"dropping-particle":"","family":"Samardak","given":"Aleksei","non-dropping-particle":"","parse-names":false,"suffix":""},{"dropping-particle":"","family":"Ognev","given":"Alexey","non-dropping-particle":"","parse-names":false,"suffix":""}],"container-title":"Beilstein journal of nanotechnology","id":"ITEM-1","issued":{"date-parts":[["2015","4","17"]]},"language":"eng","page":"976-986","publisher":"Beilstein-Institut","title":"Fabrication of high-resolution nanostructures of complex geometry by the single-spot nanolithography method","type":"article-journal","volume":"6"},"uris":["http://www.mendeley.com/documents/?uuid=34a57960-7950-4464-a06e-88375d0f1b3c"]}],"mendeley":{"formattedCitation":"&lt;sup&gt;[5]&lt;/sup&gt;","plainTextFormattedCitation":"[5]","previouslyFormattedCitation":"&lt;sup&gt;[6]&lt;/sup&gt;"},"properties":{"noteIndex":0},"schema":"https://github.com/citation-style-language/schema/raw/master/csl-citation.json"}</w:instrText>
      </w:r>
      <w:r w:rsidRPr="001D7F20">
        <w:rPr>
          <w:rStyle w:val="FootnoteReference"/>
          <w:lang w:val="en-GB"/>
        </w:rPr>
        <w:fldChar w:fldCharType="separate"/>
      </w:r>
      <w:r w:rsidRPr="001D7F20">
        <w:rPr>
          <w:noProof/>
          <w:vertAlign w:val="superscript"/>
          <w:lang w:val="en-GB"/>
        </w:rPr>
        <w:t>[5]</w:t>
      </w:r>
      <w:r w:rsidRPr="001D7F20">
        <w:rPr>
          <w:rStyle w:val="FootnoteReference"/>
          <w:lang w:val="en-GB"/>
        </w:rPr>
        <w:fldChar w:fldCharType="end"/>
      </w:r>
      <w:r w:rsidRPr="001D7F20">
        <w:rPr>
          <w:lang w:val="en-GB"/>
        </w:rPr>
        <w:t xml:space="preserve"> which compares the high-resolution</w:t>
      </w:r>
      <w:r w:rsidRPr="001D7F20">
        <w:rPr>
          <w:lang w:val="en-GB"/>
        </w:rPr>
        <w:t xml:space="preserve"> </w:t>
      </w:r>
      <w:r w:rsidRPr="001D7F20">
        <w:rPr>
          <w:lang w:val="en-GB"/>
        </w:rPr>
        <w:t>nanopatterns obtained by EBL</w:t>
      </w:r>
      <w:r w:rsidR="0040724D" w:rsidRPr="001D7F20">
        <w:rPr>
          <w:lang w:val="en-GB"/>
        </w:rPr>
        <w:fldChar w:fldCharType="begin"/>
      </w:r>
      <w:r w:rsidR="0040724D" w:rsidRPr="00AE3548">
        <w:rPr>
          <w:lang w:val="en-GB"/>
        </w:rPr>
        <w:instrText xml:space="preserve"> QUOTE </w:instrText>
      </w:r>
      <w:r w:rsidR="00744318" w:rsidRPr="00AE3548">
        <w:rPr>
          <w:noProof/>
          <w:position w:val="-17"/>
        </w:rPr>
        <w:pict w14:anchorId="1D79CF5D">
          <v:shape id="_x0000_i1029" type="#_x0000_t75" alt="" style="width:242.65pt;height:24.65pt;mso-width-percent:0;mso-height-percent:0;mso-width-percent:0;mso-height-percent:0" equationxml="&lt;?xml version=&quot;1.0&quot; encoding=&quot;UTF-8&quot; standalone=&quot;yes&quot;?&gt;&#10;&#10;&#10;&#10;&#10;&#10;&#10;&#10;&#10;&#10;&lt;?mso-application progid=&quot;Word.Document&quot;?&gt;&#10;&#10;&#10;&#10;&#10;&#10;&#10;&#10;&#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30&quot;/&gt;&lt;w:doNotEmbedSystemFonts/&gt;&lt;w:defaultTabStop w:val=&quot;720&quot;/&gt;&lt;w:characterSpacingControl w:val=&quot;DontCompress&quot;/&gt;&lt;w:webPageEncoding w:val=&quot;windows-1252&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95A1E&quot;/&gt;&lt;wsp:rsid wsp:val=&quot;0005403F&quot;/&gt;&lt;wsp:rsid wsp:val=&quot;0018107E&quot;/&gt;&lt;wsp:rsid wsp:val=&quot;001E08A1&quot;/&gt;&lt;wsp:rsid wsp:val=&quot;0023393D&quot;/&gt;&lt;wsp:rsid wsp:val=&quot;0024104A&quot;/&gt;&lt;wsp:rsid wsp:val=&quot;002B2F8A&quot;/&gt;&lt;wsp:rsid wsp:val=&quot;002E393F&quot;/&gt;&lt;wsp:rsid wsp:val=&quot;0037083B&quot;/&gt;&lt;wsp:rsid wsp:val=&quot;003E1570&quot;/&gt;&lt;wsp:rsid wsp:val=&quot;003E4039&quot;/&gt;&lt;wsp:rsid wsp:val=&quot;004A4F8B&quot;/&gt;&lt;wsp:rsid wsp:val=&quot;00502DDE&quot;/&gt;&lt;wsp:rsid wsp:val=&quot;0059627F&quot;/&gt;&lt;wsp:rsid wsp:val=&quot;0063006F&quot;/&gt;&lt;wsp:rsid wsp:val=&quot;0065680A&quot;/&gt;&lt;wsp:rsid wsp:val=&quot;006A2436&quot;/&gt;&lt;wsp:rsid wsp:val=&quot;006E5D13&quot;/&gt;&lt;wsp:rsid wsp:val=&quot;00720458&quot;/&gt;&lt;wsp:rsid wsp:val=&quot;007B5345&quot;/&gt;&lt;wsp:rsid wsp:val=&quot;00832535&quot;/&gt;&lt;wsp:rsid wsp:val=&quot;00A16D2C&quot;/&gt;&lt;wsp:rsid wsp:val=&quot;00A54AD5&quot;/&gt;&lt;wsp:rsid wsp:val=&quot;00A95A1E&quot;/&gt;&lt;wsp:rsid wsp:val=&quot;00AB01B3&quot;/&gt;&lt;wsp:rsid wsp:val=&quot;00B064CB&quot;/&gt;&lt;wsp:rsid wsp:val=&quot;00CF08C9&quot;/&gt;&lt;wsp:rsid wsp:val=&quot;00D76179&quot;/&gt;&lt;wsp:rsid wsp:val=&quot;00DC3383&quot;/&gt;&lt;wsp:rsid wsp:val=&quot;00DC61A8&quot;/&gt;&lt;wsp:rsid wsp:val=&quot;00E641C6&quot;/&gt;&lt;wsp:rsid wsp:val=&quot;00E946EF&quot;/&gt;&lt;wsp:rsid wsp:val=&quot;00EA0952&quot;/&gt;&lt;wsp:rsid wsp:val=&quot;00F8064D&quot;/&gt;&lt;wsp:rsid wsp:val=&quot;00FF3459&quot;/&gt;&lt;/wsp:rsids&gt;&lt;/w:docPr&gt;&lt;w:body&gt;&lt;wx:sect&gt;&lt;w:p wsp:rsidR=&quot;00000000&quot; wsp:rsidRDefault=&quot;00E641C6&quot; wsp:rsidP=&quot;00E641C6&quot;&gt;&lt;m:oMathPara&gt;&lt;m:oMath&gt;&lt;m:r&gt;&lt;w:rPr&gt;&lt;w:rFonts w:ascii=&quot;Cambria Math&quot; w:h-ansi=&quot;Cambria Math&quot;/&gt;&lt;wx:font wx:val=&quot;Cambria Math&quot;/&gt;&lt;w:i/&gt;&lt;w:lang w:val=&quot;EN-GB&quot;/&gt;&lt;/w:rPr&gt;&lt;m:t&gt;dose=&lt;/m:t&gt;&lt;/m:r&gt;&lt;m:f&gt;&lt;m:fPr&gt;&lt;m:ctrlPr&gt;&lt;w:rPr&gt;&lt;w:rFonts w:ascii=&quot;Cambria Math&quot; w:h-ansi=&quot;Cambria Math&quot;/&gt;&lt;wx:font wx:val=&quot;Cambria Math&quot;/&gt;&lt;w:i/&gt;&lt;w:lang w:val=&quot;EN-GB&quot;/&gt;&lt;/w:rPr&gt;&lt;/m:ctrlPr&gt;&lt;/m:fPr&gt;&lt;m:num&gt;&lt;m:r&gt;&lt;w:rPr&gt;&lt;w:rFonts w:ascii=&quot;Cambria Math&quot; w:h-ansi=&quot;Cambria Math&quot;/&gt;&lt;wx:font wx:val=&quot;Cambria Math&quot;/&gt;&lt;w:i/&gt;&lt;w:lang w:val=&quot;EN-GB&quot;/&gt;&lt;/w:rPr&gt;&lt;m:t&gt;total electron charge&lt;/m:t&gt;&lt;/m:r&gt;&lt;/m:num&gt;&lt;m:den&gt;&lt;m:r&gt;&lt;w:rPr&gt;&lt;w:rFonts w:ascii=&quot;Cambria Math&quot; w:h-ansi=&quot;Cambria Math&quot;/&gt;&lt;wx:font wx:val=&quot;Cambria Math&quot;/&gt;&lt;w:i/&gt;&lt;w:lang w:val=&quot;EN-GB&quot;/&gt;&lt;/w:rPr&gt;&lt;m:t&gt;step size area&lt;/m:t&gt;&lt;/m:r&gt;&lt;/m:den&gt;&lt;/m:f&gt;&lt;m:r&gt;&lt;w:rPr&gt;&lt;w:rFonts w:ascii=&quot;Cambria Math&quot; w:h-ansi=&quot;Cambria Math&quot;/&gt;&lt;wx:font wx:val=&quot;Cambria Math&quot;/&gt;&lt;w:i/&gt;&lt;w:lang w:val=&quot;EN-GB&quot;/&gt;&lt;/w:rPr&gt;&lt;m:t&gt;=&lt;/m:t&gt;&lt;/m:r&gt;&lt;m:f&gt;&lt;m:fPr&gt;&lt;m:ctrlPr&gt;&lt;w:rPr&gt;&lt;w:rFonts w:ascii=&quot;Cambria Math&quot; w:h-ansi=&quot;Cambria Math&quot;/&gt;&lt;wx:font wx:val=&quot;Cambria Math&quot;/&gt;&lt;w:i/&gt;&lt;w:lang w:val=&quot;EN-GB&quot;/&gt;&lt;/w:rPr&gt;&lt;/m:ctrlPr&gt;&lt;/m:fPr&gt;&lt;m:num&gt;&lt;m:sSub&gt;&lt;m:sSubPr&gt;&lt;m:ctrlPr&gt;&lt;w:rPr&gt;&lt;w:rFonts w:ascii=&quot;Cambria Math&quot; w:h-ansi=&quot;Cambria Math&quot;/&gt;&lt;wx:font wx:val=&quot;Cambria Math&quot;/&gt;&lt;w:i/&gt;&lt;w:lang w:val=&quot;EN-GB&quot;/&gt;&lt;/w:rPr&gt;&lt;/m:ctrlPr&gt;&lt;/m:sSubPr&gt;&lt;m:e&gt;&lt;m:r&gt;&lt;w:rPr&gt;&lt;w:rFonts w:ascii=&quot;Cambria Math&quot; w:h-ansi=&quot;Cambria Math&quot;/&gt;&lt;wx:font wx:val=&quot;Cambria Math&quot;/&gt;&lt;w:i/&gt;&lt;w:lang w:val=&quot;EN-GB&quot;/&gt;&lt;/w:rPr&gt;&lt;m:t&gt;#&lt;/m:t&gt;&lt;/m:r&gt;&lt;/m:e&gt;&lt;m:sub&gt;&lt;m:sSup&gt;&lt;m:sSupPr&gt;&lt;m:ctrlPr&gt;&lt;w:rPr&gt;&lt;w:rFonts w:ascii=&quot;Cambria Math&quot; w:h-ansi=&quot;Cambria Math&quot;/&gt;&lt;wx:font wx:val=&quot;Cambria Math&quot;/&gt;&lt;w:i/&gt;&lt;w:lang w:val=&quot;EN-GB&quot;/&gt;&lt;/w:rPr&gt;&lt;/m:ctrlPr&gt;&lt;/m:sSupPr&gt;&lt;m:e&gt;&lt;m:r&gt;&lt;w:rPr&gt;&lt;w:rFonts w:ascii=&quot;Cambria Math&quot; w:h-ansi=&quot;Cambria Math&quot;/&gt;&lt;wx:font wx:val=&quot;Cambria Math&quot;/&gt;&lt;w:i/&gt;&lt;w:lang w:val=&quot;EN-GB&quot;/&gt;&lt;/w:rPr&gt;&lt;m:t&gt;e&lt;/m:t&gt;&lt;/m:r&gt;&lt;/m:e&gt;&lt;m:sup&gt;&lt;m:r&gt;&lt;w:rPr&gt;&lt;w:rFonts w:ascii=&quot;Cambria Math&quot; w:h-ansi=&quot;Cambria Math&quot;/&gt;&lt;wx:font wx:val=&quot;Cambria Math&quot;/&gt;&lt;w:i/&gt;&lt;w:lang w:val=&quot;EN-GB&quot;/&gt;&lt;/w:rPr&gt;&lt;m:t&gt;-&lt;/m:t&gt;&lt;/m:r&gt;&lt;/m:sup&gt;&lt;/m:sSup&gt;&lt;/m:sub&gt;&lt;/m:sSub&gt;&lt;m:r&gt;&lt;w:rPr&gt;&lt;w:rFonts w:ascii=&quot;Cambria Math&quot; w:h-ansi=&quot;Cambria Math&quot;/&gt;&lt;wx:font wx:val=&quot;Cambria Math&quot;/&gt;&lt;w:i/&gt;&lt;w:lang w:val=&quot;EN-GB&quot;/&gt;&lt;/w:rPr&gt;&lt;m:t&gt; âa™ 1.6 âa™ &lt;/m:t&gt;&lt;/m:r&gt;&lt;m:sSup&gt;&lt;m:sSupPr&gt;&lt;m:ctrlPr&gt;&lt;w:rPr&gt;&lt;w:rFonts w:ascii=&quot;Cambria Math&quot; w:h-ansi=&quot;Cambria Math&quot;/&gt;&lt;wx:font wx:val=&quot;Cambria Math&quot;/&gt;&lt;w:i/&gt;&lt;w:lang w:val=&quot;EN-GB&quot;/&gt;&lt;/w:rPr&gt;&lt;/m:ctrlPr&gt;&lt;/m:sSupPr&gt;&lt;m:e&gt;&lt;m:r&gt;&lt;w:rPr&gt;&lt;w:rFonts w:ascii=&quot;Cambria Math&quot; w:h-ansi=&quot;Cambria Math&quot;/&gt;&lt;wx:font wx:val=&quot;Cambria Math&quot;/&gt;&lt;w:i/&gt;&lt;w:lang w:val=&quot;EN-GB&quot;/&gt;&lt;/w:rPr&gt;&lt;m:t&gt;10&lt;/m:t&gt;&lt;/m:r&gt;&lt;/m:e&gt;&lt;m:sup&gt;&lt;m:r&gt;&lt;w:rPr&gt;&lt;w:rFonts w:ascii=&quot;Cambria Math&quot; w:h-ansi=&quot;Cambria Math&quot;/&gt;&lt;wx:font wx:val=&quot;Cambria Math&quot;/&gt;&lt;w:i/&gt;&lt;w:lang w:val=&quot;EN-GB&quot;/&gt;&lt;/w:rPr&gt;&lt;m:t&gt;-19&lt;/m:t&gt;&lt;/m:r&gt;&lt;/m:sup&gt;&lt;/m:sSup&gt;&lt;/m:num&gt;&lt;m:den&gt;&lt;m:r&gt;&lt;w:rPr&gt;&lt;w:rFonts w:ascii=&quot;Cambria Math&quot; w:h-ansi=&quot;Cambria Math&quot;/&gt;&lt;wx:font wx:val=&quot;Cambria Math&quot;/&gt;&lt;w:i/&gt;&lt;w:lang w:val=&quot;EN-GB&quot;/&gt;&lt;/w:rPr&gt;&lt;m:t&gt;SSA&lt;/m:t&gt;&lt;/m:r&gt;&lt;/m:den&gt;&lt;/m:f&gt;&lt;m:d&gt;&lt;m:dPr&gt;&lt;m:ctrlPr&gt;&lt;w:rPr&gt;&lt;w:rFonts w:ascii=&quot;Cambria Math&quot; w:fareast=&quot;Times New Roman&quot; w:h-ansi=&quot;Cambria Math&quot;/&gt;&lt;wx:font wx:val=&quot;Cambria Math&quot;/&gt;&lt;w:i/&gt;&lt;w:lang w:val=&quot;EN-GB&quot;/&gt;&lt;/w:rPr&gt;&lt;/m:ctrlPr&gt;&lt;/m:dPr&gt;&lt;m:e&gt;&lt;m:f&gt;&lt;m:fPr&gt;&lt;m:ctrlPr&gt;&lt;w:rPr&gt;&lt;w:rFonts w:ascii=&quot;Cambria Math&quot; w:fareast=&quot;Times New Roman&quot; w:h-ansi=&quot;Cambria Math&quot;/&gt;&lt;wx:font wx:val=&quot;Cambria Math&quot;/&gt;&lt;w:i/&gt;&lt;w:lang w:val=&quot;EN-GB&quot;/&gt;&lt;/w:rPr&gt;&lt;/m:ctrlPr&gt;&lt;/m:fPr&gt;&lt;m:num&gt;&lt;m:r&gt;&lt;w:rPr&gt;&lt;w:rFonts w:ascii=&quot;Cambria Math&quot; w:fareast=&quot;Times New Roman&quot; w:h-ansi=&quot;Cambria Math&quot;/&gt;&lt;wx:font wx:val=&quot;Cambria Math&quot;/&gt;&lt;w:i/&gt;&lt;w:lang w:val=&quot;EN-GB&quot;/&gt;&lt;/w:rPr&gt;&lt;m:t&gt;C&lt;/m:t&gt;&lt;/m:r&gt;&lt;/m:num&gt;&lt;m:den&gt;&lt;m:sSup&gt;&lt;m:sSupPr&gt;&lt;m:ctrlPr&gt;&lt;w:rPr&gt;&lt;w:rFonts w:ascii=&quot;Cambria Math&quot; w:fareast=&quot;Times New Roman&quot; w:h-ansi=&quot;Cambria Math&quot;/&gt;&lt;wx:font wx:val=&quot;Cambria Math&quot;/&gt;&lt;w:i/&gt;&lt;w:lang w:val=&quot;EN-GB&quot;/&gt;&lt;/w:rPr&gt;&lt;/m:ctrlPr&gt;&lt;/m:sSupPr&gt;&lt;m:e&gt;&lt;m:r&gt;&lt;w:rPr&gt;&lt;w:rFonts w:ascii=&quot;Cambria Math&quot; w:fareast=&quot;Times New Roman&quot; w:h-ansi=&quot;Cambria Math&quot;/&gt;&lt;wx:font wx:val=&quot;Cambria Math&quot;/&gt;&lt;w:i/&gt;&lt;w:lang w:val=&quot;EN-GB&quot;/&gt;&lt;/w:rPr&gt;&lt;m:t&gt;ÎLm&lt;/m:t&gt;&lt;/m:r&gt;&lt;/m:e&gt;&lt;m:sup&gt;&lt;m:r&gt;&lt;w:rPr&gt;&lt;w:rFonts w:ascii=&quot;Cambria Math&quot; w:fareast=&quot;Times New Roman&quot; w:h-ansi=&quot;Cambria Math&quot;/&gt;&lt;wx:font wx:val=&quot;Cambria Math&quot;/&gt;&lt;w:i/&gt;&lt;w:lang w:val=&quot;EN-GB&quot;/&gt;&lt;/w:rPr&gt;&lt;m:t&gt;2&lt;/m:t&gt;&lt;/m:r&gt;&lt;/m:sup&gt;&lt;/m:sSup&gt;&lt;/m:den&gt;&lt;/m:f&gt;&lt;/m:e&gt;&lt;/m:d&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x:sect&gt;&lt;/w:body&gt;&lt;/w:wordDocument&gt;">
            <v:imagedata r:id="rId20" o:title="" chromakey="white"/>
          </v:shape>
        </w:pict>
      </w:r>
      <w:r w:rsidR="0040724D" w:rsidRPr="00AE3548">
        <w:rPr>
          <w:lang w:val="en-GB"/>
        </w:rPr>
        <w:instrText xml:space="preserve"> </w:instrText>
      </w:r>
      <w:r w:rsidR="0040724D" w:rsidRPr="001D7F20">
        <w:rPr>
          <w:lang w:val="en-GB"/>
        </w:rPr>
        <w:fldChar w:fldCharType="end"/>
      </w:r>
    </w:p>
    <w:tbl>
      <w:tblPr>
        <w:tblStyle w:val="TableGrid"/>
        <w:tblpPr w:leftFromText="180" w:rightFromText="180" w:vertAnchor="text" w:horzAnchor="margin" w:tblpY="995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0"/>
      </w:tblGrid>
      <w:tr w:rsidR="004A30C5" w14:paraId="037D905A" w14:textId="77777777" w:rsidTr="00AE3548">
        <w:tc>
          <w:tcPr>
            <w:tcW w:w="9060" w:type="dxa"/>
          </w:tcPr>
          <w:p w14:paraId="0532A8AC" w14:textId="77777777" w:rsidR="004A30C5" w:rsidRDefault="004A30C5" w:rsidP="00AE3548">
            <w:pPr>
              <w:spacing w:before="240" w:line="480" w:lineRule="auto"/>
              <w:jc w:val="center"/>
              <w:rPr>
                <w:lang w:val="en-GB"/>
              </w:rPr>
            </w:pPr>
            <w:r w:rsidRPr="001D7F20">
              <w:rPr>
                <w:noProof/>
                <w:lang w:eastAsia="ro-RO"/>
              </w:rPr>
              <w:lastRenderedPageBreak/>
              <w:drawing>
                <wp:inline distT="0" distB="0" distL="0" distR="0" wp14:anchorId="14271C57" wp14:editId="3B770062">
                  <wp:extent cx="3594100" cy="1041400"/>
                  <wp:effectExtent l="0" t="0" r="0" b="0"/>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94100" cy="1041400"/>
                          </a:xfrm>
                          <a:prstGeom prst="rect">
                            <a:avLst/>
                          </a:prstGeom>
                          <a:noFill/>
                          <a:ln>
                            <a:noFill/>
                          </a:ln>
                        </pic:spPr>
                      </pic:pic>
                    </a:graphicData>
                  </a:graphic>
                </wp:inline>
              </w:drawing>
            </w:r>
          </w:p>
        </w:tc>
      </w:tr>
      <w:tr w:rsidR="004A30C5" w14:paraId="35ABA008" w14:textId="77777777" w:rsidTr="00AE3548">
        <w:tc>
          <w:tcPr>
            <w:tcW w:w="9060" w:type="dxa"/>
          </w:tcPr>
          <w:p w14:paraId="5EA89D29" w14:textId="77777777" w:rsidR="004A30C5" w:rsidRDefault="004A30C5" w:rsidP="00AE3548">
            <w:pPr>
              <w:pStyle w:val="Caption"/>
              <w:spacing w:after="0" w:line="480" w:lineRule="auto"/>
              <w:rPr>
                <w:rFonts w:ascii="Times New Roman" w:hAnsi="Times New Roman"/>
                <w:i w:val="0"/>
                <w:iCs w:val="0"/>
                <w:color w:val="auto"/>
                <w:sz w:val="20"/>
                <w:szCs w:val="20"/>
                <w:lang w:val="en-GB"/>
              </w:rPr>
            </w:pPr>
            <w:r w:rsidRPr="004A30C5">
              <w:rPr>
                <w:rFonts w:ascii="Times New Roman" w:hAnsi="Times New Roman"/>
                <w:i w:val="0"/>
                <w:iCs w:val="0"/>
                <w:color w:val="auto"/>
                <w:sz w:val="20"/>
                <w:szCs w:val="20"/>
                <w:lang w:val="en-GB"/>
              </w:rPr>
              <w:t>Figure S</w:t>
            </w:r>
            <w:r w:rsidR="003E4C29">
              <w:rPr>
                <w:rFonts w:ascii="Times New Roman" w:hAnsi="Times New Roman"/>
                <w:i w:val="0"/>
                <w:iCs w:val="0"/>
                <w:color w:val="auto"/>
                <w:sz w:val="20"/>
                <w:szCs w:val="20"/>
                <w:lang w:val="en-GB"/>
              </w:rPr>
              <w:t>7</w:t>
            </w:r>
            <w:r w:rsidRPr="004A30C5">
              <w:rPr>
                <w:rFonts w:ascii="Times New Roman" w:hAnsi="Times New Roman"/>
                <w:i w:val="0"/>
                <w:iCs w:val="0"/>
                <w:color w:val="auto"/>
                <w:sz w:val="20"/>
                <w:szCs w:val="20"/>
                <w:lang w:val="en-GB"/>
              </w:rPr>
              <w:t>. 200 simulated electron trajectories at 30 keV acceleration voltage in 600 nm thick PMMA layer on: (a) Si (Z=14), (b) Cu (Z=29), and (c) Au (Z=79) substrates. The dotted line represents the PMMA-substrate interface.</w:t>
            </w:r>
          </w:p>
          <w:p w14:paraId="03177336" w14:textId="722DB5E9" w:rsidR="00407712" w:rsidRPr="00407712" w:rsidRDefault="00407712" w:rsidP="00AE3548">
            <w:pPr>
              <w:rPr>
                <w:lang w:val="en-GB"/>
              </w:rPr>
            </w:pPr>
          </w:p>
        </w:tc>
      </w:tr>
    </w:tbl>
    <w:p w14:paraId="3CEE2C5B" w14:textId="0D0FB600" w:rsidR="0040724D" w:rsidRDefault="0040724D" w:rsidP="00AE3548">
      <w:pPr>
        <w:spacing w:line="480" w:lineRule="auto"/>
        <w:jc w:val="both"/>
        <w:rPr>
          <w:lang w:val="en-GB"/>
        </w:rPr>
      </w:pPr>
      <w:r w:rsidRPr="001D7F20">
        <w:rPr>
          <w:lang w:val="en-GB"/>
        </w:rPr>
        <w:t>technique on silicon substrates and on metallized surfaces (gold-coated substrates). They observed similar effects with our results for the resist overexposure for both substrates, silicon and gold. As shown in Fig</w:t>
      </w:r>
      <w:r w:rsidR="00BB4A63">
        <w:rPr>
          <w:lang w:val="en-GB"/>
        </w:rPr>
        <w:t>ure</w:t>
      </w:r>
      <w:r w:rsidRPr="001D7F20">
        <w:rPr>
          <w:lang w:val="en-GB"/>
        </w:rPr>
        <w:t xml:space="preserve"> S</w:t>
      </w:r>
      <w:r w:rsidR="003E4C29">
        <w:rPr>
          <w:lang w:val="en-GB"/>
        </w:rPr>
        <w:t>7</w:t>
      </w:r>
      <w:r w:rsidRPr="001D7F20">
        <w:rPr>
          <w:lang w:val="en-GB"/>
        </w:rPr>
        <w:t xml:space="preserve">, the interaction volume and the penetration depth of the primary electrons in the substrate decreases with the increase of the atomic number due to electron interaction with heavy atom nuclei, while the angle of the forward scattered electrons widens. </w:t>
      </w:r>
    </w:p>
    <w:p w14:paraId="50665B33" w14:textId="04F97E18" w:rsidR="0040724D" w:rsidRPr="001D7F20" w:rsidRDefault="0040724D" w:rsidP="004A30C5">
      <w:pPr>
        <w:spacing w:line="480" w:lineRule="auto"/>
        <w:ind w:firstLine="426"/>
        <w:jc w:val="both"/>
        <w:rPr>
          <w:lang w:val="en-GB"/>
        </w:rPr>
      </w:pPr>
      <w:r w:rsidRPr="001D7F20">
        <w:rPr>
          <w:lang w:val="en-GB"/>
        </w:rPr>
        <w:t>The validation and accuracy of the Monte Carlo simulation have been verified by means of the electron backscatter coefficient (η), which represents the ratio of the number of backscattered electrons over the total primary electron trajectories resulted from the simulation.  The obtained coefficient has been subsequently compared with the one calculated according to Love and Scott (Equation 2) and Hunger and Küchler (Equation 3) analytical expressions, extrapolated from E</w:t>
      </w:r>
      <w:r w:rsidRPr="001D7F20">
        <w:rPr>
          <w:vertAlign w:val="subscript"/>
          <w:lang w:val="en-GB"/>
        </w:rPr>
        <w:t>0</w:t>
      </w:r>
      <w:r w:rsidRPr="001D7F20">
        <w:rPr>
          <w:lang w:val="en-GB"/>
        </w:rPr>
        <w:t>=20 keV to 30 keV. The first equation was proposed by Love and Scott</w:t>
      </w:r>
      <w:r w:rsidRPr="001D7F20">
        <w:rPr>
          <w:rStyle w:val="FootnoteReference"/>
          <w:lang w:val="en-GB"/>
        </w:rPr>
        <w:fldChar w:fldCharType="begin" w:fldLock="1"/>
      </w:r>
      <w:r w:rsidR="000A44D1" w:rsidRPr="001D7F20">
        <w:rPr>
          <w:lang w:val="en-GB"/>
        </w:rPr>
        <w:instrText>ADDIN CSL_CITATION {"citationItems":[{"id":"ITEM-1","itemData":{"DOI":"10.1088/0022-3727/11/10/002","ISSN":"0022-3727","abstract":"A new correction procedure for converting electron-probe microanalysis measurements into true weight concentration is proposed. It incorporates a new atomic number correction and an absorption correction based upon Bishop's model (1974). Unlike earlier treatments the model does not have to rely upon any empirical optimisation of input parameters. The correction procedure has been tested by applying it to a wide range of microanalysis data including light-element results, and it is shown to give greater accuracy than the established methods.","author":[{"dropping-particle":"","family":"Love","given":"G","non-dropping-particle":"","parse-names":false,"suffix":""},{"dropping-particle":"","family":"Scott","given":"V D","non-dropping-particle":"","parse-names":false,"suffix":""}],"container-title":"Journal of Physics D: Applied Physics","id":"ITEM-1","issue":"10","issued":{"date-parts":[["1978"]]},"page":"1369-1376","publisher":"IOP Publishing","title":"Evaluation of a new correction procedure for quantitative electron probe microanalysis","type":"article-journal","volume":"11"},"uris":["http://www.mendeley.com/documents/?uuid=60e9325a-15d6-4fb6-a424-bcbd94d4e958"]}],"mendeley":{"formattedCitation":"&lt;sup&gt;[6]&lt;/sup&gt;","plainTextFormattedCitation":"[6]","previouslyFormattedCitation":"&lt;sup&gt;[7]&lt;/sup&gt;"},"properties":{"noteIndex":0},"schema":"https://github.com/citation-style-language/schema/raw/master/csl-citation.json"}</w:instrText>
      </w:r>
      <w:r w:rsidRPr="001D7F20">
        <w:rPr>
          <w:rStyle w:val="FootnoteReference"/>
          <w:lang w:val="en-GB"/>
        </w:rPr>
        <w:fldChar w:fldCharType="separate"/>
      </w:r>
      <w:r w:rsidR="000A44D1" w:rsidRPr="001D7F20">
        <w:rPr>
          <w:noProof/>
          <w:vertAlign w:val="superscript"/>
          <w:lang w:val="en-GB"/>
        </w:rPr>
        <w:t>[6]</w:t>
      </w:r>
      <w:r w:rsidRPr="001D7F20">
        <w:rPr>
          <w:rStyle w:val="FootnoteReference"/>
          <w:lang w:val="en-GB"/>
        </w:rPr>
        <w:fldChar w:fldCharType="end"/>
      </w:r>
      <w:r w:rsidRPr="001D7F20">
        <w:rPr>
          <w:lang w:val="en-GB"/>
        </w:rPr>
        <w:t xml:space="preserve"> as a correction model for the microanalysis measurements. In their study the correction procedure takes into account the atomic number and absorption effects, proving its accuracy for heavy and light-elements data. The latter equation was introduced by Hunger and Küchler</w:t>
      </w:r>
      <w:r w:rsidRPr="001D7F20">
        <w:rPr>
          <w:rStyle w:val="FootnoteReference"/>
          <w:lang w:val="en-GB"/>
        </w:rPr>
        <w:fldChar w:fldCharType="begin" w:fldLock="1"/>
      </w:r>
      <w:r w:rsidR="000A44D1" w:rsidRPr="001D7F20">
        <w:rPr>
          <w:lang w:val="en-GB"/>
        </w:rPr>
        <w:instrText>ADDIN CSL_CITATION {"citationItems":[{"id":"ITEM-1","itemData":{"DOI":"10.1002/pssa.2210560157","author":[{"dropping-particle":"","family":"Hunger","given":"H.-J.","non-dropping-particle":"","parse-names":false,"suffix":""},{"dropping-particle":"","family":"Küchler","given":"L","non-dropping-particle":"","parse-names":false,"suffix":""}],"container-title":"physica status solidi (a)","id":"ITEM-1","issue":"1","issued":{"date-parts":[["1979"]]},"page":"K45-K48","title":"Measurements of the electron backscattering coefficient for quantitative EPMA in the energy range of 4 to 40 keV","type":"article-journal","volume":"56"},"uris":["http://www.mendeley.com/documents/?uuid=5d7ba608-32bf-46ff-83b9-27c057807ad5"]}],"mendeley":{"formattedCitation":"&lt;sup&gt;[7]&lt;/sup&gt;","plainTextFormattedCitation":"[7]","previouslyFormattedCitation":"&lt;sup&gt;[8]&lt;/sup&gt;"},"properties":{"noteIndex":0},"schema":"https://github.com/citation-style-language/schema/raw/master/csl-citation.json"}</w:instrText>
      </w:r>
      <w:r w:rsidRPr="001D7F20">
        <w:rPr>
          <w:rStyle w:val="FootnoteReference"/>
          <w:lang w:val="en-GB"/>
        </w:rPr>
        <w:fldChar w:fldCharType="separate"/>
      </w:r>
      <w:r w:rsidR="000A44D1" w:rsidRPr="001D7F20">
        <w:rPr>
          <w:noProof/>
          <w:vertAlign w:val="superscript"/>
          <w:lang w:val="en-GB"/>
        </w:rPr>
        <w:t>[7]</w:t>
      </w:r>
      <w:r w:rsidRPr="001D7F20">
        <w:rPr>
          <w:rStyle w:val="FootnoteReference"/>
          <w:lang w:val="en-GB"/>
        </w:rPr>
        <w:fldChar w:fldCharType="end"/>
      </w:r>
      <w:r w:rsidRPr="001D7F20">
        <w:rPr>
          <w:lang w:val="en-GB"/>
        </w:rPr>
        <w:t xml:space="preserve"> which, compared to the previous correction, includes the energy dependence in the analytical expression of η coefficient, thus improving the accuracy especially for low atomic number materials. </w:t>
      </w:r>
    </w:p>
    <w:p w14:paraId="01C599F5" w14:textId="77777777" w:rsidR="0040724D" w:rsidRPr="001D7F20" w:rsidRDefault="0040724D" w:rsidP="004A30C5">
      <w:pPr>
        <w:spacing w:line="480" w:lineRule="auto"/>
        <w:ind w:firstLine="426"/>
        <w:rPr>
          <w:lang w:val="en-GB"/>
        </w:rPr>
      </w:pPr>
      <w:r w:rsidRPr="001D7F20">
        <w:rPr>
          <w:lang w:val="en-GB"/>
        </w:rPr>
        <w:lastRenderedPageBreak/>
        <w:t xml:space="preserve">The η coefficient according to Love and Scott, </w:t>
      </w:r>
      <w:r w:rsidRPr="001D7F20">
        <w:rPr>
          <w:lang w:val="en-GB"/>
        </w:rPr>
        <w:sym w:font="Symbol" w:char="F068"/>
      </w:r>
      <w:r w:rsidRPr="001D7F20">
        <w:rPr>
          <w:vertAlign w:val="subscript"/>
          <w:lang w:val="en-GB"/>
        </w:rPr>
        <w:t>L&amp;S</w:t>
      </w:r>
      <w:r w:rsidRPr="001D7F20">
        <w:rPr>
          <w:lang w:val="en-GB"/>
        </w:rPr>
        <w:t>, is expressed as:</w:t>
      </w:r>
    </w:p>
    <w:p w14:paraId="14B00B19" w14:textId="77777777" w:rsidR="0040724D" w:rsidRPr="001D7F20" w:rsidRDefault="0040724D" w:rsidP="001D7F20">
      <w:pPr>
        <w:pStyle w:val="MTDisplayEquation"/>
        <w:spacing w:before="0" w:after="0"/>
        <w:rPr>
          <w:lang w:eastAsia="zh-CN"/>
        </w:rPr>
      </w:pPr>
      <w:r w:rsidRPr="001D7F20">
        <w:tab/>
      </w:r>
      <w:r w:rsidRPr="001D7F20">
        <w:rPr>
          <w:noProof/>
          <w:position w:val="-32"/>
        </w:rPr>
        <w:object w:dxaOrig="3019" w:dyaOrig="760" w14:anchorId="6C5E2B7A">
          <v:shape id="_x0000_i1031" type="#_x0000_t75" alt="" style="width:151.35pt;height:37.35pt;mso-width-percent:0;mso-height-percent:0;mso-width-percent:0;mso-height-percent:0" o:ole="">
            <v:imagedata r:id="rId22" o:title=""/>
          </v:shape>
          <o:OLEObject Type="Embed" ProgID="Equation.DSMT4" ShapeID="_x0000_i1031" DrawAspect="Content" ObjectID="_1696861618" r:id="rId23"/>
        </w:object>
      </w:r>
      <w:r w:rsidRPr="001D7F20">
        <w:tab/>
        <w:t>(2)</w:t>
      </w:r>
    </w:p>
    <w:p w14:paraId="40A66F50" w14:textId="77777777" w:rsidR="0040724D" w:rsidRPr="001D7F20" w:rsidRDefault="0040724D" w:rsidP="001D7F20">
      <w:pPr>
        <w:spacing w:line="480" w:lineRule="auto"/>
        <w:rPr>
          <w:lang w:val="en-GB"/>
        </w:rPr>
      </w:pPr>
      <w:r w:rsidRPr="001D7F20">
        <w:t xml:space="preserve">where </w:t>
      </w:r>
      <w:r w:rsidRPr="001D7F20">
        <w:rPr>
          <w:noProof/>
          <w:position w:val="-12"/>
        </w:rPr>
        <w:object w:dxaOrig="340" w:dyaOrig="360" w14:anchorId="73B6E86B">
          <v:shape id="_x0000_i1032" type="#_x0000_t75" alt="" style="width:17.35pt;height:18pt;mso-width-percent:0;mso-height-percent:0;mso-width-percent:0;mso-height-percent:0" o:ole="">
            <v:imagedata r:id="rId24" o:title=""/>
          </v:shape>
          <o:OLEObject Type="Embed" ProgID="Equation.DSMT4" ShapeID="_x0000_i1032" DrawAspect="Content" ObjectID="_1696861619" r:id="rId25"/>
        </w:object>
      </w:r>
      <w:r w:rsidRPr="001D7F20">
        <w:rPr>
          <w:lang w:val="en-GB"/>
        </w:rPr>
        <w:t xml:space="preserve"> is the backscatter coefficient associated with electrons of 20 keV energy, while the gradient G(Z) is a function of the atomic number of the foil material, which is expressed as:</w:t>
      </w:r>
    </w:p>
    <w:p w14:paraId="4C092781" w14:textId="77777777" w:rsidR="0040724D" w:rsidRPr="001D7F20" w:rsidRDefault="0040724D" w:rsidP="001D7F20">
      <w:pPr>
        <w:pStyle w:val="MTDisplayEquation"/>
        <w:spacing w:before="0" w:after="0"/>
        <w:rPr>
          <w:lang w:eastAsia="zh-CN"/>
        </w:rPr>
      </w:pPr>
      <w:r w:rsidRPr="001D7F20">
        <w:tab/>
      </w:r>
      <w:r w:rsidRPr="001D7F20">
        <w:rPr>
          <w:noProof/>
          <w:position w:val="-16"/>
        </w:rPr>
        <w:object w:dxaOrig="6340" w:dyaOrig="440" w14:anchorId="4AFF4FE0">
          <v:shape id="_x0000_i1033" type="#_x0000_t75" alt="" style="width:316pt;height:21.35pt;mso-width-percent:0;mso-height-percent:0;mso-width-percent:0;mso-height-percent:0" o:ole="">
            <v:imagedata r:id="rId26" o:title=""/>
          </v:shape>
          <o:OLEObject Type="Embed" ProgID="Equation.DSMT4" ShapeID="_x0000_i1033" DrawAspect="Content" ObjectID="_1696861620" r:id="rId27"/>
        </w:object>
      </w:r>
      <w:r w:rsidRPr="001D7F20">
        <w:tab/>
      </w:r>
    </w:p>
    <w:p w14:paraId="163D58BB" w14:textId="77777777" w:rsidR="0040724D" w:rsidRPr="001D7F20" w:rsidRDefault="0040724D" w:rsidP="001D7F20">
      <w:pPr>
        <w:pStyle w:val="MTDisplayEquation"/>
        <w:spacing w:before="0" w:after="0"/>
        <w:rPr>
          <w:lang w:eastAsia="zh-CN"/>
        </w:rPr>
      </w:pPr>
      <w:r w:rsidRPr="001D7F20">
        <w:tab/>
      </w:r>
      <w:r w:rsidRPr="001D7F20">
        <w:rPr>
          <w:noProof/>
          <w:position w:val="-16"/>
        </w:rPr>
        <w:object w:dxaOrig="5240" w:dyaOrig="440" w14:anchorId="3FA819B8">
          <v:shape id="_x0000_i1034" type="#_x0000_t75" alt="" style="width:261.35pt;height:21.35pt;mso-width-percent:0;mso-height-percent:0;mso-width-percent:0;mso-height-percent:0" o:ole="">
            <v:imagedata r:id="rId28" o:title=""/>
          </v:shape>
          <o:OLEObject Type="Embed" ProgID="Equation.DSMT4" ShapeID="_x0000_i1034" DrawAspect="Content" ObjectID="_1696861621" r:id="rId29"/>
        </w:object>
      </w:r>
      <w:r w:rsidRPr="001D7F20">
        <w:tab/>
      </w:r>
    </w:p>
    <w:p w14:paraId="4A81C1BE" w14:textId="77777777" w:rsidR="0040724D" w:rsidRPr="001D7F20" w:rsidRDefault="0040724D" w:rsidP="004A30C5">
      <w:pPr>
        <w:spacing w:line="480" w:lineRule="auto"/>
        <w:ind w:firstLine="426"/>
        <w:rPr>
          <w:lang w:val="en-GB"/>
        </w:rPr>
      </w:pPr>
      <w:r w:rsidRPr="001D7F20">
        <w:rPr>
          <w:lang w:val="en-GB"/>
        </w:rPr>
        <w:t xml:space="preserve">The η coefficient according to Hunger and Küchler, </w:t>
      </w:r>
      <w:r w:rsidRPr="001D7F20">
        <w:rPr>
          <w:noProof/>
          <w:position w:val="-12"/>
        </w:rPr>
        <w:object w:dxaOrig="560" w:dyaOrig="360" w14:anchorId="2EEF7D6A">
          <v:shape id="_x0000_i1035" type="#_x0000_t75" alt="" style="width:28.65pt;height:18pt;mso-width-percent:0;mso-height-percent:0;mso-width-percent:0;mso-height-percent:0" o:ole="">
            <v:imagedata r:id="rId30" o:title=""/>
          </v:shape>
          <o:OLEObject Type="Embed" ProgID="Equation.DSMT4" ShapeID="_x0000_i1035" DrawAspect="Content" ObjectID="_1696861622" r:id="rId31"/>
        </w:object>
      </w:r>
      <w:r w:rsidRPr="001D7F20">
        <w:rPr>
          <w:lang w:val="en-GB"/>
        </w:rPr>
        <w:t>, is expressed as:</w:t>
      </w:r>
    </w:p>
    <w:p w14:paraId="6EF27E9F" w14:textId="77777777" w:rsidR="0040724D" w:rsidRPr="001D7F20" w:rsidRDefault="0040724D" w:rsidP="001D7F20">
      <w:pPr>
        <w:pStyle w:val="MTDisplayEquation"/>
        <w:spacing w:before="0" w:after="0"/>
        <w:rPr>
          <w:lang w:eastAsia="zh-CN"/>
        </w:rPr>
      </w:pPr>
      <w:r w:rsidRPr="001D7F20">
        <w:tab/>
      </w:r>
      <w:r w:rsidRPr="001D7F20">
        <w:rPr>
          <w:noProof/>
          <w:position w:val="-14"/>
        </w:rPr>
        <w:object w:dxaOrig="2299" w:dyaOrig="420" w14:anchorId="34AB0F9E">
          <v:shape id="_x0000_i1036" type="#_x0000_t75" alt="" style="width:115.35pt;height:20.65pt;mso-width-percent:0;mso-height-percent:0;mso-width-percent:0;mso-height-percent:0" o:ole="">
            <v:imagedata r:id="rId32" o:title=""/>
          </v:shape>
          <o:OLEObject Type="Embed" ProgID="Equation.DSMT4" ShapeID="_x0000_i1036" DrawAspect="Content" ObjectID="_1696861623" r:id="rId33"/>
        </w:object>
      </w:r>
      <w:r w:rsidRPr="001D7F20">
        <w:tab/>
        <w:t>(3)</w:t>
      </w:r>
    </w:p>
    <w:tbl>
      <w:tblPr>
        <w:tblStyle w:val="TableGrid"/>
        <w:tblpPr w:leftFromText="180" w:rightFromText="180" w:vertAnchor="text" w:horzAnchor="margin" w:tblpY="14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0"/>
      </w:tblGrid>
      <w:tr w:rsidR="0050742E" w14:paraId="364F16CA" w14:textId="77777777" w:rsidTr="0050742E">
        <w:tc>
          <w:tcPr>
            <w:tcW w:w="9060" w:type="dxa"/>
          </w:tcPr>
          <w:p w14:paraId="7F6A967F" w14:textId="27E0A95A" w:rsidR="0050742E" w:rsidRPr="004A30C5" w:rsidRDefault="0050742E" w:rsidP="0050742E">
            <w:pPr>
              <w:pStyle w:val="Caption"/>
              <w:tabs>
                <w:tab w:val="left" w:pos="8820"/>
              </w:tabs>
              <w:spacing w:after="0" w:line="480" w:lineRule="auto"/>
              <w:rPr>
                <w:rFonts w:ascii="Times New Roman" w:hAnsi="Times New Roman"/>
                <w:i w:val="0"/>
                <w:iCs w:val="0"/>
                <w:color w:val="auto"/>
                <w:sz w:val="20"/>
                <w:szCs w:val="20"/>
                <w:lang w:val="en-GB"/>
              </w:rPr>
            </w:pPr>
            <w:r w:rsidRPr="004A30C5">
              <w:rPr>
                <w:rFonts w:ascii="Times New Roman" w:hAnsi="Times New Roman"/>
                <w:i w:val="0"/>
                <w:iCs w:val="0"/>
                <w:color w:val="auto"/>
                <w:sz w:val="20"/>
                <w:szCs w:val="20"/>
                <w:lang w:val="en-GB"/>
              </w:rPr>
              <w:t>Table S</w:t>
            </w:r>
            <w:r w:rsidR="00C34DC6">
              <w:rPr>
                <w:rFonts w:ascii="Times New Roman" w:hAnsi="Times New Roman"/>
                <w:i w:val="0"/>
                <w:iCs w:val="0"/>
                <w:color w:val="auto"/>
                <w:sz w:val="20"/>
                <w:szCs w:val="20"/>
                <w:lang w:val="en-GB"/>
              </w:rPr>
              <w:t>2</w:t>
            </w:r>
            <w:r w:rsidRPr="004A30C5">
              <w:rPr>
                <w:rFonts w:ascii="Times New Roman" w:hAnsi="Times New Roman"/>
                <w:i w:val="0"/>
                <w:iCs w:val="0"/>
                <w:color w:val="auto"/>
                <w:sz w:val="20"/>
                <w:szCs w:val="20"/>
                <w:lang w:val="en-GB"/>
              </w:rPr>
              <w:t>. Comparison of calculated and simulated backscatter coefficients at 30 keV electron energy for Si, Cu, and Au substrates.</w:t>
            </w:r>
          </w:p>
          <w:tbl>
            <w:tblPr>
              <w:tblW w:w="5246" w:type="dxa"/>
              <w:jc w:val="center"/>
              <w:tblLook w:val="04A0" w:firstRow="1" w:lastRow="0" w:firstColumn="1" w:lastColumn="0" w:noHBand="0" w:noVBand="1"/>
            </w:tblPr>
            <w:tblGrid>
              <w:gridCol w:w="1418"/>
              <w:gridCol w:w="1843"/>
              <w:gridCol w:w="993"/>
              <w:gridCol w:w="992"/>
            </w:tblGrid>
            <w:tr w:rsidR="0050742E" w:rsidRPr="004A30C5" w14:paraId="6B27E9E8" w14:textId="77777777" w:rsidTr="00374A66">
              <w:trPr>
                <w:trHeight w:val="492"/>
                <w:jc w:val="center"/>
              </w:trPr>
              <w:tc>
                <w:tcPr>
                  <w:tcW w:w="1418" w:type="dxa"/>
                  <w:tcBorders>
                    <w:top w:val="single" w:sz="4" w:space="0" w:color="auto"/>
                    <w:bottom w:val="single" w:sz="4" w:space="0" w:color="auto"/>
                  </w:tcBorders>
                  <w:shd w:val="clear" w:color="auto" w:fill="auto"/>
                  <w:vAlign w:val="center"/>
                </w:tcPr>
                <w:p w14:paraId="371C7E2C" w14:textId="77777777" w:rsidR="0050742E" w:rsidRPr="004A30C5" w:rsidRDefault="0050742E" w:rsidP="00DF5872">
                  <w:pPr>
                    <w:framePr w:hSpace="180" w:wrap="around" w:vAnchor="text" w:hAnchor="margin" w:y="144"/>
                    <w:tabs>
                      <w:tab w:val="left" w:pos="8820"/>
                    </w:tabs>
                    <w:spacing w:line="480" w:lineRule="auto"/>
                    <w:rPr>
                      <w:sz w:val="20"/>
                      <w:szCs w:val="20"/>
                      <w:lang w:val="en-GB"/>
                    </w:rPr>
                  </w:pPr>
                  <w:r w:rsidRPr="004A30C5">
                    <w:rPr>
                      <w:sz w:val="20"/>
                      <w:szCs w:val="20"/>
                      <w:lang w:val="en-GB"/>
                    </w:rPr>
                    <w:t>Substrate</w:t>
                  </w:r>
                </w:p>
              </w:tc>
              <w:tc>
                <w:tcPr>
                  <w:tcW w:w="1843" w:type="dxa"/>
                  <w:tcBorders>
                    <w:top w:val="single" w:sz="4" w:space="0" w:color="auto"/>
                    <w:bottom w:val="single" w:sz="4" w:space="0" w:color="auto"/>
                  </w:tcBorders>
                  <w:shd w:val="clear" w:color="auto" w:fill="auto"/>
                  <w:vAlign w:val="center"/>
                </w:tcPr>
                <w:p w14:paraId="5B213786" w14:textId="77777777" w:rsidR="0050742E" w:rsidRPr="004A30C5" w:rsidRDefault="0050742E" w:rsidP="00DF5872">
                  <w:pPr>
                    <w:framePr w:hSpace="180" w:wrap="around" w:vAnchor="text" w:hAnchor="margin" w:y="144"/>
                    <w:tabs>
                      <w:tab w:val="left" w:pos="8820"/>
                    </w:tabs>
                    <w:spacing w:line="480" w:lineRule="auto"/>
                    <w:rPr>
                      <w:sz w:val="20"/>
                      <w:szCs w:val="20"/>
                      <w:lang w:val="en-GB"/>
                    </w:rPr>
                  </w:pPr>
                  <w:r w:rsidRPr="004A30C5">
                    <w:rPr>
                      <w:noProof/>
                      <w:position w:val="-12"/>
                      <w:sz w:val="20"/>
                      <w:szCs w:val="20"/>
                    </w:rPr>
                    <w:object w:dxaOrig="580" w:dyaOrig="360" w14:anchorId="67D4ED1E">
                      <v:shape id="_x0000_i1037" type="#_x0000_t75" alt="" style="width:28.65pt;height:18pt;mso-width-percent:0;mso-height-percent:0;mso-width-percent:0;mso-height-percent:0" o:ole="">
                        <v:imagedata r:id="rId34" o:title=""/>
                      </v:shape>
                      <o:OLEObject Type="Embed" ProgID="Equation.DSMT4" ShapeID="_x0000_i1037" DrawAspect="Content" ObjectID="_1696861624" r:id="rId35"/>
                    </w:object>
                  </w:r>
                </w:p>
              </w:tc>
              <w:tc>
                <w:tcPr>
                  <w:tcW w:w="993" w:type="dxa"/>
                  <w:tcBorders>
                    <w:top w:val="single" w:sz="4" w:space="0" w:color="auto"/>
                    <w:bottom w:val="single" w:sz="4" w:space="0" w:color="auto"/>
                  </w:tcBorders>
                  <w:shd w:val="clear" w:color="auto" w:fill="auto"/>
                  <w:vAlign w:val="center"/>
                </w:tcPr>
                <w:p w14:paraId="245BEBD8" w14:textId="77777777" w:rsidR="0050742E" w:rsidRPr="004A30C5" w:rsidDel="00D50B94" w:rsidRDefault="0050742E" w:rsidP="00DF5872">
                  <w:pPr>
                    <w:framePr w:hSpace="180" w:wrap="around" w:vAnchor="text" w:hAnchor="margin" w:y="144"/>
                    <w:tabs>
                      <w:tab w:val="left" w:pos="8820"/>
                    </w:tabs>
                    <w:spacing w:line="480" w:lineRule="auto"/>
                    <w:rPr>
                      <w:sz w:val="20"/>
                      <w:szCs w:val="20"/>
                      <w:lang w:val="en-GB"/>
                    </w:rPr>
                  </w:pPr>
                  <w:r w:rsidRPr="004A30C5">
                    <w:rPr>
                      <w:noProof/>
                      <w:position w:val="-12"/>
                      <w:sz w:val="20"/>
                      <w:szCs w:val="20"/>
                    </w:rPr>
                    <w:object w:dxaOrig="499" w:dyaOrig="360" w14:anchorId="6E999600">
                      <v:shape id="_x0000_i1038" type="#_x0000_t75" alt="" style="width:24.65pt;height:18pt;mso-width-percent:0;mso-height-percent:0;mso-width-percent:0;mso-height-percent:0" o:ole="">
                        <v:imagedata r:id="rId36" o:title=""/>
                      </v:shape>
                      <o:OLEObject Type="Embed" ProgID="Equation.DSMT4" ShapeID="_x0000_i1038" DrawAspect="Content" ObjectID="_1696861625" r:id="rId37"/>
                    </w:object>
                  </w:r>
                </w:p>
              </w:tc>
              <w:tc>
                <w:tcPr>
                  <w:tcW w:w="992" w:type="dxa"/>
                  <w:tcBorders>
                    <w:top w:val="single" w:sz="4" w:space="0" w:color="auto"/>
                    <w:bottom w:val="single" w:sz="4" w:space="0" w:color="auto"/>
                  </w:tcBorders>
                  <w:shd w:val="clear" w:color="auto" w:fill="auto"/>
                  <w:vAlign w:val="center"/>
                </w:tcPr>
                <w:p w14:paraId="757380FA" w14:textId="77777777" w:rsidR="0050742E" w:rsidRPr="004A30C5" w:rsidRDefault="0050742E" w:rsidP="00DF5872">
                  <w:pPr>
                    <w:framePr w:hSpace="180" w:wrap="around" w:vAnchor="text" w:hAnchor="margin" w:y="144"/>
                    <w:tabs>
                      <w:tab w:val="left" w:pos="8820"/>
                    </w:tabs>
                    <w:spacing w:line="480" w:lineRule="auto"/>
                    <w:rPr>
                      <w:sz w:val="20"/>
                      <w:szCs w:val="20"/>
                      <w:lang w:val="en-GB"/>
                    </w:rPr>
                  </w:pPr>
                  <w:r w:rsidRPr="004A30C5">
                    <w:rPr>
                      <w:noProof/>
                      <w:position w:val="-12"/>
                      <w:sz w:val="20"/>
                      <w:szCs w:val="20"/>
                    </w:rPr>
                    <w:object w:dxaOrig="560" w:dyaOrig="360" w14:anchorId="151C72BE">
                      <v:shape id="_x0000_i1039" type="#_x0000_t75" alt="" style="width:28.65pt;height:18pt;mso-width-percent:0;mso-height-percent:0;mso-width-percent:0;mso-height-percent:0" o:ole="">
                        <v:imagedata r:id="rId38" o:title=""/>
                      </v:shape>
                      <o:OLEObject Type="Embed" ProgID="Equation.DSMT4" ShapeID="_x0000_i1039" DrawAspect="Content" ObjectID="_1696861626" r:id="rId39"/>
                    </w:object>
                  </w:r>
                </w:p>
              </w:tc>
            </w:tr>
            <w:tr w:rsidR="0050742E" w:rsidRPr="004A30C5" w14:paraId="4A832207" w14:textId="77777777" w:rsidTr="00374A66">
              <w:trPr>
                <w:jc w:val="center"/>
              </w:trPr>
              <w:tc>
                <w:tcPr>
                  <w:tcW w:w="1418" w:type="dxa"/>
                  <w:tcBorders>
                    <w:top w:val="single" w:sz="4" w:space="0" w:color="auto"/>
                  </w:tcBorders>
                  <w:shd w:val="clear" w:color="auto" w:fill="auto"/>
                </w:tcPr>
                <w:p w14:paraId="7545697B" w14:textId="77777777" w:rsidR="0050742E" w:rsidRPr="004A30C5" w:rsidRDefault="0050742E" w:rsidP="00DF5872">
                  <w:pPr>
                    <w:framePr w:hSpace="180" w:wrap="around" w:vAnchor="text" w:hAnchor="margin" w:y="144"/>
                    <w:tabs>
                      <w:tab w:val="left" w:pos="8820"/>
                    </w:tabs>
                    <w:spacing w:line="480" w:lineRule="auto"/>
                    <w:rPr>
                      <w:sz w:val="20"/>
                      <w:szCs w:val="20"/>
                      <w:lang w:val="en-GB"/>
                    </w:rPr>
                  </w:pPr>
                  <w:r w:rsidRPr="004A30C5">
                    <w:rPr>
                      <w:sz w:val="20"/>
                      <w:szCs w:val="20"/>
                      <w:lang w:val="en-GB"/>
                    </w:rPr>
                    <w:t>Si (Z=14)</w:t>
                  </w:r>
                </w:p>
              </w:tc>
              <w:tc>
                <w:tcPr>
                  <w:tcW w:w="1843" w:type="dxa"/>
                  <w:tcBorders>
                    <w:top w:val="single" w:sz="4" w:space="0" w:color="auto"/>
                  </w:tcBorders>
                  <w:shd w:val="clear" w:color="auto" w:fill="auto"/>
                </w:tcPr>
                <w:p w14:paraId="02EC8BCC" w14:textId="77777777" w:rsidR="0050742E" w:rsidRPr="004A30C5" w:rsidRDefault="0050742E" w:rsidP="00DF5872">
                  <w:pPr>
                    <w:framePr w:hSpace="180" w:wrap="around" w:vAnchor="text" w:hAnchor="margin" w:y="144"/>
                    <w:tabs>
                      <w:tab w:val="left" w:pos="8820"/>
                    </w:tabs>
                    <w:spacing w:line="480" w:lineRule="auto"/>
                    <w:rPr>
                      <w:sz w:val="20"/>
                      <w:szCs w:val="20"/>
                      <w:lang w:val="en-GB"/>
                    </w:rPr>
                  </w:pPr>
                  <w:r w:rsidRPr="004A30C5">
                    <w:rPr>
                      <w:sz w:val="20"/>
                      <w:szCs w:val="20"/>
                      <w:lang w:val="en-GB"/>
                    </w:rPr>
                    <w:t>0.165 ± 0.003</w:t>
                  </w:r>
                </w:p>
              </w:tc>
              <w:tc>
                <w:tcPr>
                  <w:tcW w:w="993" w:type="dxa"/>
                  <w:tcBorders>
                    <w:top w:val="single" w:sz="4" w:space="0" w:color="auto"/>
                  </w:tcBorders>
                  <w:shd w:val="clear" w:color="auto" w:fill="auto"/>
                </w:tcPr>
                <w:p w14:paraId="47BBCB2E" w14:textId="77777777" w:rsidR="0050742E" w:rsidRPr="004A30C5" w:rsidDel="00D50B94" w:rsidRDefault="0050742E" w:rsidP="00DF5872">
                  <w:pPr>
                    <w:framePr w:hSpace="180" w:wrap="around" w:vAnchor="text" w:hAnchor="margin" w:y="144"/>
                    <w:tabs>
                      <w:tab w:val="left" w:pos="8820"/>
                    </w:tabs>
                    <w:spacing w:line="480" w:lineRule="auto"/>
                    <w:rPr>
                      <w:sz w:val="20"/>
                      <w:szCs w:val="20"/>
                      <w:lang w:val="en-GB"/>
                    </w:rPr>
                  </w:pPr>
                  <w:r w:rsidRPr="004A30C5">
                    <w:rPr>
                      <w:sz w:val="20"/>
                      <w:szCs w:val="20"/>
                      <w:lang w:val="en-GB"/>
                    </w:rPr>
                    <w:t>0.169</w:t>
                  </w:r>
                </w:p>
              </w:tc>
              <w:tc>
                <w:tcPr>
                  <w:tcW w:w="992" w:type="dxa"/>
                  <w:tcBorders>
                    <w:top w:val="single" w:sz="4" w:space="0" w:color="auto"/>
                  </w:tcBorders>
                  <w:shd w:val="clear" w:color="auto" w:fill="auto"/>
                </w:tcPr>
                <w:p w14:paraId="0A6E74CA" w14:textId="77777777" w:rsidR="0050742E" w:rsidRPr="004A30C5" w:rsidRDefault="0050742E" w:rsidP="00DF5872">
                  <w:pPr>
                    <w:framePr w:hSpace="180" w:wrap="around" w:vAnchor="text" w:hAnchor="margin" w:y="144"/>
                    <w:tabs>
                      <w:tab w:val="left" w:pos="8820"/>
                    </w:tabs>
                    <w:spacing w:line="480" w:lineRule="auto"/>
                    <w:rPr>
                      <w:sz w:val="20"/>
                      <w:szCs w:val="20"/>
                      <w:lang w:val="en-GB"/>
                    </w:rPr>
                  </w:pPr>
                  <w:r w:rsidRPr="004A30C5">
                    <w:rPr>
                      <w:sz w:val="20"/>
                      <w:szCs w:val="20"/>
                      <w:lang w:val="en-GB"/>
                    </w:rPr>
                    <w:t>0.157</w:t>
                  </w:r>
                </w:p>
              </w:tc>
            </w:tr>
            <w:tr w:rsidR="0050742E" w:rsidRPr="004A30C5" w14:paraId="1F074539" w14:textId="77777777" w:rsidTr="00374A66">
              <w:trPr>
                <w:jc w:val="center"/>
              </w:trPr>
              <w:tc>
                <w:tcPr>
                  <w:tcW w:w="1418" w:type="dxa"/>
                  <w:shd w:val="clear" w:color="auto" w:fill="auto"/>
                </w:tcPr>
                <w:p w14:paraId="23BD4CAC" w14:textId="77777777" w:rsidR="0050742E" w:rsidRPr="004A30C5" w:rsidRDefault="0050742E" w:rsidP="00DF5872">
                  <w:pPr>
                    <w:framePr w:hSpace="180" w:wrap="around" w:vAnchor="text" w:hAnchor="margin" w:y="144"/>
                    <w:tabs>
                      <w:tab w:val="left" w:pos="8820"/>
                    </w:tabs>
                    <w:spacing w:line="480" w:lineRule="auto"/>
                    <w:rPr>
                      <w:sz w:val="20"/>
                      <w:szCs w:val="20"/>
                      <w:lang w:val="en-GB"/>
                    </w:rPr>
                  </w:pPr>
                  <w:r w:rsidRPr="004A30C5">
                    <w:rPr>
                      <w:sz w:val="20"/>
                      <w:szCs w:val="20"/>
                      <w:lang w:val="en-GB"/>
                    </w:rPr>
                    <w:t>Cu (Z=29)</w:t>
                  </w:r>
                </w:p>
              </w:tc>
              <w:tc>
                <w:tcPr>
                  <w:tcW w:w="1843" w:type="dxa"/>
                  <w:shd w:val="clear" w:color="auto" w:fill="auto"/>
                </w:tcPr>
                <w:p w14:paraId="30332C11" w14:textId="77777777" w:rsidR="0050742E" w:rsidRPr="004A30C5" w:rsidRDefault="0050742E" w:rsidP="00DF5872">
                  <w:pPr>
                    <w:framePr w:hSpace="180" w:wrap="around" w:vAnchor="text" w:hAnchor="margin" w:y="144"/>
                    <w:tabs>
                      <w:tab w:val="left" w:pos="8820"/>
                    </w:tabs>
                    <w:spacing w:line="480" w:lineRule="auto"/>
                    <w:rPr>
                      <w:sz w:val="20"/>
                      <w:szCs w:val="20"/>
                      <w:lang w:val="en-GB"/>
                    </w:rPr>
                  </w:pPr>
                  <w:r w:rsidRPr="004A30C5">
                    <w:rPr>
                      <w:sz w:val="20"/>
                      <w:szCs w:val="20"/>
                      <w:lang w:val="en-GB"/>
                    </w:rPr>
                    <w:t>0.299 ± 0.004</w:t>
                  </w:r>
                </w:p>
              </w:tc>
              <w:tc>
                <w:tcPr>
                  <w:tcW w:w="993" w:type="dxa"/>
                  <w:shd w:val="clear" w:color="auto" w:fill="auto"/>
                </w:tcPr>
                <w:p w14:paraId="362E49E4" w14:textId="77777777" w:rsidR="0050742E" w:rsidRPr="004A30C5" w:rsidDel="00D50B94" w:rsidRDefault="0050742E" w:rsidP="00DF5872">
                  <w:pPr>
                    <w:framePr w:hSpace="180" w:wrap="around" w:vAnchor="text" w:hAnchor="margin" w:y="144"/>
                    <w:tabs>
                      <w:tab w:val="left" w:pos="8820"/>
                    </w:tabs>
                    <w:spacing w:line="480" w:lineRule="auto"/>
                    <w:rPr>
                      <w:sz w:val="20"/>
                      <w:szCs w:val="20"/>
                      <w:lang w:val="en-GB"/>
                    </w:rPr>
                  </w:pPr>
                  <w:r w:rsidRPr="004A30C5">
                    <w:rPr>
                      <w:sz w:val="20"/>
                      <w:szCs w:val="20"/>
                      <w:lang w:val="en-GB"/>
                    </w:rPr>
                    <w:t>0.303</w:t>
                  </w:r>
                </w:p>
              </w:tc>
              <w:tc>
                <w:tcPr>
                  <w:tcW w:w="992" w:type="dxa"/>
                  <w:shd w:val="clear" w:color="auto" w:fill="auto"/>
                </w:tcPr>
                <w:p w14:paraId="28D56EC5" w14:textId="77777777" w:rsidR="0050742E" w:rsidRPr="004A30C5" w:rsidRDefault="0050742E" w:rsidP="00DF5872">
                  <w:pPr>
                    <w:framePr w:hSpace="180" w:wrap="around" w:vAnchor="text" w:hAnchor="margin" w:y="144"/>
                    <w:tabs>
                      <w:tab w:val="left" w:pos="8820"/>
                    </w:tabs>
                    <w:spacing w:line="480" w:lineRule="auto"/>
                    <w:rPr>
                      <w:sz w:val="20"/>
                      <w:szCs w:val="20"/>
                      <w:lang w:val="en-GB"/>
                    </w:rPr>
                  </w:pPr>
                  <w:r w:rsidRPr="004A30C5">
                    <w:rPr>
                      <w:sz w:val="20"/>
                      <w:szCs w:val="20"/>
                      <w:lang w:val="en-GB"/>
                    </w:rPr>
                    <w:t>0.298</w:t>
                  </w:r>
                </w:p>
              </w:tc>
            </w:tr>
            <w:tr w:rsidR="0050742E" w:rsidRPr="004A30C5" w14:paraId="468C5C63" w14:textId="77777777" w:rsidTr="00374A66">
              <w:trPr>
                <w:jc w:val="center"/>
              </w:trPr>
              <w:tc>
                <w:tcPr>
                  <w:tcW w:w="1418" w:type="dxa"/>
                  <w:tcBorders>
                    <w:bottom w:val="single" w:sz="4" w:space="0" w:color="auto"/>
                  </w:tcBorders>
                  <w:shd w:val="clear" w:color="auto" w:fill="auto"/>
                </w:tcPr>
                <w:p w14:paraId="74F76462" w14:textId="77777777" w:rsidR="0050742E" w:rsidRPr="004A30C5" w:rsidRDefault="0050742E" w:rsidP="00DF5872">
                  <w:pPr>
                    <w:framePr w:hSpace="180" w:wrap="around" w:vAnchor="text" w:hAnchor="margin" w:y="144"/>
                    <w:tabs>
                      <w:tab w:val="left" w:pos="8820"/>
                    </w:tabs>
                    <w:spacing w:line="480" w:lineRule="auto"/>
                    <w:rPr>
                      <w:sz w:val="20"/>
                      <w:szCs w:val="20"/>
                      <w:lang w:val="en-GB"/>
                    </w:rPr>
                  </w:pPr>
                  <w:r w:rsidRPr="004A30C5">
                    <w:rPr>
                      <w:sz w:val="20"/>
                      <w:szCs w:val="20"/>
                      <w:lang w:val="en-GB"/>
                    </w:rPr>
                    <w:t>Au (Z=79)</w:t>
                  </w:r>
                </w:p>
              </w:tc>
              <w:tc>
                <w:tcPr>
                  <w:tcW w:w="1843" w:type="dxa"/>
                  <w:tcBorders>
                    <w:bottom w:val="single" w:sz="4" w:space="0" w:color="auto"/>
                  </w:tcBorders>
                  <w:shd w:val="clear" w:color="auto" w:fill="auto"/>
                </w:tcPr>
                <w:p w14:paraId="51D30B25" w14:textId="77777777" w:rsidR="0050742E" w:rsidRPr="004A30C5" w:rsidRDefault="0050742E" w:rsidP="00DF5872">
                  <w:pPr>
                    <w:framePr w:hSpace="180" w:wrap="around" w:vAnchor="text" w:hAnchor="margin" w:y="144"/>
                    <w:tabs>
                      <w:tab w:val="left" w:pos="8820"/>
                    </w:tabs>
                    <w:spacing w:line="480" w:lineRule="auto"/>
                    <w:rPr>
                      <w:sz w:val="20"/>
                      <w:szCs w:val="20"/>
                      <w:lang w:val="en-GB"/>
                    </w:rPr>
                  </w:pPr>
                  <w:r w:rsidRPr="004A30C5">
                    <w:rPr>
                      <w:sz w:val="20"/>
                      <w:szCs w:val="20"/>
                      <w:lang w:val="en-GB"/>
                    </w:rPr>
                    <w:t>0.493 ± 0.001</w:t>
                  </w:r>
                </w:p>
              </w:tc>
              <w:tc>
                <w:tcPr>
                  <w:tcW w:w="993" w:type="dxa"/>
                  <w:tcBorders>
                    <w:bottom w:val="single" w:sz="4" w:space="0" w:color="auto"/>
                  </w:tcBorders>
                  <w:shd w:val="clear" w:color="auto" w:fill="auto"/>
                </w:tcPr>
                <w:p w14:paraId="285F7AE9" w14:textId="77777777" w:rsidR="0050742E" w:rsidRPr="004A30C5" w:rsidDel="00D50B94" w:rsidRDefault="0050742E" w:rsidP="00DF5872">
                  <w:pPr>
                    <w:framePr w:hSpace="180" w:wrap="around" w:vAnchor="text" w:hAnchor="margin" w:y="144"/>
                    <w:tabs>
                      <w:tab w:val="left" w:pos="8820"/>
                    </w:tabs>
                    <w:spacing w:line="480" w:lineRule="auto"/>
                    <w:rPr>
                      <w:sz w:val="20"/>
                      <w:szCs w:val="20"/>
                      <w:lang w:val="en-GB"/>
                    </w:rPr>
                  </w:pPr>
                  <w:r w:rsidRPr="004A30C5">
                    <w:rPr>
                      <w:sz w:val="20"/>
                      <w:szCs w:val="20"/>
                      <w:lang w:val="en-GB"/>
                    </w:rPr>
                    <w:t>0.498</w:t>
                  </w:r>
                </w:p>
              </w:tc>
              <w:tc>
                <w:tcPr>
                  <w:tcW w:w="992" w:type="dxa"/>
                  <w:tcBorders>
                    <w:bottom w:val="single" w:sz="4" w:space="0" w:color="auto"/>
                  </w:tcBorders>
                  <w:shd w:val="clear" w:color="auto" w:fill="auto"/>
                </w:tcPr>
                <w:p w14:paraId="71FB08C5" w14:textId="77777777" w:rsidR="0050742E" w:rsidRPr="004A30C5" w:rsidRDefault="0050742E" w:rsidP="00DF5872">
                  <w:pPr>
                    <w:framePr w:hSpace="180" w:wrap="around" w:vAnchor="text" w:hAnchor="margin" w:y="144"/>
                    <w:tabs>
                      <w:tab w:val="left" w:pos="8820"/>
                    </w:tabs>
                    <w:spacing w:line="480" w:lineRule="auto"/>
                    <w:rPr>
                      <w:sz w:val="20"/>
                      <w:szCs w:val="20"/>
                      <w:lang w:val="en-GB"/>
                    </w:rPr>
                  </w:pPr>
                  <w:r w:rsidRPr="004A30C5">
                    <w:rPr>
                      <w:sz w:val="20"/>
                      <w:szCs w:val="20"/>
                      <w:lang w:val="en-GB"/>
                    </w:rPr>
                    <w:t>0.491</w:t>
                  </w:r>
                </w:p>
              </w:tc>
            </w:tr>
          </w:tbl>
          <w:p w14:paraId="11C10E52" w14:textId="77777777" w:rsidR="0050742E" w:rsidRDefault="0050742E" w:rsidP="0050742E">
            <w:pPr>
              <w:spacing w:line="480" w:lineRule="auto"/>
              <w:rPr>
                <w:lang w:val="en-GB"/>
              </w:rPr>
            </w:pPr>
          </w:p>
        </w:tc>
      </w:tr>
    </w:tbl>
    <w:p w14:paraId="65D0B620" w14:textId="77777777" w:rsidR="0050742E" w:rsidRDefault="0050742E" w:rsidP="001D7F20">
      <w:pPr>
        <w:spacing w:line="480" w:lineRule="auto"/>
        <w:rPr>
          <w:lang w:val="en-GB"/>
        </w:rPr>
      </w:pPr>
    </w:p>
    <w:p w14:paraId="67F0897A" w14:textId="05854C67" w:rsidR="0040724D" w:rsidRPr="001D7F20" w:rsidRDefault="0040724D" w:rsidP="001D7F20">
      <w:pPr>
        <w:spacing w:line="480" w:lineRule="auto"/>
        <w:rPr>
          <w:lang w:val="en-GB"/>
        </w:rPr>
      </w:pPr>
      <w:r w:rsidRPr="001D7F20">
        <w:rPr>
          <w:lang w:val="en-GB"/>
        </w:rPr>
        <w:t>where m(Z) and c(Z) are the following calculated continuous functions:</w:t>
      </w:r>
    </w:p>
    <w:p w14:paraId="11D706EF" w14:textId="77777777" w:rsidR="0040724D" w:rsidRPr="001D7F20" w:rsidRDefault="0040724D" w:rsidP="001D7F20">
      <w:pPr>
        <w:pStyle w:val="MTDisplayEquation"/>
        <w:spacing w:before="0" w:after="0"/>
        <w:rPr>
          <w:lang w:eastAsia="zh-CN"/>
        </w:rPr>
      </w:pPr>
      <w:r w:rsidRPr="001D7F20">
        <w:tab/>
      </w:r>
      <w:r w:rsidRPr="001D7F20">
        <w:rPr>
          <w:noProof/>
          <w:position w:val="-14"/>
        </w:rPr>
        <w:object w:dxaOrig="2920" w:dyaOrig="400" w14:anchorId="2182FE83">
          <v:shape id="_x0000_i1040" type="#_x0000_t75" alt="" style="width:145.35pt;height:20.65pt;mso-width-percent:0;mso-height-percent:0;mso-width-percent:0;mso-height-percent:0" o:ole="">
            <v:imagedata r:id="rId40" o:title=""/>
          </v:shape>
          <o:OLEObject Type="Embed" ProgID="Equation.DSMT4" ShapeID="_x0000_i1040" DrawAspect="Content" ObjectID="_1696861627" r:id="rId41"/>
        </w:object>
      </w:r>
      <w:r w:rsidRPr="001D7F20">
        <w:tab/>
      </w:r>
    </w:p>
    <w:p w14:paraId="0131AABD" w14:textId="77777777" w:rsidR="0040724D" w:rsidRPr="001D7F20" w:rsidRDefault="0040724D" w:rsidP="001D7F20">
      <w:pPr>
        <w:pStyle w:val="MTDisplayEquation"/>
        <w:spacing w:before="0" w:after="0"/>
        <w:rPr>
          <w:lang w:eastAsia="zh-CN"/>
        </w:rPr>
      </w:pPr>
      <w:r w:rsidRPr="001D7F20">
        <w:tab/>
      </w:r>
      <w:r w:rsidRPr="001D7F20">
        <w:rPr>
          <w:noProof/>
          <w:position w:val="-16"/>
        </w:rPr>
        <w:object w:dxaOrig="7020" w:dyaOrig="480" w14:anchorId="396AA076">
          <v:shape id="_x0000_i1041" type="#_x0000_t75" alt="" style="width:351.35pt;height:24.65pt;mso-width-percent:0;mso-height-percent:0;mso-width-percent:0;mso-height-percent:0" o:ole="">
            <v:imagedata r:id="rId42" o:title=""/>
          </v:shape>
          <o:OLEObject Type="Embed" ProgID="Equation.DSMT4" ShapeID="_x0000_i1041" DrawAspect="Content" ObjectID="_1696861628" r:id="rId43"/>
        </w:object>
      </w:r>
      <w:r w:rsidRPr="001D7F20">
        <w:tab/>
      </w:r>
    </w:p>
    <w:p w14:paraId="696FB2B4" w14:textId="626E34D9" w:rsidR="0040724D" w:rsidRDefault="0040724D" w:rsidP="001D7F20">
      <w:pPr>
        <w:spacing w:line="480" w:lineRule="auto"/>
        <w:rPr>
          <w:lang w:val="en-GB"/>
        </w:rPr>
      </w:pPr>
      <w:r w:rsidRPr="001D7F20">
        <w:rPr>
          <w:lang w:val="en-GB"/>
        </w:rPr>
        <w:t>In all equations Z is the atomic number of the substrate and E</w:t>
      </w:r>
      <w:r w:rsidRPr="001D7F20">
        <w:rPr>
          <w:vertAlign w:val="subscript"/>
          <w:lang w:val="en-GB"/>
        </w:rPr>
        <w:t>0</w:t>
      </w:r>
      <w:r w:rsidRPr="001D7F20">
        <w:rPr>
          <w:lang w:val="en-GB"/>
        </w:rPr>
        <w:t xml:space="preserve"> is the electron acceleration energy (in keV).</w:t>
      </w:r>
    </w:p>
    <w:p w14:paraId="250EC294" w14:textId="70CDAE0B" w:rsidR="004A30C5" w:rsidRPr="001D7F20" w:rsidRDefault="004A30C5" w:rsidP="004A30C5">
      <w:pPr>
        <w:spacing w:line="480" w:lineRule="auto"/>
        <w:ind w:firstLine="426"/>
        <w:jc w:val="both"/>
        <w:rPr>
          <w:lang w:val="en-GB"/>
        </w:rPr>
      </w:pPr>
      <w:r w:rsidRPr="001D7F20">
        <w:rPr>
          <w:lang w:val="en-GB"/>
        </w:rPr>
        <w:t>As shown in Table S</w:t>
      </w:r>
      <w:r w:rsidR="00C34DC6">
        <w:rPr>
          <w:lang w:val="en-GB"/>
        </w:rPr>
        <w:t>2</w:t>
      </w:r>
      <w:r w:rsidRPr="001D7F20">
        <w:rPr>
          <w:lang w:val="en-GB"/>
        </w:rPr>
        <w:t>, the simulated values of the backscatter coefficient (</w:t>
      </w:r>
      <w:r w:rsidRPr="001D7F20">
        <w:rPr>
          <w:noProof/>
          <w:position w:val="-12"/>
        </w:rPr>
        <w:object w:dxaOrig="580" w:dyaOrig="360" w14:anchorId="1FDAB998">
          <v:shape id="_x0000_i1042" type="#_x0000_t75" alt="" style="width:28.65pt;height:18pt;mso-width-percent:0;mso-height-percent:0;mso-width-percent:0;mso-height-percent:0" o:ole="">
            <v:imagedata r:id="rId44" o:title=""/>
          </v:shape>
          <o:OLEObject Type="Embed" ProgID="Equation.DSMT4" ShapeID="_x0000_i1042" DrawAspect="Content" ObjectID="_1696861629" r:id="rId45"/>
        </w:object>
      </w:r>
      <w:r w:rsidRPr="001D7F20">
        <w:rPr>
          <w:lang w:val="en-GB"/>
        </w:rPr>
        <w:t xml:space="preserve">) are in good agreement with both theoretical values calculated using Love-Scott or Hunger-Kuchler equations, confirming the coefficient tendency to increase with the atomic number of the </w:t>
      </w:r>
      <w:r w:rsidRPr="001D7F20">
        <w:rPr>
          <w:lang w:val="en-GB"/>
        </w:rPr>
        <w:lastRenderedPageBreak/>
        <w:t>substrate. The obtained results are in correlation with the reported data by Zhu et al.</w:t>
      </w:r>
      <w:r w:rsidRPr="001D7F20">
        <w:rPr>
          <w:rStyle w:val="FootnoteReference"/>
          <w:lang w:val="en-GB"/>
        </w:rPr>
        <w:fldChar w:fldCharType="begin" w:fldLock="1"/>
      </w:r>
      <w:r w:rsidRPr="001D7F20">
        <w:rPr>
          <w:lang w:val="en-GB"/>
        </w:rPr>
        <w:instrText>ADDIN CSL_CITATION {"citationItems":[{"id":"ITEM-1","itemData":{"DOI":"https://doi.org/10.1016/j.mee.2015.04.084","ISSN":"0167-9317","abstract":"Lithography techniques play an important role in the fabrication of nanoscale functional devices. In electron beam lithography (EBL) the optimum dose of electron irradiation is a critical parameter. In this paper, we first identify suitable EBL fabrication parameters by writing patterns with different sizes, periods and electron radiation doses. After finding suitable fabrication parameters, we show how five-pointed gold nanostructures with electric field-enhancing ‘top hats’ can be fabricated using EBL. Reflectance data of these arrays is measured in order to assess their potential applications in biosensing arrays.","author":[{"dropping-particle":"","family":"Zhu","given":"Shaoli","non-dropping-particle":"","parse-names":false,"suffix":""},{"dropping-particle":"","family":"Cheng","given":"Han-Hao","non-dropping-particle":"","parse-names":false,"suffix":""},{"dropping-particle":"","family":"Blakey","given":"Idriss","non-dropping-particle":"","parse-names":false,"suffix":""},{"dropping-particle":"","family":"Stokes","given":"Nicholas","non-dropping-particle":"","parse-names":false,"suffix":""},{"dropping-particle":"","family":"Ostrikov","given":"Kostya (Ken)","non-dropping-particle":"","parse-names":false,"suffix":""},{"dropping-particle":"","family":"Cortie","given":"Michael","non-dropping-particle":"","parse-names":false,"suffix":""}],"container-title":"Microelectronic Engineering","id":"ITEM-1","issued":{"date-parts":[["2015"]]},"page":"13-18","title":"Plasmonic ‘top-hat’ nano-star arrays by electron beam lithography","type":"article-journal","volume":"139"},"uris":["http://www.mendeley.com/documents/?uuid=ce625e91-66fa-4af8-afc7-ddb79f6e2c6b"]}],"mendeley":{"formattedCitation":"&lt;sup&gt;[8]&lt;/sup&gt;","plainTextFormattedCitation":"[8]","previouslyFormattedCitation":"&lt;sup&gt;[9]&lt;/sup&gt;"},"properties":{"noteIndex":0},"schema":"https://github.com/citation-style-language/schema/raw/master/csl-citation.json"}</w:instrText>
      </w:r>
      <w:r w:rsidRPr="001D7F20">
        <w:rPr>
          <w:rStyle w:val="FootnoteReference"/>
          <w:lang w:val="en-GB"/>
        </w:rPr>
        <w:fldChar w:fldCharType="separate"/>
      </w:r>
      <w:r w:rsidRPr="001D7F20">
        <w:rPr>
          <w:noProof/>
          <w:vertAlign w:val="superscript"/>
          <w:lang w:val="en-GB"/>
        </w:rPr>
        <w:t>[8]</w:t>
      </w:r>
      <w:r w:rsidRPr="001D7F20">
        <w:rPr>
          <w:rStyle w:val="FootnoteReference"/>
          <w:lang w:val="en-GB"/>
        </w:rPr>
        <w:fldChar w:fldCharType="end"/>
      </w:r>
      <w:r w:rsidRPr="001D7F20">
        <w:rPr>
          <w:lang w:val="en-GB"/>
        </w:rPr>
        <w:t xml:space="preserve"> who compared the behaviour of Si and Au substrates for fabrication of complex nanostructures by means of Casino modelling simulation. Their study indicated a similar increase of the η BSE coefficient with the atomic number of the substrate, with comparable η coefficients, leading to a more pronounced proximity effect for the Au substrate.</w:t>
      </w:r>
    </w:p>
    <w:p w14:paraId="7B502485" w14:textId="12E7D7FF" w:rsidR="004A30C5" w:rsidRDefault="004A30C5">
      <w:pPr>
        <w:spacing w:after="160" w:line="259" w:lineRule="auto"/>
        <w:rPr>
          <w:b/>
          <w:bCs/>
          <w:lang w:eastAsia="zh-CN"/>
        </w:rPr>
      </w:pPr>
    </w:p>
    <w:p w14:paraId="55122D19" w14:textId="7B4E062F" w:rsidR="00661B70" w:rsidRPr="00806EA0" w:rsidRDefault="00661B70" w:rsidP="001D7F20">
      <w:pPr>
        <w:spacing w:after="160" w:line="480" w:lineRule="auto"/>
        <w:jc w:val="center"/>
        <w:rPr>
          <w:b/>
          <w:bCs/>
          <w:lang w:val="en-GB"/>
        </w:rPr>
      </w:pPr>
      <w:r w:rsidRPr="00806EA0">
        <w:rPr>
          <w:b/>
          <w:bCs/>
          <w:lang w:eastAsia="zh-CN"/>
        </w:rPr>
        <w:t>References</w:t>
      </w:r>
    </w:p>
    <w:p w14:paraId="7AB43D3C" w14:textId="1617FB1B" w:rsidR="000A44D1" w:rsidRPr="001D7F20" w:rsidRDefault="00661B70" w:rsidP="001D7F20">
      <w:pPr>
        <w:widowControl w:val="0"/>
        <w:autoSpaceDE w:val="0"/>
        <w:autoSpaceDN w:val="0"/>
        <w:adjustRightInd w:val="0"/>
        <w:spacing w:line="480" w:lineRule="auto"/>
        <w:ind w:left="640" w:hanging="640"/>
        <w:rPr>
          <w:noProof/>
        </w:rPr>
      </w:pPr>
      <w:r w:rsidRPr="001D7F20">
        <w:rPr>
          <w:lang w:val="en-GB"/>
        </w:rPr>
        <w:fldChar w:fldCharType="begin" w:fldLock="1"/>
      </w:r>
      <w:r w:rsidRPr="001D7F20">
        <w:rPr>
          <w:lang w:val="en-GB"/>
        </w:rPr>
        <w:instrText xml:space="preserve">ADDIN Mendeley Bibliography CSL_BIBLIOGRAPHY </w:instrText>
      </w:r>
      <w:r w:rsidRPr="001D7F20">
        <w:rPr>
          <w:lang w:val="en-GB"/>
        </w:rPr>
        <w:fldChar w:fldCharType="separate"/>
      </w:r>
      <w:r w:rsidR="000A44D1" w:rsidRPr="001D7F20">
        <w:rPr>
          <w:noProof/>
        </w:rPr>
        <w:t>1</w:t>
      </w:r>
      <w:r w:rsidR="000A44D1" w:rsidRPr="001D7F20">
        <w:rPr>
          <w:noProof/>
        </w:rPr>
        <w:tab/>
        <w:t xml:space="preserve">Wu, X., Li, L., He, N., Zhao, M. and Zhan, Z., Int. J. Adv. Manuf. Technol., </w:t>
      </w:r>
      <w:r w:rsidR="000A44D1" w:rsidRPr="001D7F20">
        <w:rPr>
          <w:b/>
          <w:bCs/>
          <w:noProof/>
        </w:rPr>
        <w:t>79</w:t>
      </w:r>
      <w:r w:rsidR="000A44D1" w:rsidRPr="001D7F20">
        <w:rPr>
          <w:noProof/>
        </w:rPr>
        <w:t>, 321–327, (2015).</w:t>
      </w:r>
    </w:p>
    <w:p w14:paraId="6F9E14B7" w14:textId="77777777" w:rsidR="000A44D1" w:rsidRPr="001D7F20" w:rsidRDefault="000A44D1" w:rsidP="001D7F20">
      <w:pPr>
        <w:widowControl w:val="0"/>
        <w:autoSpaceDE w:val="0"/>
        <w:autoSpaceDN w:val="0"/>
        <w:adjustRightInd w:val="0"/>
        <w:spacing w:line="480" w:lineRule="auto"/>
        <w:ind w:left="640" w:hanging="640"/>
        <w:rPr>
          <w:noProof/>
        </w:rPr>
      </w:pPr>
      <w:r w:rsidRPr="001D7F20">
        <w:rPr>
          <w:noProof/>
        </w:rPr>
        <w:t>2</w:t>
      </w:r>
      <w:r w:rsidRPr="001D7F20">
        <w:rPr>
          <w:noProof/>
        </w:rPr>
        <w:tab/>
        <w:t xml:space="preserve">Pham, C. H., Thuillier, S. and Manach, P.-Y., Mater. Sci. Eng. A, </w:t>
      </w:r>
      <w:r w:rsidRPr="001D7F20">
        <w:rPr>
          <w:b/>
          <w:bCs/>
          <w:noProof/>
        </w:rPr>
        <w:t>678</w:t>
      </w:r>
      <w:r w:rsidRPr="001D7F20">
        <w:rPr>
          <w:noProof/>
        </w:rPr>
        <w:t>, 377–388, (2016).</w:t>
      </w:r>
    </w:p>
    <w:p w14:paraId="1E8D9C4E" w14:textId="77777777" w:rsidR="000A44D1" w:rsidRPr="001D7F20" w:rsidRDefault="000A44D1" w:rsidP="001D7F20">
      <w:pPr>
        <w:widowControl w:val="0"/>
        <w:autoSpaceDE w:val="0"/>
        <w:autoSpaceDN w:val="0"/>
        <w:adjustRightInd w:val="0"/>
        <w:spacing w:line="480" w:lineRule="auto"/>
        <w:ind w:left="640" w:hanging="640"/>
        <w:rPr>
          <w:noProof/>
        </w:rPr>
      </w:pPr>
      <w:r w:rsidRPr="001D7F20">
        <w:rPr>
          <w:noProof/>
        </w:rPr>
        <w:t>3</w:t>
      </w:r>
      <w:r w:rsidRPr="001D7F20">
        <w:rPr>
          <w:noProof/>
        </w:rPr>
        <w:tab/>
        <w:t xml:space="preserve">Mariano, R., Mckelvey, K., White, H. and Kanan, M., Science (80-. )., </w:t>
      </w:r>
      <w:r w:rsidRPr="001D7F20">
        <w:rPr>
          <w:b/>
          <w:bCs/>
          <w:noProof/>
        </w:rPr>
        <w:t>358</w:t>
      </w:r>
      <w:r w:rsidRPr="001D7F20">
        <w:rPr>
          <w:noProof/>
        </w:rPr>
        <w:t>, 1187–1192, (2017).</w:t>
      </w:r>
    </w:p>
    <w:p w14:paraId="39B21E80" w14:textId="77777777" w:rsidR="000A44D1" w:rsidRPr="001D7F20" w:rsidRDefault="000A44D1" w:rsidP="001D7F20">
      <w:pPr>
        <w:widowControl w:val="0"/>
        <w:autoSpaceDE w:val="0"/>
        <w:autoSpaceDN w:val="0"/>
        <w:adjustRightInd w:val="0"/>
        <w:spacing w:line="480" w:lineRule="auto"/>
        <w:ind w:left="640" w:hanging="640"/>
        <w:rPr>
          <w:noProof/>
        </w:rPr>
      </w:pPr>
      <w:r w:rsidRPr="001D7F20">
        <w:rPr>
          <w:noProof/>
        </w:rPr>
        <w:t>4</w:t>
      </w:r>
      <w:r w:rsidRPr="001D7F20">
        <w:rPr>
          <w:noProof/>
        </w:rPr>
        <w:tab/>
        <w:t xml:space="preserve">Yin, X.-Q., Peng, L.-J., Kayani, S., Cheng, L., Wang, J.-W., Xiao, W., Wang, L.-G. and Huang, G.-J., Rare Met., </w:t>
      </w:r>
      <w:r w:rsidRPr="001D7F20">
        <w:rPr>
          <w:b/>
          <w:bCs/>
          <w:noProof/>
        </w:rPr>
        <w:t>35</w:t>
      </w:r>
      <w:r w:rsidRPr="001D7F20">
        <w:rPr>
          <w:noProof/>
        </w:rPr>
        <w:t>, 909–914, (2016).</w:t>
      </w:r>
    </w:p>
    <w:p w14:paraId="0148D6E4" w14:textId="77777777" w:rsidR="000A44D1" w:rsidRPr="001D7F20" w:rsidRDefault="000A44D1" w:rsidP="001D7F20">
      <w:pPr>
        <w:widowControl w:val="0"/>
        <w:autoSpaceDE w:val="0"/>
        <w:autoSpaceDN w:val="0"/>
        <w:adjustRightInd w:val="0"/>
        <w:spacing w:line="480" w:lineRule="auto"/>
        <w:ind w:left="640" w:hanging="640"/>
        <w:rPr>
          <w:noProof/>
        </w:rPr>
      </w:pPr>
      <w:r w:rsidRPr="001D7F20">
        <w:rPr>
          <w:noProof/>
        </w:rPr>
        <w:t>5</w:t>
      </w:r>
      <w:r w:rsidRPr="001D7F20">
        <w:rPr>
          <w:noProof/>
        </w:rPr>
        <w:tab/>
        <w:t xml:space="preserve">Samardak, A., Anisimova, M., Samardak, A. and Ognev, A., Beilstein J. Nanotechnol., </w:t>
      </w:r>
      <w:r w:rsidRPr="001D7F20">
        <w:rPr>
          <w:b/>
          <w:bCs/>
          <w:noProof/>
        </w:rPr>
        <w:t>6</w:t>
      </w:r>
      <w:r w:rsidRPr="001D7F20">
        <w:rPr>
          <w:noProof/>
        </w:rPr>
        <w:t>, 976–986, (2015).</w:t>
      </w:r>
    </w:p>
    <w:p w14:paraId="626899C1" w14:textId="77777777" w:rsidR="000A44D1" w:rsidRPr="001D7F20" w:rsidRDefault="000A44D1" w:rsidP="001D7F20">
      <w:pPr>
        <w:widowControl w:val="0"/>
        <w:autoSpaceDE w:val="0"/>
        <w:autoSpaceDN w:val="0"/>
        <w:adjustRightInd w:val="0"/>
        <w:spacing w:line="480" w:lineRule="auto"/>
        <w:ind w:left="640" w:hanging="640"/>
        <w:rPr>
          <w:noProof/>
        </w:rPr>
      </w:pPr>
      <w:r w:rsidRPr="001D7F20">
        <w:rPr>
          <w:noProof/>
        </w:rPr>
        <w:t>6</w:t>
      </w:r>
      <w:r w:rsidRPr="001D7F20">
        <w:rPr>
          <w:noProof/>
        </w:rPr>
        <w:tab/>
        <w:t xml:space="preserve">Love, G. and Scott, V. D., J. Phys. D. Appl. Phys., </w:t>
      </w:r>
      <w:r w:rsidRPr="001D7F20">
        <w:rPr>
          <w:b/>
          <w:bCs/>
          <w:noProof/>
        </w:rPr>
        <w:t>11</w:t>
      </w:r>
      <w:r w:rsidRPr="001D7F20">
        <w:rPr>
          <w:noProof/>
        </w:rPr>
        <w:t>, 1369–1376, (1978).</w:t>
      </w:r>
    </w:p>
    <w:p w14:paraId="61DF7267" w14:textId="77777777" w:rsidR="000A44D1" w:rsidRPr="001D7F20" w:rsidRDefault="000A44D1" w:rsidP="001D7F20">
      <w:pPr>
        <w:widowControl w:val="0"/>
        <w:autoSpaceDE w:val="0"/>
        <w:autoSpaceDN w:val="0"/>
        <w:adjustRightInd w:val="0"/>
        <w:spacing w:line="480" w:lineRule="auto"/>
        <w:ind w:left="640" w:hanging="640"/>
        <w:rPr>
          <w:noProof/>
        </w:rPr>
      </w:pPr>
      <w:r w:rsidRPr="001D7F20">
        <w:rPr>
          <w:noProof/>
        </w:rPr>
        <w:t>7</w:t>
      </w:r>
      <w:r w:rsidRPr="001D7F20">
        <w:rPr>
          <w:noProof/>
        </w:rPr>
        <w:tab/>
        <w:t xml:space="preserve">Hunger, H.-J. and Küchler, L., Phys. status solidi, </w:t>
      </w:r>
      <w:r w:rsidRPr="001D7F20">
        <w:rPr>
          <w:b/>
          <w:bCs/>
          <w:noProof/>
        </w:rPr>
        <w:t>56</w:t>
      </w:r>
      <w:r w:rsidRPr="001D7F20">
        <w:rPr>
          <w:noProof/>
        </w:rPr>
        <w:t>, K45–K48, (1979).</w:t>
      </w:r>
    </w:p>
    <w:p w14:paraId="5434D74C" w14:textId="77777777" w:rsidR="000A44D1" w:rsidRPr="001D7F20" w:rsidRDefault="000A44D1" w:rsidP="001D7F20">
      <w:pPr>
        <w:widowControl w:val="0"/>
        <w:autoSpaceDE w:val="0"/>
        <w:autoSpaceDN w:val="0"/>
        <w:adjustRightInd w:val="0"/>
        <w:spacing w:line="480" w:lineRule="auto"/>
        <w:ind w:left="640" w:hanging="640"/>
        <w:rPr>
          <w:noProof/>
        </w:rPr>
      </w:pPr>
      <w:r w:rsidRPr="001D7F20">
        <w:rPr>
          <w:noProof/>
        </w:rPr>
        <w:t>8</w:t>
      </w:r>
      <w:r w:rsidRPr="001D7F20">
        <w:rPr>
          <w:noProof/>
        </w:rPr>
        <w:tab/>
        <w:t xml:space="preserve">Zhu, S., Cheng, H.-H., Blakey, I., Stokes, N., Ostrikov, K. (Ken) and Cortie, M., Microelectron. Eng., </w:t>
      </w:r>
      <w:r w:rsidRPr="001D7F20">
        <w:rPr>
          <w:b/>
          <w:bCs/>
          <w:noProof/>
        </w:rPr>
        <w:t>139</w:t>
      </w:r>
      <w:r w:rsidRPr="001D7F20">
        <w:rPr>
          <w:noProof/>
        </w:rPr>
        <w:t>, 13–18, (2015).</w:t>
      </w:r>
    </w:p>
    <w:p w14:paraId="245FEE2F" w14:textId="15901C1D" w:rsidR="00B4795D" w:rsidRPr="004838AD" w:rsidRDefault="00661B70" w:rsidP="00F501E2">
      <w:pPr>
        <w:spacing w:line="480" w:lineRule="auto"/>
      </w:pPr>
      <w:r w:rsidRPr="001D7F20">
        <w:rPr>
          <w:lang w:val="en-GB"/>
        </w:rPr>
        <w:fldChar w:fldCharType="end"/>
      </w:r>
      <w:r w:rsidR="00F501E2" w:rsidDel="00F501E2">
        <w:rPr>
          <w:lang w:val="en-GB"/>
        </w:rPr>
        <w:t xml:space="preserve"> </w:t>
      </w:r>
    </w:p>
    <w:sectPr w:rsidR="00B4795D" w:rsidRPr="004838AD" w:rsidSect="001D7F20">
      <w:footerReference w:type="default" r:id="rId46"/>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C7C5E3" w14:textId="77777777" w:rsidR="00774693" w:rsidRDefault="00774693" w:rsidP="002924D7">
      <w:r>
        <w:separator/>
      </w:r>
    </w:p>
  </w:endnote>
  <w:endnote w:type="continuationSeparator" w:id="0">
    <w:p w14:paraId="1FA9EDBA" w14:textId="77777777" w:rsidR="00774693" w:rsidRDefault="00774693" w:rsidP="002924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EE"/>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45372182"/>
      <w:docPartObj>
        <w:docPartGallery w:val="Page Numbers (Bottom of Page)"/>
        <w:docPartUnique/>
      </w:docPartObj>
    </w:sdtPr>
    <w:sdtEndPr>
      <w:rPr>
        <w:noProof/>
      </w:rPr>
    </w:sdtEndPr>
    <w:sdtContent>
      <w:p w14:paraId="0E0DB241" w14:textId="382B49EB" w:rsidR="002924D7" w:rsidRDefault="002924D7">
        <w:pPr>
          <w:pStyle w:val="Footer"/>
          <w:jc w:val="right"/>
        </w:pPr>
        <w:r>
          <w:fldChar w:fldCharType="begin"/>
        </w:r>
        <w:r>
          <w:instrText xml:space="preserve"> PAGE   \* MERGEFORMAT </w:instrText>
        </w:r>
        <w:r>
          <w:fldChar w:fldCharType="separate"/>
        </w:r>
        <w:r w:rsidR="00C04889">
          <w:rPr>
            <w:noProof/>
          </w:rPr>
          <w:t>12</w:t>
        </w:r>
        <w:r>
          <w:rPr>
            <w:noProof/>
          </w:rPr>
          <w:fldChar w:fldCharType="end"/>
        </w:r>
      </w:p>
    </w:sdtContent>
  </w:sdt>
  <w:p w14:paraId="6A25C9B8" w14:textId="77777777" w:rsidR="002924D7" w:rsidRDefault="002924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7EB3C7" w14:textId="77777777" w:rsidR="00774693" w:rsidRDefault="00774693" w:rsidP="002924D7">
      <w:r>
        <w:separator/>
      </w:r>
    </w:p>
  </w:footnote>
  <w:footnote w:type="continuationSeparator" w:id="0">
    <w:p w14:paraId="41544A2B" w14:textId="77777777" w:rsidR="00774693" w:rsidRDefault="00774693" w:rsidP="002924D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92213"/>
    <w:multiLevelType w:val="hybridMultilevel"/>
    <w:tmpl w:val="2C3C82E6"/>
    <w:lvl w:ilvl="0" w:tplc="650E5E4E">
      <w:start w:val="2"/>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 w15:restartNumberingAfterBreak="0">
    <w:nsid w:val="048C13C5"/>
    <w:multiLevelType w:val="multilevel"/>
    <w:tmpl w:val="36CEFAB2"/>
    <w:lvl w:ilvl="0">
      <w:start w:val="3"/>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724D"/>
    <w:rsid w:val="000770EC"/>
    <w:rsid w:val="00085F55"/>
    <w:rsid w:val="000A44D1"/>
    <w:rsid w:val="000F2BE7"/>
    <w:rsid w:val="001D7F20"/>
    <w:rsid w:val="001E103A"/>
    <w:rsid w:val="001E2117"/>
    <w:rsid w:val="001F4C78"/>
    <w:rsid w:val="0026061F"/>
    <w:rsid w:val="00266308"/>
    <w:rsid w:val="002924D7"/>
    <w:rsid w:val="002B143A"/>
    <w:rsid w:val="002F11F2"/>
    <w:rsid w:val="00341591"/>
    <w:rsid w:val="00384AB6"/>
    <w:rsid w:val="003E4C29"/>
    <w:rsid w:val="0040724D"/>
    <w:rsid w:val="00407712"/>
    <w:rsid w:val="004838AD"/>
    <w:rsid w:val="004A30C5"/>
    <w:rsid w:val="004D000B"/>
    <w:rsid w:val="0050742E"/>
    <w:rsid w:val="005150F2"/>
    <w:rsid w:val="00540C3A"/>
    <w:rsid w:val="005F35D5"/>
    <w:rsid w:val="0060388D"/>
    <w:rsid w:val="006478E8"/>
    <w:rsid w:val="00661B70"/>
    <w:rsid w:val="006F059A"/>
    <w:rsid w:val="006F1647"/>
    <w:rsid w:val="00744318"/>
    <w:rsid w:val="00762757"/>
    <w:rsid w:val="00774693"/>
    <w:rsid w:val="00806EA0"/>
    <w:rsid w:val="00851F8F"/>
    <w:rsid w:val="008F01DF"/>
    <w:rsid w:val="008F6B87"/>
    <w:rsid w:val="009516A4"/>
    <w:rsid w:val="009F27EC"/>
    <w:rsid w:val="00AE3548"/>
    <w:rsid w:val="00B1316F"/>
    <w:rsid w:val="00B2377B"/>
    <w:rsid w:val="00B4795D"/>
    <w:rsid w:val="00B77FAC"/>
    <w:rsid w:val="00BB0CC3"/>
    <w:rsid w:val="00BB4A63"/>
    <w:rsid w:val="00BC1B87"/>
    <w:rsid w:val="00BF5CBE"/>
    <w:rsid w:val="00C04889"/>
    <w:rsid w:val="00C34DC6"/>
    <w:rsid w:val="00C927C8"/>
    <w:rsid w:val="00D24CDD"/>
    <w:rsid w:val="00D362F5"/>
    <w:rsid w:val="00DD06F7"/>
    <w:rsid w:val="00DE6230"/>
    <w:rsid w:val="00DF14D9"/>
    <w:rsid w:val="00DF5872"/>
    <w:rsid w:val="00E8557C"/>
    <w:rsid w:val="00F13006"/>
    <w:rsid w:val="00F15946"/>
    <w:rsid w:val="00F36A18"/>
    <w:rsid w:val="00F501E2"/>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E50807"/>
  <w15:chartTrackingRefBased/>
  <w15:docId w15:val="{E357EE1C-21C7-499A-9735-02A304A440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724D"/>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TDisplayEquation">
    <w:name w:val="MTDisplayEquation"/>
    <w:basedOn w:val="Normal"/>
    <w:next w:val="Normal"/>
    <w:rsid w:val="0040724D"/>
    <w:pPr>
      <w:tabs>
        <w:tab w:val="center" w:pos="4680"/>
        <w:tab w:val="right" w:pos="9360"/>
      </w:tabs>
      <w:spacing w:before="240" w:after="240" w:line="480" w:lineRule="auto"/>
    </w:pPr>
    <w:rPr>
      <w:rFonts w:eastAsia="SimSun"/>
      <w:lang w:val="en-US"/>
    </w:rPr>
  </w:style>
  <w:style w:type="paragraph" w:customStyle="1" w:styleId="COL09sub-section">
    <w:name w:val="COL09. sub-section"/>
    <w:basedOn w:val="Normal"/>
    <w:rsid w:val="0040724D"/>
    <w:pPr>
      <w:widowControl w:val="0"/>
      <w:spacing w:line="480" w:lineRule="auto"/>
    </w:pPr>
    <w:rPr>
      <w:rFonts w:eastAsia="SimSun"/>
      <w:b/>
      <w:bCs/>
      <w:kern w:val="2"/>
      <w:lang w:val="en-US" w:eastAsia="zh-CN"/>
    </w:rPr>
  </w:style>
  <w:style w:type="character" w:styleId="FootnoteReference">
    <w:name w:val="footnote reference"/>
    <w:uiPriority w:val="99"/>
    <w:unhideWhenUsed/>
    <w:rsid w:val="0040724D"/>
    <w:rPr>
      <w:vertAlign w:val="superscript"/>
    </w:rPr>
  </w:style>
  <w:style w:type="paragraph" w:styleId="Caption">
    <w:name w:val="caption"/>
    <w:basedOn w:val="Normal"/>
    <w:next w:val="Normal"/>
    <w:uiPriority w:val="35"/>
    <w:unhideWhenUsed/>
    <w:qFormat/>
    <w:rsid w:val="0040724D"/>
    <w:pPr>
      <w:spacing w:after="200" w:line="259" w:lineRule="auto"/>
    </w:pPr>
    <w:rPr>
      <w:rFonts w:ascii="Calibri" w:eastAsia="Calibri" w:hAnsi="Calibri"/>
      <w:i/>
      <w:iCs/>
      <w:color w:val="44546A"/>
      <w:sz w:val="18"/>
      <w:szCs w:val="18"/>
    </w:rPr>
  </w:style>
  <w:style w:type="paragraph" w:customStyle="1" w:styleId="01title">
    <w:name w:val="01.title"/>
    <w:basedOn w:val="Normal"/>
    <w:next w:val="02authors"/>
    <w:rsid w:val="0040724D"/>
    <w:pPr>
      <w:spacing w:before="360" w:after="360" w:line="480" w:lineRule="auto"/>
      <w:jc w:val="center"/>
    </w:pPr>
    <w:rPr>
      <w:rFonts w:eastAsia="SimSun"/>
      <w:b/>
      <w:sz w:val="36"/>
      <w:lang w:val="en-US"/>
    </w:rPr>
  </w:style>
  <w:style w:type="paragraph" w:customStyle="1" w:styleId="02authors">
    <w:name w:val="02.authors"/>
    <w:basedOn w:val="Normal"/>
    <w:next w:val="Normal"/>
    <w:rsid w:val="0040724D"/>
    <w:pPr>
      <w:spacing w:line="480" w:lineRule="auto"/>
      <w:jc w:val="center"/>
    </w:pPr>
    <w:rPr>
      <w:rFonts w:eastAsia="SimSun"/>
      <w:b/>
      <w:lang w:val="en-US"/>
    </w:rPr>
  </w:style>
  <w:style w:type="paragraph" w:styleId="Header">
    <w:name w:val="header"/>
    <w:basedOn w:val="Normal"/>
    <w:link w:val="HeaderChar"/>
    <w:uiPriority w:val="99"/>
    <w:unhideWhenUsed/>
    <w:rsid w:val="002924D7"/>
    <w:pPr>
      <w:tabs>
        <w:tab w:val="center" w:pos="4536"/>
        <w:tab w:val="right" w:pos="9072"/>
      </w:tabs>
    </w:pPr>
  </w:style>
  <w:style w:type="character" w:customStyle="1" w:styleId="HeaderChar">
    <w:name w:val="Header Char"/>
    <w:basedOn w:val="DefaultParagraphFont"/>
    <w:link w:val="Header"/>
    <w:uiPriority w:val="99"/>
    <w:rsid w:val="002924D7"/>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2924D7"/>
    <w:pPr>
      <w:tabs>
        <w:tab w:val="center" w:pos="4536"/>
        <w:tab w:val="right" w:pos="9072"/>
      </w:tabs>
    </w:pPr>
  </w:style>
  <w:style w:type="character" w:customStyle="1" w:styleId="FooterChar">
    <w:name w:val="Footer Char"/>
    <w:basedOn w:val="DefaultParagraphFont"/>
    <w:link w:val="Footer"/>
    <w:uiPriority w:val="99"/>
    <w:rsid w:val="002924D7"/>
    <w:rPr>
      <w:rFonts w:ascii="Times New Roman" w:eastAsia="Times New Roman" w:hAnsi="Times New Roman" w:cs="Times New Roman"/>
      <w:sz w:val="24"/>
      <w:szCs w:val="24"/>
    </w:rPr>
  </w:style>
  <w:style w:type="table" w:styleId="TableGrid">
    <w:name w:val="Table Grid"/>
    <w:basedOn w:val="TableNormal"/>
    <w:uiPriority w:val="39"/>
    <w:rsid w:val="001D7F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8text">
    <w:name w:val="08.text"/>
    <w:basedOn w:val="Normal"/>
    <w:link w:val="08textChar"/>
    <w:rsid w:val="004838AD"/>
    <w:pPr>
      <w:spacing w:line="480" w:lineRule="auto"/>
      <w:jc w:val="both"/>
    </w:pPr>
    <w:rPr>
      <w:rFonts w:eastAsia="SimSun"/>
      <w:lang w:val="en-US"/>
    </w:rPr>
  </w:style>
  <w:style w:type="character" w:customStyle="1" w:styleId="08textChar">
    <w:name w:val="08.text Char"/>
    <w:link w:val="08text"/>
    <w:rsid w:val="004838AD"/>
    <w:rPr>
      <w:rFonts w:ascii="Times New Roman" w:eastAsia="SimSun" w:hAnsi="Times New Roman" w:cs="Times New Roman"/>
      <w:sz w:val="24"/>
      <w:szCs w:val="24"/>
      <w:lang w:val="en-US"/>
    </w:rPr>
  </w:style>
  <w:style w:type="paragraph" w:styleId="Revision">
    <w:name w:val="Revision"/>
    <w:hidden/>
    <w:uiPriority w:val="99"/>
    <w:semiHidden/>
    <w:rsid w:val="004838AD"/>
    <w:pPr>
      <w:spacing w:after="0"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F36A1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36A1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wmf"/><Relationship Id="rId18" Type="http://schemas.openxmlformats.org/officeDocument/2006/relationships/image" Target="media/image9.wmf"/><Relationship Id="rId26" Type="http://schemas.openxmlformats.org/officeDocument/2006/relationships/image" Target="media/image14.wmf"/><Relationship Id="rId39" Type="http://schemas.openxmlformats.org/officeDocument/2006/relationships/oleObject" Target="embeddings/oleObject12.bin"/><Relationship Id="rId21" Type="http://schemas.openxmlformats.org/officeDocument/2006/relationships/image" Target="media/image11.png"/><Relationship Id="rId34" Type="http://schemas.openxmlformats.org/officeDocument/2006/relationships/image" Target="media/image18.wmf"/><Relationship Id="rId42" Type="http://schemas.openxmlformats.org/officeDocument/2006/relationships/image" Target="media/image22.wmf"/><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wmf"/><Relationship Id="rId29" Type="http://schemas.openxmlformats.org/officeDocument/2006/relationships/oleObject" Target="embeddings/oleObject7.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wmf"/><Relationship Id="rId32" Type="http://schemas.openxmlformats.org/officeDocument/2006/relationships/image" Target="media/image17.wmf"/><Relationship Id="rId37" Type="http://schemas.openxmlformats.org/officeDocument/2006/relationships/oleObject" Target="embeddings/oleObject11.bin"/><Relationship Id="rId40" Type="http://schemas.openxmlformats.org/officeDocument/2006/relationships/image" Target="media/image21.wmf"/><Relationship Id="rId45" Type="http://schemas.openxmlformats.org/officeDocument/2006/relationships/oleObject" Target="embeddings/oleObject15.bin"/><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oleObject" Target="embeddings/oleObject4.bin"/><Relationship Id="rId28" Type="http://schemas.openxmlformats.org/officeDocument/2006/relationships/image" Target="media/image15.wmf"/><Relationship Id="rId36" Type="http://schemas.openxmlformats.org/officeDocument/2006/relationships/image" Target="media/image19.wmf"/><Relationship Id="rId10" Type="http://schemas.openxmlformats.org/officeDocument/2006/relationships/image" Target="media/image3.png"/><Relationship Id="rId19" Type="http://schemas.openxmlformats.org/officeDocument/2006/relationships/oleObject" Target="embeddings/oleObject3.bin"/><Relationship Id="rId31" Type="http://schemas.openxmlformats.org/officeDocument/2006/relationships/oleObject" Target="embeddings/oleObject8.bin"/><Relationship Id="rId44" Type="http://schemas.openxmlformats.org/officeDocument/2006/relationships/image" Target="media/image23.w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oleObject" Target="embeddings/oleObject1.bin"/><Relationship Id="rId22" Type="http://schemas.openxmlformats.org/officeDocument/2006/relationships/image" Target="media/image12.wmf"/><Relationship Id="rId27" Type="http://schemas.openxmlformats.org/officeDocument/2006/relationships/oleObject" Target="embeddings/oleObject6.bin"/><Relationship Id="rId30" Type="http://schemas.openxmlformats.org/officeDocument/2006/relationships/image" Target="media/image16.wmf"/><Relationship Id="rId35" Type="http://schemas.openxmlformats.org/officeDocument/2006/relationships/oleObject" Target="embeddings/oleObject10.bin"/><Relationship Id="rId43" Type="http://schemas.openxmlformats.org/officeDocument/2006/relationships/oleObject" Target="embeddings/oleObject14.bin"/><Relationship Id="rId48" Type="http://schemas.openxmlformats.org/officeDocument/2006/relationships/theme" Target="theme/theme1.xml"/><Relationship Id="rId8" Type="http://schemas.openxmlformats.org/officeDocument/2006/relationships/image" Target="media/image1.tiff"/><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oleObject" Target="embeddings/oleObject2.bin"/><Relationship Id="rId25" Type="http://schemas.openxmlformats.org/officeDocument/2006/relationships/oleObject" Target="embeddings/oleObject5.bin"/><Relationship Id="rId33" Type="http://schemas.openxmlformats.org/officeDocument/2006/relationships/oleObject" Target="embeddings/oleObject9.bin"/><Relationship Id="rId38" Type="http://schemas.openxmlformats.org/officeDocument/2006/relationships/image" Target="media/image20.wmf"/><Relationship Id="rId46" Type="http://schemas.openxmlformats.org/officeDocument/2006/relationships/footer" Target="footer1.xml"/><Relationship Id="rId20" Type="http://schemas.openxmlformats.org/officeDocument/2006/relationships/image" Target="media/image10.png"/><Relationship Id="rId41" Type="http://schemas.openxmlformats.org/officeDocument/2006/relationships/oleObject" Target="embeddings/oleObject1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Version="2003"/>
</file>

<file path=customXml/itemProps1.xml><?xml version="1.0" encoding="utf-8"?>
<ds:datastoreItem xmlns:ds="http://schemas.openxmlformats.org/officeDocument/2006/customXml" ds:itemID="{E4B62877-988F-4BF9-9B77-8F69C57719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12</Pages>
  <Words>4945</Words>
  <Characters>28685</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 Leca</dc:creator>
  <cp:keywords/>
  <dc:description/>
  <cp:lastModifiedBy>Victor</cp:lastModifiedBy>
  <cp:revision>21</cp:revision>
  <cp:lastPrinted>2021-09-02T11:27:00Z</cp:lastPrinted>
  <dcterms:created xsi:type="dcterms:W3CDTF">2021-10-27T14:11:00Z</dcterms:created>
  <dcterms:modified xsi:type="dcterms:W3CDTF">2021-10-27T14:36:00Z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http://www.zotero.org/styles/applied-physics-letters</vt:lpwstr>
  </property>
  <property fmtid="{D5CDD505-2E9C-101B-9397-08002B2CF9AE}" pid="3" name="Mendeley Recent Style Name 0_1">
    <vt:lpwstr>Applied Physics Letters</vt:lpwstr>
  </property>
  <property fmtid="{D5CDD505-2E9C-101B-9397-08002B2CF9AE}" pid="4" name="Mendeley Recent Style Id 1_1">
    <vt:lpwstr>http://www.zotero.org/styles/frontiers-in-physics</vt:lpwstr>
  </property>
  <property fmtid="{D5CDD505-2E9C-101B-9397-08002B2CF9AE}" pid="5" name="Mendeley Recent Style Name 1_1">
    <vt:lpwstr>Frontiers in Physics</vt:lpwstr>
  </property>
  <property fmtid="{D5CDD505-2E9C-101B-9397-08002B2CF9AE}" pid="6" name="Mendeley Recent Style Id 2_1">
    <vt:lpwstr>http://csl.mendeley.com/styles/577133301/frontiers-in-physics-VictorL2</vt:lpwstr>
  </property>
  <property fmtid="{D5CDD505-2E9C-101B-9397-08002B2CF9AE}" pid="7" name="Mendeley Recent Style Name 2_1">
    <vt:lpwstr>Frontiers in Physics - Victor Leca</vt:lpwstr>
  </property>
  <property fmtid="{D5CDD505-2E9C-101B-9397-08002B2CF9AE}" pid="8" name="Mendeley Recent Style Id 3_1">
    <vt:lpwstr>http://csl.mendeley.com/styles/577133301/frontiers-in-physics-VictorL</vt:lpwstr>
  </property>
  <property fmtid="{D5CDD505-2E9C-101B-9397-08002B2CF9AE}" pid="9" name="Mendeley Recent Style Name 3_1">
    <vt:lpwstr>Frontiers in Physics - Victor Leca</vt:lpwstr>
  </property>
  <property fmtid="{D5CDD505-2E9C-101B-9397-08002B2CF9AE}" pid="10" name="Mendeley Recent Style Id 4_1">
    <vt:lpwstr>http://www.zotero.org/styles/medchemcomm</vt:lpwstr>
  </property>
  <property fmtid="{D5CDD505-2E9C-101B-9397-08002B2CF9AE}" pid="11" name="Mendeley Recent Style Name 4_1">
    <vt:lpwstr>MedChemComm</vt:lpwstr>
  </property>
  <property fmtid="{D5CDD505-2E9C-101B-9397-08002B2CF9AE}" pid="12" name="Mendeley Recent Style Id 5_1">
    <vt:lpwstr>http://www.zotero.org/styles/modern-language-association</vt:lpwstr>
  </property>
  <property fmtid="{D5CDD505-2E9C-101B-9397-08002B2CF9AE}" pid="13" name="Mendeley Recent Style Name 5_1">
    <vt:lpwstr>Modern Language Association 8th edition</vt:lpwstr>
  </property>
  <property fmtid="{D5CDD505-2E9C-101B-9397-08002B2CF9AE}" pid="14" name="Mendeley Recent Style Id 6_1">
    <vt:lpwstr>http://csl.mendeley.com/styles/575410341/royal-society-of-chemistry-2CristinaGheorghiu-2</vt:lpwstr>
  </property>
  <property fmtid="{D5CDD505-2E9C-101B-9397-08002B2CF9AE}" pid="15" name="Mendeley Recent Style Name 6_1">
    <vt:lpwstr>Royal Society of Chemistry - Cristina Gheorghiu</vt:lpwstr>
  </property>
  <property fmtid="{D5CDD505-2E9C-101B-9397-08002B2CF9AE}" pid="16" name="Mendeley Recent Style Id 7_1">
    <vt:lpwstr>http://www.zotero.org/styles/science-and-technology-of-advanced-materials</vt:lpwstr>
  </property>
  <property fmtid="{D5CDD505-2E9C-101B-9397-08002B2CF9AE}" pid="17" name="Mendeley Recent Style Name 7_1">
    <vt:lpwstr>Science and Technology of Advanced Materials</vt:lpwstr>
  </property>
  <property fmtid="{D5CDD505-2E9C-101B-9397-08002B2CF9AE}" pid="18" name="Mendeley Recent Style Id 8_1">
    <vt:lpwstr>http://www.zotero.org/styles/surface-and-coatings-technology</vt:lpwstr>
  </property>
  <property fmtid="{D5CDD505-2E9C-101B-9397-08002B2CF9AE}" pid="19" name="Mendeley Recent Style Name 8_1">
    <vt:lpwstr>Surface &amp; Coatings Technology</vt:lpwstr>
  </property>
  <property fmtid="{D5CDD505-2E9C-101B-9397-08002B2CF9AE}" pid="20" name="Mendeley Recent Style Id 9_1">
    <vt:lpwstr>http://www.zotero.org/styles/taylor-and-francis-acs</vt:lpwstr>
  </property>
  <property fmtid="{D5CDD505-2E9C-101B-9397-08002B2CF9AE}" pid="21" name="Mendeley Recent Style Name 9_1">
    <vt:lpwstr>Taylor &amp; Francis - American Chemical Society</vt:lpwstr>
  </property>
  <property fmtid="{D5CDD505-2E9C-101B-9397-08002B2CF9AE}" pid="22" name="Mendeley Document_1">
    <vt:lpwstr>True</vt:lpwstr>
  </property>
  <property fmtid="{D5CDD505-2E9C-101B-9397-08002B2CF9AE}" pid="23" name="Mendeley Unique User Id_1">
    <vt:lpwstr>33817b34-9fd3-302f-82cb-175876065b1f</vt:lpwstr>
  </property>
  <property fmtid="{D5CDD505-2E9C-101B-9397-08002B2CF9AE}" pid="24" name="Mendeley Citation Style_1">
    <vt:lpwstr>http://csl.mendeley.com/styles/575410341/royal-society-of-chemistry-2CristinaGheorghiu-2</vt:lpwstr>
  </property>
</Properties>
</file>