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C59E8" w14:textId="3A1420EF" w:rsidR="009A6B42" w:rsidRDefault="009A6B42" w:rsidP="009A6B42">
      <w:pPr>
        <w:spacing w:after="0" w:line="240" w:lineRule="auto"/>
        <w:jc w:val="center"/>
        <w:rPr>
          <w:b/>
          <w:bCs/>
        </w:rPr>
      </w:pPr>
      <w:r>
        <w:rPr>
          <w:b/>
          <w:bCs/>
        </w:rPr>
        <w:t>SUPPLEMENTA</w:t>
      </w:r>
      <w:r w:rsidR="00815660">
        <w:rPr>
          <w:b/>
          <w:bCs/>
        </w:rPr>
        <w:t>L</w:t>
      </w:r>
      <w:r>
        <w:rPr>
          <w:b/>
          <w:bCs/>
        </w:rPr>
        <w:t xml:space="preserve"> MATERIALS</w:t>
      </w:r>
    </w:p>
    <w:p w14:paraId="6ECA4AC3" w14:textId="77777777" w:rsidR="00F953AE" w:rsidRDefault="00F953AE" w:rsidP="009A6B42">
      <w:pPr>
        <w:spacing w:after="0" w:line="240" w:lineRule="auto"/>
        <w:rPr>
          <w:b/>
          <w:bCs/>
        </w:rPr>
      </w:pPr>
    </w:p>
    <w:p w14:paraId="61331D5C" w14:textId="64E98CC5" w:rsidR="009A6B42" w:rsidRDefault="009A6B42" w:rsidP="009A6B42">
      <w:pPr>
        <w:spacing w:after="0" w:line="240" w:lineRule="auto"/>
        <w:rPr>
          <w:b/>
          <w:bCs/>
        </w:rPr>
      </w:pPr>
      <w:r>
        <w:rPr>
          <w:b/>
          <w:bCs/>
        </w:rPr>
        <w:t>Contents</w:t>
      </w:r>
    </w:p>
    <w:p w14:paraId="6A7A3A23" w14:textId="77777777" w:rsidR="009A6B42" w:rsidRDefault="009A6B42" w:rsidP="009A6B42">
      <w:pPr>
        <w:spacing w:after="0" w:line="240" w:lineRule="auto"/>
        <w:rPr>
          <w:b/>
          <w:bCs/>
        </w:rPr>
      </w:pPr>
    </w:p>
    <w:p w14:paraId="116A90B1" w14:textId="61F86B92" w:rsidR="009A6B42" w:rsidRPr="00F953AE" w:rsidRDefault="009A6B42" w:rsidP="009A6B42">
      <w:pPr>
        <w:pStyle w:val="ListParagraph"/>
        <w:numPr>
          <w:ilvl w:val="0"/>
          <w:numId w:val="2"/>
        </w:numPr>
        <w:spacing w:after="0" w:line="240" w:lineRule="auto"/>
      </w:pPr>
      <w:r w:rsidRPr="00F953AE">
        <w:t>SUPPLEMENTAL TABLES</w:t>
      </w:r>
    </w:p>
    <w:p w14:paraId="1243BBC0" w14:textId="77777777" w:rsidR="00F953AE" w:rsidRPr="00F953AE" w:rsidRDefault="00F953AE" w:rsidP="00F953AE">
      <w:pPr>
        <w:pStyle w:val="ListParagraph"/>
        <w:spacing w:after="0" w:line="240" w:lineRule="auto"/>
      </w:pPr>
    </w:p>
    <w:p w14:paraId="24EA41C4" w14:textId="77777777" w:rsidR="006D3854" w:rsidRPr="00F953AE" w:rsidRDefault="009A6B42" w:rsidP="006D3854">
      <w:pPr>
        <w:pStyle w:val="ListParagraph"/>
        <w:numPr>
          <w:ilvl w:val="1"/>
          <w:numId w:val="2"/>
        </w:numPr>
      </w:pPr>
      <w:r w:rsidRPr="00F953AE">
        <w:t xml:space="preserve">Supplemental Table 1. </w:t>
      </w:r>
      <w:r w:rsidR="006D3854" w:rsidRPr="00F953AE">
        <w:t xml:space="preserve">Results of 2016 survey of CTSAs – Perceived usefulness of potential RIC resources </w:t>
      </w:r>
    </w:p>
    <w:p w14:paraId="0BE38A0D" w14:textId="51440F6A" w:rsidR="009A6B42" w:rsidRPr="00F953AE" w:rsidRDefault="009A6B42" w:rsidP="009A6B42">
      <w:pPr>
        <w:pStyle w:val="ListParagraph"/>
        <w:numPr>
          <w:ilvl w:val="1"/>
          <w:numId w:val="2"/>
        </w:numPr>
        <w:spacing w:after="0" w:line="240" w:lineRule="auto"/>
      </w:pPr>
      <w:r w:rsidRPr="00F953AE">
        <w:t xml:space="preserve">Supplemental Table 2. </w:t>
      </w:r>
      <w:r w:rsidR="00815660" w:rsidRPr="00F953AE">
        <w:t xml:space="preserve">Results of 2016 survey of CTSAs – Additional areas of recruitment </w:t>
      </w:r>
      <w:proofErr w:type="gramStart"/>
      <w:r w:rsidR="00815660" w:rsidRPr="00F953AE">
        <w:t>need</w:t>
      </w:r>
      <w:proofErr w:type="gramEnd"/>
    </w:p>
    <w:p w14:paraId="166D55A3" w14:textId="618F4067" w:rsidR="009A6B42" w:rsidRPr="00F953AE" w:rsidRDefault="00815660" w:rsidP="008544CA">
      <w:pPr>
        <w:pStyle w:val="ListParagraph"/>
        <w:numPr>
          <w:ilvl w:val="1"/>
          <w:numId w:val="2"/>
        </w:numPr>
        <w:spacing w:after="0" w:line="240" w:lineRule="auto"/>
      </w:pPr>
      <w:r w:rsidRPr="00F953AE">
        <w:t xml:space="preserve">Supplemental Table </w:t>
      </w:r>
      <w:r w:rsidR="008544CA">
        <w:t>3</w:t>
      </w:r>
      <w:r w:rsidRPr="00F953AE">
        <w:t xml:space="preserve">. Disease areas represented among studies receiving RIC </w:t>
      </w:r>
      <w:proofErr w:type="gramStart"/>
      <w:r w:rsidRPr="00F953AE">
        <w:t>consultations</w:t>
      </w:r>
      <w:proofErr w:type="gramEnd"/>
    </w:p>
    <w:p w14:paraId="423B96A4" w14:textId="77777777" w:rsidR="009A6B42" w:rsidRPr="00F953AE" w:rsidRDefault="009A6B42" w:rsidP="009A6B42">
      <w:pPr>
        <w:pStyle w:val="ListParagraph"/>
        <w:spacing w:after="0" w:line="240" w:lineRule="auto"/>
        <w:ind w:left="1080"/>
      </w:pPr>
    </w:p>
    <w:p w14:paraId="64011466" w14:textId="4B866F6B" w:rsidR="009A6B42" w:rsidRPr="00F953AE" w:rsidRDefault="009A6B42" w:rsidP="009A6B42">
      <w:pPr>
        <w:pStyle w:val="ListParagraph"/>
        <w:numPr>
          <w:ilvl w:val="0"/>
          <w:numId w:val="2"/>
        </w:numPr>
        <w:spacing w:after="0" w:line="240" w:lineRule="auto"/>
      </w:pPr>
      <w:r w:rsidRPr="00F953AE">
        <w:t>SUPPLEMENTAL FIGURES</w:t>
      </w:r>
    </w:p>
    <w:p w14:paraId="7F6D3E53" w14:textId="77777777" w:rsidR="00F953AE" w:rsidRPr="00F953AE" w:rsidRDefault="00F953AE" w:rsidP="00F953AE">
      <w:pPr>
        <w:pStyle w:val="ListParagraph"/>
        <w:spacing w:after="0" w:line="240" w:lineRule="auto"/>
      </w:pPr>
    </w:p>
    <w:p w14:paraId="5E6A09A5" w14:textId="03E3158E" w:rsidR="009A6B42" w:rsidRPr="00F953AE" w:rsidRDefault="009A6B42" w:rsidP="009A6B42">
      <w:pPr>
        <w:pStyle w:val="ListParagraph"/>
        <w:numPr>
          <w:ilvl w:val="1"/>
          <w:numId w:val="2"/>
        </w:numPr>
        <w:spacing w:after="0" w:line="240" w:lineRule="auto"/>
      </w:pPr>
      <w:r w:rsidRPr="00F953AE">
        <w:t>Supplemental Figure 1.</w:t>
      </w:r>
      <w:r w:rsidR="00F953AE" w:rsidRPr="00F953AE">
        <w:t xml:space="preserve"> EHR-based cohort assessment pipeline for site feasibility</w:t>
      </w:r>
    </w:p>
    <w:p w14:paraId="4B59460C" w14:textId="0184E2AB" w:rsidR="009A6B42" w:rsidRPr="00F953AE" w:rsidRDefault="009A6B42" w:rsidP="009A6B42">
      <w:pPr>
        <w:pStyle w:val="ListParagraph"/>
        <w:numPr>
          <w:ilvl w:val="1"/>
          <w:numId w:val="2"/>
        </w:numPr>
        <w:spacing w:after="0" w:line="240" w:lineRule="auto"/>
      </w:pPr>
      <w:r w:rsidRPr="00F953AE">
        <w:t>Supplemental Figure 2.</w:t>
      </w:r>
      <w:r w:rsidR="00F953AE" w:rsidRPr="00F953AE">
        <w:t xml:space="preserve"> Sample Clinician Study App</w:t>
      </w:r>
    </w:p>
    <w:p w14:paraId="2C722115" w14:textId="77777777" w:rsidR="006E3818" w:rsidRPr="00F953AE" w:rsidRDefault="006E3818" w:rsidP="006E3818">
      <w:pPr>
        <w:pStyle w:val="ListParagraph"/>
        <w:spacing w:after="0" w:line="240" w:lineRule="auto"/>
        <w:ind w:left="1080"/>
      </w:pPr>
    </w:p>
    <w:p w14:paraId="50A7B172" w14:textId="2890E51A" w:rsidR="00795392" w:rsidRDefault="00795392" w:rsidP="006E3818">
      <w:pPr>
        <w:pStyle w:val="ListParagraph"/>
        <w:numPr>
          <w:ilvl w:val="0"/>
          <w:numId w:val="2"/>
        </w:numPr>
        <w:spacing w:after="0" w:line="240" w:lineRule="auto"/>
      </w:pPr>
      <w:r>
        <w:t>ECONSENT</w:t>
      </w:r>
    </w:p>
    <w:p w14:paraId="18346ADD" w14:textId="77777777" w:rsidR="00795392" w:rsidRDefault="00795392" w:rsidP="00795392">
      <w:pPr>
        <w:pStyle w:val="ListParagraph"/>
        <w:spacing w:after="0" w:line="240" w:lineRule="auto"/>
      </w:pPr>
    </w:p>
    <w:p w14:paraId="1AFD9017" w14:textId="4C4F45C5" w:rsidR="006E3818" w:rsidRPr="00F953AE" w:rsidRDefault="006E3818" w:rsidP="006E3818">
      <w:pPr>
        <w:pStyle w:val="ListParagraph"/>
        <w:numPr>
          <w:ilvl w:val="0"/>
          <w:numId w:val="2"/>
        </w:numPr>
        <w:spacing w:after="0" w:line="240" w:lineRule="auto"/>
      </w:pPr>
      <w:r w:rsidRPr="00F953AE">
        <w:t>CAUSAL PATHWAY AND LOGIC MODELS</w:t>
      </w:r>
    </w:p>
    <w:p w14:paraId="4DDE645E" w14:textId="77777777" w:rsidR="00B87F00" w:rsidRPr="00F953AE" w:rsidRDefault="00B87F00" w:rsidP="00B87F00">
      <w:pPr>
        <w:pStyle w:val="ListParagraph"/>
        <w:spacing w:after="0" w:line="240" w:lineRule="auto"/>
      </w:pPr>
    </w:p>
    <w:p w14:paraId="20613BA7" w14:textId="6BDA4C7B" w:rsidR="00B87F00" w:rsidRPr="00F953AE" w:rsidRDefault="00795392" w:rsidP="006E3818">
      <w:pPr>
        <w:pStyle w:val="ListParagraph"/>
        <w:numPr>
          <w:ilvl w:val="0"/>
          <w:numId w:val="2"/>
        </w:numPr>
        <w:spacing w:after="0" w:line="240" w:lineRule="auto"/>
      </w:pPr>
      <w:r>
        <w:t xml:space="preserve">ADDITIONAL </w:t>
      </w:r>
      <w:r w:rsidR="00B87F00" w:rsidRPr="00F953AE">
        <w:t xml:space="preserve">RIC </w:t>
      </w:r>
      <w:r>
        <w:t>VIGNETTES</w:t>
      </w:r>
    </w:p>
    <w:p w14:paraId="006A0E90" w14:textId="77777777" w:rsidR="006E3818" w:rsidRPr="006E3818" w:rsidRDefault="006E3818" w:rsidP="006E3818">
      <w:pPr>
        <w:spacing w:after="0" w:line="240" w:lineRule="auto"/>
        <w:rPr>
          <w:b/>
          <w:bCs/>
        </w:rPr>
      </w:pPr>
    </w:p>
    <w:p w14:paraId="3E663B3C" w14:textId="77777777" w:rsidR="009A6B42" w:rsidRDefault="009A6B42" w:rsidP="009A6B42">
      <w:pPr>
        <w:spacing w:after="0" w:line="240" w:lineRule="auto"/>
        <w:rPr>
          <w:b/>
          <w:bCs/>
        </w:rPr>
      </w:pPr>
    </w:p>
    <w:p w14:paraId="2C47B319" w14:textId="77777777" w:rsidR="009A6B42" w:rsidRDefault="009A6B42" w:rsidP="009A6B42">
      <w:pPr>
        <w:spacing w:after="0" w:line="240" w:lineRule="auto"/>
        <w:rPr>
          <w:b/>
          <w:bCs/>
        </w:rPr>
      </w:pPr>
    </w:p>
    <w:p w14:paraId="3EAB9006" w14:textId="77777777" w:rsidR="00815660" w:rsidRDefault="00815660">
      <w:pPr>
        <w:rPr>
          <w:b/>
          <w:bCs/>
        </w:rPr>
      </w:pPr>
      <w:r>
        <w:rPr>
          <w:b/>
          <w:bCs/>
        </w:rPr>
        <w:br w:type="page"/>
      </w:r>
    </w:p>
    <w:p w14:paraId="6FC32A05" w14:textId="3C87BEB2" w:rsidR="009A6B42" w:rsidRPr="00B87F00" w:rsidRDefault="009A6B42" w:rsidP="00B87F00">
      <w:pPr>
        <w:pStyle w:val="ListParagraph"/>
        <w:numPr>
          <w:ilvl w:val="0"/>
          <w:numId w:val="4"/>
        </w:numPr>
        <w:spacing w:after="0" w:line="240" w:lineRule="auto"/>
        <w:rPr>
          <w:b/>
          <w:bCs/>
        </w:rPr>
      </w:pPr>
      <w:r w:rsidRPr="00B87F00">
        <w:rPr>
          <w:b/>
          <w:bCs/>
        </w:rPr>
        <w:lastRenderedPageBreak/>
        <w:t>SUPPLEMENTAL TABLES</w:t>
      </w:r>
    </w:p>
    <w:p w14:paraId="265A1C07" w14:textId="77777777" w:rsidR="009A6B42" w:rsidRDefault="009A6B42" w:rsidP="009A6B42">
      <w:pPr>
        <w:spacing w:after="0" w:line="240" w:lineRule="auto"/>
        <w:rPr>
          <w:b/>
          <w:bCs/>
        </w:rPr>
      </w:pPr>
    </w:p>
    <w:p w14:paraId="477E568D" w14:textId="4A3404AC" w:rsidR="00407D1D" w:rsidRDefault="00407D1D" w:rsidP="00407D1D">
      <w:pPr>
        <w:spacing w:after="0" w:line="240" w:lineRule="auto"/>
      </w:pPr>
      <w:bookmarkStart w:id="0" w:name="_Hlk75266717"/>
    </w:p>
    <w:p w14:paraId="48A42029" w14:textId="4C26DDA6" w:rsidR="00407D1D" w:rsidRPr="00F953AE" w:rsidRDefault="00407D1D" w:rsidP="00407D1D">
      <w:pPr>
        <w:spacing w:after="0" w:line="240" w:lineRule="auto"/>
      </w:pPr>
      <w:r w:rsidRPr="00407D1D">
        <w:rPr>
          <w:b/>
          <w:bCs/>
        </w:rPr>
        <w:t xml:space="preserve">Supplemental Table 1. </w:t>
      </w:r>
      <w:bookmarkStart w:id="1" w:name="_Hlk75416439"/>
      <w:r w:rsidRPr="00F953AE">
        <w:t xml:space="preserve">Results of 2016 survey of CTSAs – </w:t>
      </w:r>
      <w:r w:rsidR="006D3854" w:rsidRPr="00F953AE">
        <w:t>Perceived u</w:t>
      </w:r>
      <w:r w:rsidR="00BE2C25" w:rsidRPr="00F953AE">
        <w:t>sefulness of p</w:t>
      </w:r>
      <w:r w:rsidRPr="00F953AE">
        <w:t xml:space="preserve">otential RIC </w:t>
      </w:r>
      <w:r w:rsidR="006D3854" w:rsidRPr="00F953AE">
        <w:t>r</w:t>
      </w:r>
      <w:r w:rsidRPr="00F953AE">
        <w:t xml:space="preserve">esources </w:t>
      </w:r>
    </w:p>
    <w:bookmarkEnd w:id="1"/>
    <w:p w14:paraId="78345232" w14:textId="7C1A1AD3" w:rsidR="00407D1D" w:rsidRDefault="00407D1D" w:rsidP="00407D1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85"/>
        <w:gridCol w:w="1805"/>
      </w:tblGrid>
      <w:tr w:rsidR="00407D1D" w14:paraId="3E72AEB1" w14:textId="77777777" w:rsidTr="007C14FA">
        <w:tc>
          <w:tcPr>
            <w:tcW w:w="5485" w:type="dxa"/>
          </w:tcPr>
          <w:p w14:paraId="37C4C5E1" w14:textId="77777777" w:rsidR="00885992" w:rsidRDefault="00885992" w:rsidP="00407D1D"/>
          <w:p w14:paraId="7FA46208" w14:textId="72F4E366" w:rsidR="00407D1D" w:rsidRPr="00815660" w:rsidRDefault="00407D1D" w:rsidP="00407D1D">
            <w:pPr>
              <w:rPr>
                <w:b/>
                <w:bCs/>
              </w:rPr>
            </w:pPr>
            <w:r w:rsidRPr="00815660">
              <w:rPr>
                <w:b/>
                <w:bCs/>
              </w:rPr>
              <w:t>Potential RIC Resource</w:t>
            </w:r>
          </w:p>
        </w:tc>
        <w:tc>
          <w:tcPr>
            <w:tcW w:w="1805" w:type="dxa"/>
          </w:tcPr>
          <w:p w14:paraId="6021F229" w14:textId="5C0B7AD8" w:rsidR="00407D1D" w:rsidRDefault="007D7E9B" w:rsidP="006237E8">
            <w:pPr>
              <w:jc w:val="center"/>
            </w:pPr>
            <w:r w:rsidRPr="00815660">
              <w:rPr>
                <w:b/>
                <w:bCs/>
              </w:rPr>
              <w:t>E</w:t>
            </w:r>
            <w:r w:rsidR="00407D1D" w:rsidRPr="00815660">
              <w:rPr>
                <w:b/>
                <w:bCs/>
              </w:rPr>
              <w:t>xtremely or very useful</w:t>
            </w:r>
            <w:r>
              <w:t xml:space="preserve"> (n=53)</w:t>
            </w:r>
          </w:p>
          <w:p w14:paraId="6051D559" w14:textId="1153EF2E" w:rsidR="007C14FA" w:rsidRPr="007C14FA" w:rsidRDefault="007C14FA" w:rsidP="006237E8">
            <w:pPr>
              <w:jc w:val="center"/>
              <w:rPr>
                <w:b/>
                <w:bCs/>
              </w:rPr>
            </w:pPr>
            <w:r w:rsidRPr="007C14FA">
              <w:rPr>
                <w:b/>
                <w:bCs/>
              </w:rPr>
              <w:t>%</w:t>
            </w:r>
          </w:p>
        </w:tc>
      </w:tr>
      <w:tr w:rsidR="00407D1D" w14:paraId="5A8BE159" w14:textId="77777777" w:rsidTr="007C14FA">
        <w:tc>
          <w:tcPr>
            <w:tcW w:w="5485" w:type="dxa"/>
          </w:tcPr>
          <w:p w14:paraId="50A4A3B3" w14:textId="3A359E28" w:rsidR="00407D1D" w:rsidRDefault="00407D1D" w:rsidP="00407D1D">
            <w:r>
              <w:t>Tools to support social media</w:t>
            </w:r>
          </w:p>
        </w:tc>
        <w:tc>
          <w:tcPr>
            <w:tcW w:w="1805" w:type="dxa"/>
          </w:tcPr>
          <w:p w14:paraId="5728FD57" w14:textId="2871BAD9" w:rsidR="00407D1D" w:rsidRDefault="007D7E9B" w:rsidP="006237E8">
            <w:pPr>
              <w:jc w:val="center"/>
            </w:pPr>
            <w:r>
              <w:t>7</w:t>
            </w:r>
            <w:r w:rsidR="007C14FA">
              <w:t>5</w:t>
            </w:r>
            <w:r>
              <w:t xml:space="preserve"> </w:t>
            </w:r>
          </w:p>
        </w:tc>
      </w:tr>
      <w:tr w:rsidR="00407D1D" w14:paraId="44C2B266" w14:textId="77777777" w:rsidTr="007C14FA">
        <w:tc>
          <w:tcPr>
            <w:tcW w:w="5485" w:type="dxa"/>
          </w:tcPr>
          <w:p w14:paraId="4350FF01" w14:textId="4EB57955" w:rsidR="00407D1D" w:rsidRDefault="00407D1D" w:rsidP="00407D1D">
            <w:r>
              <w:t>Tools to support identification of potential participants</w:t>
            </w:r>
          </w:p>
        </w:tc>
        <w:tc>
          <w:tcPr>
            <w:tcW w:w="1805" w:type="dxa"/>
          </w:tcPr>
          <w:p w14:paraId="1553A3E1" w14:textId="342468CE" w:rsidR="00407D1D" w:rsidRDefault="00BE2C25" w:rsidP="006237E8">
            <w:pPr>
              <w:jc w:val="center"/>
            </w:pPr>
            <w:r>
              <w:t>74</w:t>
            </w:r>
          </w:p>
        </w:tc>
      </w:tr>
      <w:tr w:rsidR="00407D1D" w14:paraId="4C6E0A8C" w14:textId="77777777" w:rsidTr="007C14FA">
        <w:tc>
          <w:tcPr>
            <w:tcW w:w="5485" w:type="dxa"/>
          </w:tcPr>
          <w:p w14:paraId="7C42CDB7" w14:textId="651DB75A" w:rsidR="00407D1D" w:rsidRDefault="00407D1D" w:rsidP="00407D1D">
            <w:r>
              <w:t>Evaluation of recruitment and retention</w:t>
            </w:r>
          </w:p>
        </w:tc>
        <w:tc>
          <w:tcPr>
            <w:tcW w:w="1805" w:type="dxa"/>
          </w:tcPr>
          <w:p w14:paraId="29DADD71" w14:textId="793A98B5" w:rsidR="00407D1D" w:rsidRDefault="00BE2C25" w:rsidP="006237E8">
            <w:pPr>
              <w:jc w:val="center"/>
            </w:pPr>
            <w:r>
              <w:t>72</w:t>
            </w:r>
          </w:p>
        </w:tc>
      </w:tr>
      <w:tr w:rsidR="00407D1D" w14:paraId="7E03012E" w14:textId="77777777" w:rsidTr="007C14FA">
        <w:tc>
          <w:tcPr>
            <w:tcW w:w="5485" w:type="dxa"/>
          </w:tcPr>
          <w:p w14:paraId="3497762D" w14:textId="5203AE5E" w:rsidR="00407D1D" w:rsidRDefault="00407D1D" w:rsidP="00407D1D">
            <w:r>
              <w:t>Development of population-specific recruitment materials</w:t>
            </w:r>
          </w:p>
        </w:tc>
        <w:tc>
          <w:tcPr>
            <w:tcW w:w="1805" w:type="dxa"/>
          </w:tcPr>
          <w:p w14:paraId="319D639B" w14:textId="4516F515" w:rsidR="00407D1D" w:rsidRDefault="00BE2C25" w:rsidP="006237E8">
            <w:pPr>
              <w:jc w:val="center"/>
            </w:pPr>
            <w:r>
              <w:t>66</w:t>
            </w:r>
          </w:p>
        </w:tc>
      </w:tr>
      <w:tr w:rsidR="00407D1D" w14:paraId="6EA1583E" w14:textId="77777777" w:rsidTr="007C14FA">
        <w:tc>
          <w:tcPr>
            <w:tcW w:w="5485" w:type="dxa"/>
          </w:tcPr>
          <w:p w14:paraId="545133AD" w14:textId="71EC8581" w:rsidR="00407D1D" w:rsidRDefault="00407D1D" w:rsidP="00407D1D">
            <w:r>
              <w:t>Training in best practices</w:t>
            </w:r>
          </w:p>
        </w:tc>
        <w:tc>
          <w:tcPr>
            <w:tcW w:w="1805" w:type="dxa"/>
          </w:tcPr>
          <w:p w14:paraId="4A385854" w14:textId="4A2ECA1B" w:rsidR="00407D1D" w:rsidRDefault="00BE2C25" w:rsidP="006237E8">
            <w:pPr>
              <w:jc w:val="center"/>
            </w:pPr>
            <w:r>
              <w:t>64</w:t>
            </w:r>
          </w:p>
        </w:tc>
      </w:tr>
      <w:tr w:rsidR="00407D1D" w14:paraId="1AC7E1A8" w14:textId="77777777" w:rsidTr="007C14FA">
        <w:tc>
          <w:tcPr>
            <w:tcW w:w="5485" w:type="dxa"/>
          </w:tcPr>
          <w:p w14:paraId="3EC33889" w14:textId="1274B531" w:rsidR="00407D1D" w:rsidRDefault="007D7E9B" w:rsidP="00407D1D">
            <w:r>
              <w:t>Materials to support community engagement</w:t>
            </w:r>
          </w:p>
        </w:tc>
        <w:tc>
          <w:tcPr>
            <w:tcW w:w="1805" w:type="dxa"/>
          </w:tcPr>
          <w:p w14:paraId="625CBCE7" w14:textId="71D220B9" w:rsidR="00407D1D" w:rsidRDefault="00BE2C25" w:rsidP="006237E8">
            <w:pPr>
              <w:jc w:val="center"/>
            </w:pPr>
            <w:r>
              <w:t>64</w:t>
            </w:r>
          </w:p>
        </w:tc>
      </w:tr>
      <w:tr w:rsidR="00407D1D" w14:paraId="01DA9F4C" w14:textId="77777777" w:rsidTr="007C14FA">
        <w:tc>
          <w:tcPr>
            <w:tcW w:w="5485" w:type="dxa"/>
          </w:tcPr>
          <w:p w14:paraId="0128A78D" w14:textId="26DAEF9F" w:rsidR="00407D1D" w:rsidRDefault="007D7E9B" w:rsidP="00407D1D">
            <w:r>
              <w:t>Tools to support EHR use</w:t>
            </w:r>
          </w:p>
        </w:tc>
        <w:tc>
          <w:tcPr>
            <w:tcW w:w="1805" w:type="dxa"/>
          </w:tcPr>
          <w:p w14:paraId="0FB08492" w14:textId="649149BF" w:rsidR="00407D1D" w:rsidRDefault="00BE2C25" w:rsidP="006237E8">
            <w:pPr>
              <w:jc w:val="center"/>
            </w:pPr>
            <w:r>
              <w:t>64</w:t>
            </w:r>
          </w:p>
        </w:tc>
      </w:tr>
      <w:tr w:rsidR="007D7E9B" w14:paraId="3DEE6D65" w14:textId="77777777" w:rsidTr="007C14FA">
        <w:tc>
          <w:tcPr>
            <w:tcW w:w="5485" w:type="dxa"/>
          </w:tcPr>
          <w:p w14:paraId="76E38830" w14:textId="65D4FB29" w:rsidR="007D7E9B" w:rsidRDefault="007D7E9B" w:rsidP="00407D1D">
            <w:r>
              <w:t>Assistance with returning study results</w:t>
            </w:r>
          </w:p>
        </w:tc>
        <w:tc>
          <w:tcPr>
            <w:tcW w:w="1805" w:type="dxa"/>
          </w:tcPr>
          <w:p w14:paraId="11ECA123" w14:textId="5532B947" w:rsidR="007D7E9B" w:rsidRDefault="00BE2C25" w:rsidP="006237E8">
            <w:pPr>
              <w:jc w:val="center"/>
            </w:pPr>
            <w:r>
              <w:t>60</w:t>
            </w:r>
          </w:p>
        </w:tc>
      </w:tr>
      <w:tr w:rsidR="007D7E9B" w14:paraId="78E1D2FF" w14:textId="77777777" w:rsidTr="007C14FA">
        <w:tc>
          <w:tcPr>
            <w:tcW w:w="5485" w:type="dxa"/>
          </w:tcPr>
          <w:p w14:paraId="64BA2D17" w14:textId="477E49FB" w:rsidR="007D7E9B" w:rsidRDefault="007D7E9B" w:rsidP="00407D1D">
            <w:r>
              <w:t>Resources for online presence for recruiting participants</w:t>
            </w:r>
          </w:p>
        </w:tc>
        <w:tc>
          <w:tcPr>
            <w:tcW w:w="1805" w:type="dxa"/>
          </w:tcPr>
          <w:p w14:paraId="5560AD36" w14:textId="50E27D26" w:rsidR="007D7E9B" w:rsidRDefault="00BE2C25" w:rsidP="006237E8">
            <w:pPr>
              <w:jc w:val="center"/>
            </w:pPr>
            <w:r>
              <w:t>60</w:t>
            </w:r>
          </w:p>
        </w:tc>
      </w:tr>
      <w:tr w:rsidR="007D7E9B" w14:paraId="4F58BB65" w14:textId="77777777" w:rsidTr="007C14FA">
        <w:tc>
          <w:tcPr>
            <w:tcW w:w="5485" w:type="dxa"/>
          </w:tcPr>
          <w:p w14:paraId="3E4F95B8" w14:textId="2A89AAFD" w:rsidR="007D7E9B" w:rsidRDefault="007D7E9B" w:rsidP="00407D1D">
            <w:r>
              <w:t>Feasibility assessment</w:t>
            </w:r>
          </w:p>
        </w:tc>
        <w:tc>
          <w:tcPr>
            <w:tcW w:w="1805" w:type="dxa"/>
          </w:tcPr>
          <w:p w14:paraId="0E2F8046" w14:textId="1BE7F279" w:rsidR="007D7E9B" w:rsidRDefault="00BE2C25" w:rsidP="006237E8">
            <w:pPr>
              <w:jc w:val="center"/>
            </w:pPr>
            <w:r>
              <w:t>53</w:t>
            </w:r>
            <w:r w:rsidR="007D7E9B">
              <w:t xml:space="preserve"> </w:t>
            </w:r>
          </w:p>
        </w:tc>
      </w:tr>
      <w:tr w:rsidR="007D7E9B" w14:paraId="5468B026" w14:textId="77777777" w:rsidTr="007C14FA">
        <w:tc>
          <w:tcPr>
            <w:tcW w:w="5485" w:type="dxa"/>
          </w:tcPr>
          <w:p w14:paraId="6D34A217" w14:textId="30450804" w:rsidR="007D7E9B" w:rsidRDefault="007D7E9B" w:rsidP="00407D1D">
            <w:r>
              <w:t>Tools to assess participant experience</w:t>
            </w:r>
          </w:p>
        </w:tc>
        <w:tc>
          <w:tcPr>
            <w:tcW w:w="1805" w:type="dxa"/>
          </w:tcPr>
          <w:p w14:paraId="173B2E37" w14:textId="009F37E2" w:rsidR="007D7E9B" w:rsidRDefault="00BE2C25" w:rsidP="006237E8">
            <w:pPr>
              <w:jc w:val="center"/>
            </w:pPr>
            <w:r>
              <w:t>51</w:t>
            </w:r>
          </w:p>
        </w:tc>
      </w:tr>
      <w:tr w:rsidR="007D7E9B" w14:paraId="6106C31D" w14:textId="77777777" w:rsidTr="007C14FA">
        <w:tc>
          <w:tcPr>
            <w:tcW w:w="5485" w:type="dxa"/>
          </w:tcPr>
          <w:p w14:paraId="5B5E1C13" w14:textId="129323C5" w:rsidR="007D7E9B" w:rsidRDefault="007D7E9B" w:rsidP="00407D1D">
            <w:r>
              <w:t>Tools to build trust</w:t>
            </w:r>
          </w:p>
        </w:tc>
        <w:tc>
          <w:tcPr>
            <w:tcW w:w="1805" w:type="dxa"/>
          </w:tcPr>
          <w:p w14:paraId="4467E69C" w14:textId="772F932B" w:rsidR="007D7E9B" w:rsidRDefault="00BE2C25" w:rsidP="006237E8">
            <w:pPr>
              <w:jc w:val="center"/>
            </w:pPr>
            <w:r>
              <w:t>47</w:t>
            </w:r>
            <w:r w:rsidR="007D7E9B">
              <w:t xml:space="preserve"> </w:t>
            </w:r>
          </w:p>
        </w:tc>
      </w:tr>
      <w:tr w:rsidR="007D7E9B" w14:paraId="4BB753F4" w14:textId="77777777" w:rsidTr="007C14FA">
        <w:tc>
          <w:tcPr>
            <w:tcW w:w="5485" w:type="dxa"/>
          </w:tcPr>
          <w:p w14:paraId="25A18635" w14:textId="569233D5" w:rsidR="007D7E9B" w:rsidRDefault="007D7E9B" w:rsidP="00407D1D">
            <w:r>
              <w:t>Creation or revision of recruitment plans</w:t>
            </w:r>
          </w:p>
        </w:tc>
        <w:tc>
          <w:tcPr>
            <w:tcW w:w="1805" w:type="dxa"/>
          </w:tcPr>
          <w:p w14:paraId="40A66D2E" w14:textId="3393A2FF" w:rsidR="007D7E9B" w:rsidRDefault="00BE2C25" w:rsidP="006237E8">
            <w:pPr>
              <w:jc w:val="center"/>
            </w:pPr>
            <w:r>
              <w:t>43</w:t>
            </w:r>
          </w:p>
        </w:tc>
      </w:tr>
    </w:tbl>
    <w:p w14:paraId="1084173A" w14:textId="77777777" w:rsidR="00407D1D" w:rsidRPr="00B8052B" w:rsidRDefault="00407D1D" w:rsidP="00407D1D">
      <w:pPr>
        <w:spacing w:after="0" w:line="240" w:lineRule="auto"/>
      </w:pPr>
    </w:p>
    <w:bookmarkEnd w:id="0"/>
    <w:p w14:paraId="496D8C05" w14:textId="77777777" w:rsidR="00815660" w:rsidRDefault="00815660">
      <w:pPr>
        <w:rPr>
          <w:b/>
          <w:bCs/>
        </w:rPr>
      </w:pPr>
      <w:r>
        <w:rPr>
          <w:b/>
          <w:bCs/>
        </w:rPr>
        <w:br w:type="page"/>
      </w:r>
    </w:p>
    <w:p w14:paraId="4E63E645" w14:textId="56C11C75" w:rsidR="006C4793" w:rsidRDefault="001561A2" w:rsidP="006C4793">
      <w:pPr>
        <w:spacing w:after="0" w:line="240" w:lineRule="auto"/>
        <w:rPr>
          <w:b/>
          <w:bCs/>
        </w:rPr>
      </w:pPr>
      <w:r w:rsidRPr="009A6B42">
        <w:rPr>
          <w:b/>
          <w:bCs/>
        </w:rPr>
        <w:lastRenderedPageBreak/>
        <w:t xml:space="preserve">Supplemental Table </w:t>
      </w:r>
      <w:r>
        <w:rPr>
          <w:b/>
          <w:bCs/>
        </w:rPr>
        <w:t>2</w:t>
      </w:r>
      <w:r w:rsidRPr="001561A2">
        <w:rPr>
          <w:b/>
          <w:bCs/>
        </w:rPr>
        <w:t xml:space="preserve">. </w:t>
      </w:r>
      <w:bookmarkStart w:id="2" w:name="_Hlk75264674"/>
      <w:bookmarkStart w:id="3" w:name="_Hlk75868164"/>
      <w:r w:rsidR="006C4793" w:rsidRPr="00F953AE">
        <w:t xml:space="preserve">Results of 2016 survey of CTSAs – Additional areas of recruitment </w:t>
      </w:r>
      <w:proofErr w:type="gramStart"/>
      <w:r w:rsidR="006C4793" w:rsidRPr="00F953AE">
        <w:t>n</w:t>
      </w:r>
      <w:bookmarkEnd w:id="2"/>
      <w:r w:rsidR="006C4793" w:rsidRPr="00F953AE">
        <w:t>eed</w:t>
      </w:r>
      <w:bookmarkEnd w:id="3"/>
      <w:proofErr w:type="gramEnd"/>
    </w:p>
    <w:p w14:paraId="6985C546" w14:textId="77777777" w:rsidR="006C4793" w:rsidRPr="00B8052B" w:rsidRDefault="006C4793" w:rsidP="006C4793">
      <w:pPr>
        <w:spacing w:after="0" w:line="240" w:lineRule="auto"/>
      </w:pPr>
    </w:p>
    <w:p w14:paraId="4BEDF0F6" w14:textId="77777777" w:rsidR="006C4793" w:rsidRPr="00B8052B" w:rsidRDefault="006C4793" w:rsidP="006C4793">
      <w:pPr>
        <w:numPr>
          <w:ilvl w:val="0"/>
          <w:numId w:val="1"/>
        </w:numPr>
        <w:spacing w:after="0" w:line="240" w:lineRule="auto"/>
      </w:pPr>
      <w:r w:rsidRPr="00B8052B">
        <w:t>Complicated trials with narrow eligibility criteria</w:t>
      </w:r>
    </w:p>
    <w:p w14:paraId="0241E1BE" w14:textId="77777777" w:rsidR="006C4793" w:rsidRPr="00B8052B" w:rsidRDefault="006C4793" w:rsidP="006C4793">
      <w:pPr>
        <w:numPr>
          <w:ilvl w:val="0"/>
          <w:numId w:val="1"/>
        </w:numPr>
        <w:spacing w:after="0" w:line="240" w:lineRule="auto"/>
      </w:pPr>
      <w:r w:rsidRPr="00B8052B">
        <w:t>National trials with specific minority recruitment needs</w:t>
      </w:r>
    </w:p>
    <w:p w14:paraId="347DD75E" w14:textId="77777777" w:rsidR="006C4793" w:rsidRPr="00B8052B" w:rsidRDefault="006C4793" w:rsidP="006C4793">
      <w:pPr>
        <w:numPr>
          <w:ilvl w:val="0"/>
          <w:numId w:val="1"/>
        </w:numPr>
        <w:spacing w:after="0" w:line="240" w:lineRule="auto"/>
      </w:pPr>
      <w:r w:rsidRPr="00B8052B">
        <w:t>Undiagnosed condition trials (e.g., prediabetes, mild hypertension, depression)</w:t>
      </w:r>
    </w:p>
    <w:p w14:paraId="5ABC0478" w14:textId="77777777" w:rsidR="006C4793" w:rsidRPr="00B8052B" w:rsidRDefault="006C4793" w:rsidP="006C4793">
      <w:pPr>
        <w:numPr>
          <w:ilvl w:val="0"/>
          <w:numId w:val="1"/>
        </w:numPr>
        <w:spacing w:after="0" w:line="240" w:lineRule="auto"/>
      </w:pPr>
      <w:r w:rsidRPr="00B8052B">
        <w:t xml:space="preserve">Web-based screening that can miss large </w:t>
      </w:r>
      <w:proofErr w:type="gramStart"/>
      <w:r w:rsidRPr="00B8052B">
        <w:t>populations</w:t>
      </w:r>
      <w:proofErr w:type="gramEnd"/>
      <w:r w:rsidRPr="00B8052B">
        <w:t xml:space="preserve"> </w:t>
      </w:r>
    </w:p>
    <w:p w14:paraId="7A045FD5" w14:textId="77777777" w:rsidR="006C4793" w:rsidRPr="00B8052B" w:rsidRDefault="006C4793" w:rsidP="006C4793">
      <w:pPr>
        <w:numPr>
          <w:ilvl w:val="0"/>
          <w:numId w:val="1"/>
        </w:numPr>
        <w:spacing w:after="0" w:line="240" w:lineRule="auto"/>
      </w:pPr>
      <w:r w:rsidRPr="00B8052B">
        <w:t>Engaging vulnerable populations</w:t>
      </w:r>
    </w:p>
    <w:p w14:paraId="14DD7255" w14:textId="6787634C" w:rsidR="006C4793" w:rsidRDefault="006C4793" w:rsidP="006C4793">
      <w:pPr>
        <w:numPr>
          <w:ilvl w:val="0"/>
          <w:numId w:val="1"/>
        </w:numPr>
        <w:spacing w:after="0" w:line="240" w:lineRule="auto"/>
      </w:pPr>
      <w:r w:rsidRPr="00B8052B">
        <w:t xml:space="preserve">Logistics issues needing pre-trial </w:t>
      </w:r>
      <w:proofErr w:type="gramStart"/>
      <w:r w:rsidRPr="00B8052B">
        <w:t>identification</w:t>
      </w:r>
      <w:proofErr w:type="gramEnd"/>
    </w:p>
    <w:p w14:paraId="4FF94BFA" w14:textId="29E488D8" w:rsidR="00885992" w:rsidRDefault="00885992" w:rsidP="00885992">
      <w:pPr>
        <w:spacing w:after="0" w:line="240" w:lineRule="auto"/>
      </w:pPr>
    </w:p>
    <w:p w14:paraId="7011755B" w14:textId="77777777" w:rsidR="00815660" w:rsidRDefault="00815660">
      <w:pPr>
        <w:rPr>
          <w:b/>
          <w:bCs/>
        </w:rPr>
      </w:pPr>
      <w:bookmarkStart w:id="4" w:name="_Hlk75504856"/>
      <w:bookmarkStart w:id="5" w:name="_Hlk75505629"/>
      <w:r>
        <w:rPr>
          <w:b/>
          <w:bCs/>
        </w:rPr>
        <w:br w:type="page"/>
      </w:r>
    </w:p>
    <w:bookmarkEnd w:id="4"/>
    <w:bookmarkEnd w:id="5"/>
    <w:p w14:paraId="371DB724" w14:textId="64635AD0" w:rsidR="00B25CD5" w:rsidRPr="00F953AE" w:rsidRDefault="00B25CD5" w:rsidP="009A6B42">
      <w:pPr>
        <w:spacing w:line="240" w:lineRule="auto"/>
      </w:pPr>
      <w:r w:rsidRPr="00B8052B">
        <w:rPr>
          <w:b/>
          <w:bCs/>
        </w:rPr>
        <w:lastRenderedPageBreak/>
        <w:t xml:space="preserve">Supplemental Table </w:t>
      </w:r>
      <w:r w:rsidR="0039787D">
        <w:rPr>
          <w:b/>
          <w:bCs/>
        </w:rPr>
        <w:t>3</w:t>
      </w:r>
      <w:r w:rsidRPr="00B8052B">
        <w:rPr>
          <w:b/>
          <w:bCs/>
        </w:rPr>
        <w:t xml:space="preserve">. </w:t>
      </w:r>
      <w:r w:rsidRPr="00F953AE">
        <w:t>Disease areas represented</w:t>
      </w:r>
      <w:r w:rsidR="009A6B42" w:rsidRPr="00F953AE">
        <w:t xml:space="preserve"> among studies receiving RIC </w:t>
      </w:r>
      <w:proofErr w:type="gramStart"/>
      <w:r w:rsidR="009A6B42" w:rsidRPr="00F953AE">
        <w:t>consultations</w:t>
      </w:r>
      <w:proofErr w:type="gramEnd"/>
    </w:p>
    <w:p w14:paraId="0A07B6C6" w14:textId="77777777" w:rsidR="00B25CD5" w:rsidRDefault="00B25CD5" w:rsidP="009A6B42">
      <w:pPr>
        <w:pStyle w:val="NormalWeb"/>
        <w:spacing w:before="0" w:beforeAutospacing="0" w:after="0" w:afterAutospacing="0"/>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05"/>
        <w:gridCol w:w="720"/>
      </w:tblGrid>
      <w:tr w:rsidR="00B25CD5" w14:paraId="47BF4CAC" w14:textId="77777777" w:rsidTr="00F953AE">
        <w:tc>
          <w:tcPr>
            <w:tcW w:w="3505" w:type="dxa"/>
          </w:tcPr>
          <w:p w14:paraId="64FB8379" w14:textId="77777777" w:rsidR="00B25CD5" w:rsidRPr="00845CC5" w:rsidRDefault="00B25CD5" w:rsidP="009A6B42">
            <w:pPr>
              <w:rPr>
                <w:b/>
                <w:bCs/>
              </w:rPr>
            </w:pPr>
            <w:r w:rsidRPr="00845CC5">
              <w:rPr>
                <w:b/>
                <w:bCs/>
              </w:rPr>
              <w:t>Disease Area</w:t>
            </w:r>
          </w:p>
        </w:tc>
        <w:tc>
          <w:tcPr>
            <w:tcW w:w="720" w:type="dxa"/>
          </w:tcPr>
          <w:p w14:paraId="1FEFA5FB" w14:textId="77777777" w:rsidR="00B25CD5" w:rsidRDefault="00B25CD5" w:rsidP="009A6B42">
            <w:pPr>
              <w:jc w:val="center"/>
            </w:pPr>
            <w:r>
              <w:t>%</w:t>
            </w:r>
          </w:p>
        </w:tc>
      </w:tr>
      <w:tr w:rsidR="00B25CD5" w:rsidRPr="00815660" w14:paraId="175299B6" w14:textId="77777777" w:rsidTr="00F953AE">
        <w:tc>
          <w:tcPr>
            <w:tcW w:w="3505" w:type="dxa"/>
          </w:tcPr>
          <w:p w14:paraId="10ED4F0F" w14:textId="77777777" w:rsidR="00B25CD5" w:rsidRPr="00815660" w:rsidRDefault="00B25CD5" w:rsidP="009A6B42">
            <w:pPr>
              <w:rPr>
                <w:sz w:val="18"/>
                <w:szCs w:val="18"/>
              </w:rPr>
            </w:pPr>
            <w:r w:rsidRPr="00815660">
              <w:rPr>
                <w:sz w:val="18"/>
                <w:szCs w:val="18"/>
              </w:rPr>
              <w:t>Cardiovascular diseases</w:t>
            </w:r>
          </w:p>
        </w:tc>
        <w:tc>
          <w:tcPr>
            <w:tcW w:w="720" w:type="dxa"/>
          </w:tcPr>
          <w:p w14:paraId="7AFEAD7D" w14:textId="77777777" w:rsidR="00B25CD5" w:rsidRPr="00815660" w:rsidRDefault="00B25CD5" w:rsidP="009A6B42">
            <w:pPr>
              <w:jc w:val="center"/>
              <w:rPr>
                <w:sz w:val="18"/>
                <w:szCs w:val="18"/>
              </w:rPr>
            </w:pPr>
            <w:r w:rsidRPr="00815660">
              <w:rPr>
                <w:sz w:val="18"/>
                <w:szCs w:val="18"/>
              </w:rPr>
              <w:t>14</w:t>
            </w:r>
          </w:p>
        </w:tc>
      </w:tr>
      <w:tr w:rsidR="00B25CD5" w:rsidRPr="00815660" w14:paraId="76D78258" w14:textId="77777777" w:rsidTr="00F953AE">
        <w:tc>
          <w:tcPr>
            <w:tcW w:w="3505" w:type="dxa"/>
          </w:tcPr>
          <w:p w14:paraId="56DF93FD" w14:textId="77777777" w:rsidR="00B25CD5" w:rsidRPr="00815660" w:rsidRDefault="00B25CD5" w:rsidP="009A6B42">
            <w:pPr>
              <w:rPr>
                <w:sz w:val="18"/>
                <w:szCs w:val="18"/>
              </w:rPr>
            </w:pPr>
            <w:r w:rsidRPr="00815660">
              <w:rPr>
                <w:sz w:val="18"/>
                <w:szCs w:val="18"/>
              </w:rPr>
              <w:t>Infectious diseases</w:t>
            </w:r>
          </w:p>
        </w:tc>
        <w:tc>
          <w:tcPr>
            <w:tcW w:w="720" w:type="dxa"/>
          </w:tcPr>
          <w:p w14:paraId="5A3D2594" w14:textId="77777777" w:rsidR="00B25CD5" w:rsidRPr="00815660" w:rsidRDefault="00B25CD5" w:rsidP="009A6B42">
            <w:pPr>
              <w:jc w:val="center"/>
              <w:rPr>
                <w:sz w:val="18"/>
                <w:szCs w:val="18"/>
              </w:rPr>
            </w:pPr>
            <w:r w:rsidRPr="00815660">
              <w:rPr>
                <w:sz w:val="18"/>
                <w:szCs w:val="18"/>
              </w:rPr>
              <w:t>8</w:t>
            </w:r>
          </w:p>
        </w:tc>
      </w:tr>
      <w:tr w:rsidR="00B25CD5" w:rsidRPr="00815660" w14:paraId="571D68FC" w14:textId="77777777" w:rsidTr="00F953AE">
        <w:tc>
          <w:tcPr>
            <w:tcW w:w="3505" w:type="dxa"/>
          </w:tcPr>
          <w:p w14:paraId="44B0532B" w14:textId="77777777" w:rsidR="00B25CD5" w:rsidRPr="00815660" w:rsidRDefault="00B25CD5" w:rsidP="009A6B42">
            <w:pPr>
              <w:rPr>
                <w:sz w:val="18"/>
                <w:szCs w:val="18"/>
              </w:rPr>
            </w:pPr>
            <w:r w:rsidRPr="00815660">
              <w:rPr>
                <w:sz w:val="18"/>
                <w:szCs w:val="18"/>
              </w:rPr>
              <w:t>Neurology</w:t>
            </w:r>
          </w:p>
        </w:tc>
        <w:tc>
          <w:tcPr>
            <w:tcW w:w="720" w:type="dxa"/>
          </w:tcPr>
          <w:p w14:paraId="3B73735C" w14:textId="77777777" w:rsidR="00B25CD5" w:rsidRPr="00815660" w:rsidRDefault="00B25CD5" w:rsidP="009A6B42">
            <w:pPr>
              <w:jc w:val="center"/>
              <w:rPr>
                <w:sz w:val="18"/>
                <w:szCs w:val="18"/>
              </w:rPr>
            </w:pPr>
            <w:r w:rsidRPr="00815660">
              <w:rPr>
                <w:sz w:val="18"/>
                <w:szCs w:val="18"/>
              </w:rPr>
              <w:t>8</w:t>
            </w:r>
          </w:p>
        </w:tc>
      </w:tr>
      <w:tr w:rsidR="00B25CD5" w:rsidRPr="00815660" w14:paraId="05EC5377" w14:textId="77777777" w:rsidTr="00F953AE">
        <w:tc>
          <w:tcPr>
            <w:tcW w:w="3505" w:type="dxa"/>
          </w:tcPr>
          <w:p w14:paraId="1E518036" w14:textId="77777777" w:rsidR="00B25CD5" w:rsidRPr="00815660" w:rsidRDefault="00B25CD5" w:rsidP="009A6B42">
            <w:pPr>
              <w:rPr>
                <w:sz w:val="18"/>
                <w:szCs w:val="18"/>
              </w:rPr>
            </w:pPr>
            <w:r w:rsidRPr="00815660">
              <w:rPr>
                <w:sz w:val="18"/>
                <w:szCs w:val="18"/>
              </w:rPr>
              <w:t>Pediatric disciplines</w:t>
            </w:r>
            <w:r w:rsidRPr="00815660">
              <w:rPr>
                <w:sz w:val="18"/>
                <w:szCs w:val="18"/>
              </w:rPr>
              <w:tab/>
            </w:r>
          </w:p>
        </w:tc>
        <w:tc>
          <w:tcPr>
            <w:tcW w:w="720" w:type="dxa"/>
          </w:tcPr>
          <w:p w14:paraId="37B06A57" w14:textId="77777777" w:rsidR="00B25CD5" w:rsidRPr="00815660" w:rsidRDefault="00B25CD5" w:rsidP="009A6B42">
            <w:pPr>
              <w:jc w:val="center"/>
              <w:rPr>
                <w:sz w:val="18"/>
                <w:szCs w:val="18"/>
              </w:rPr>
            </w:pPr>
            <w:r w:rsidRPr="00815660">
              <w:rPr>
                <w:sz w:val="18"/>
                <w:szCs w:val="18"/>
              </w:rPr>
              <w:t>8</w:t>
            </w:r>
          </w:p>
        </w:tc>
      </w:tr>
      <w:tr w:rsidR="00B25CD5" w:rsidRPr="00815660" w14:paraId="0077162B" w14:textId="77777777" w:rsidTr="00F953AE">
        <w:tc>
          <w:tcPr>
            <w:tcW w:w="3505" w:type="dxa"/>
          </w:tcPr>
          <w:p w14:paraId="564AB720" w14:textId="77777777" w:rsidR="00B25CD5" w:rsidRPr="00815660" w:rsidRDefault="00B25CD5" w:rsidP="009A6B42">
            <w:pPr>
              <w:rPr>
                <w:sz w:val="18"/>
                <w:szCs w:val="18"/>
              </w:rPr>
            </w:pPr>
            <w:r w:rsidRPr="00815660">
              <w:rPr>
                <w:sz w:val="18"/>
                <w:szCs w:val="18"/>
              </w:rPr>
              <w:t>Pulmonary diseases</w:t>
            </w:r>
          </w:p>
        </w:tc>
        <w:tc>
          <w:tcPr>
            <w:tcW w:w="720" w:type="dxa"/>
          </w:tcPr>
          <w:p w14:paraId="0B6017A0" w14:textId="77777777" w:rsidR="00B25CD5" w:rsidRPr="00815660" w:rsidRDefault="00B25CD5" w:rsidP="009A6B42">
            <w:pPr>
              <w:jc w:val="center"/>
              <w:rPr>
                <w:sz w:val="18"/>
                <w:szCs w:val="18"/>
              </w:rPr>
            </w:pPr>
            <w:r w:rsidRPr="00815660">
              <w:rPr>
                <w:sz w:val="18"/>
                <w:szCs w:val="18"/>
              </w:rPr>
              <w:t>5</w:t>
            </w:r>
          </w:p>
        </w:tc>
      </w:tr>
      <w:tr w:rsidR="00B25CD5" w:rsidRPr="00815660" w14:paraId="7B1B76D8" w14:textId="77777777" w:rsidTr="00F953AE">
        <w:tc>
          <w:tcPr>
            <w:tcW w:w="3505" w:type="dxa"/>
          </w:tcPr>
          <w:p w14:paraId="739A1635" w14:textId="77777777" w:rsidR="00B25CD5" w:rsidRPr="00815660" w:rsidRDefault="00B25CD5" w:rsidP="009A6B42">
            <w:pPr>
              <w:rPr>
                <w:sz w:val="18"/>
                <w:szCs w:val="18"/>
              </w:rPr>
            </w:pPr>
            <w:r w:rsidRPr="00815660">
              <w:rPr>
                <w:sz w:val="18"/>
                <w:szCs w:val="18"/>
              </w:rPr>
              <w:t>Oncology</w:t>
            </w:r>
          </w:p>
        </w:tc>
        <w:tc>
          <w:tcPr>
            <w:tcW w:w="720" w:type="dxa"/>
          </w:tcPr>
          <w:p w14:paraId="7952DDFF" w14:textId="77777777" w:rsidR="00B25CD5" w:rsidRPr="00815660" w:rsidRDefault="00B25CD5" w:rsidP="009A6B42">
            <w:pPr>
              <w:jc w:val="center"/>
              <w:rPr>
                <w:sz w:val="18"/>
                <w:szCs w:val="18"/>
              </w:rPr>
            </w:pPr>
            <w:r w:rsidRPr="00815660">
              <w:rPr>
                <w:sz w:val="18"/>
                <w:szCs w:val="18"/>
              </w:rPr>
              <w:t>4</w:t>
            </w:r>
          </w:p>
        </w:tc>
      </w:tr>
      <w:tr w:rsidR="00B25CD5" w:rsidRPr="00815660" w14:paraId="0E4F643B" w14:textId="77777777" w:rsidTr="00F953AE">
        <w:tc>
          <w:tcPr>
            <w:tcW w:w="3505" w:type="dxa"/>
          </w:tcPr>
          <w:p w14:paraId="67AB3C5F" w14:textId="77777777" w:rsidR="00B25CD5" w:rsidRPr="00815660" w:rsidRDefault="00B25CD5" w:rsidP="009A6B42">
            <w:pPr>
              <w:rPr>
                <w:sz w:val="18"/>
                <w:szCs w:val="18"/>
              </w:rPr>
            </w:pPr>
            <w:r w:rsidRPr="00815660">
              <w:rPr>
                <w:sz w:val="18"/>
                <w:szCs w:val="18"/>
              </w:rPr>
              <w:t>Diabetes</w:t>
            </w:r>
          </w:p>
        </w:tc>
        <w:tc>
          <w:tcPr>
            <w:tcW w:w="720" w:type="dxa"/>
          </w:tcPr>
          <w:p w14:paraId="2F37E4C0" w14:textId="77777777" w:rsidR="00B25CD5" w:rsidRPr="00815660" w:rsidRDefault="00B25CD5" w:rsidP="009A6B42">
            <w:pPr>
              <w:jc w:val="center"/>
              <w:rPr>
                <w:sz w:val="18"/>
                <w:szCs w:val="18"/>
              </w:rPr>
            </w:pPr>
            <w:r w:rsidRPr="00815660">
              <w:rPr>
                <w:sz w:val="18"/>
                <w:szCs w:val="18"/>
              </w:rPr>
              <w:t>3</w:t>
            </w:r>
          </w:p>
        </w:tc>
      </w:tr>
      <w:tr w:rsidR="00B25CD5" w:rsidRPr="00815660" w14:paraId="65613BFB" w14:textId="77777777" w:rsidTr="00F953AE">
        <w:tc>
          <w:tcPr>
            <w:tcW w:w="3505" w:type="dxa"/>
          </w:tcPr>
          <w:p w14:paraId="16C4F40B" w14:textId="77777777" w:rsidR="00B25CD5" w:rsidRPr="00815660" w:rsidRDefault="00B25CD5" w:rsidP="009A6B42">
            <w:pPr>
              <w:rPr>
                <w:sz w:val="18"/>
                <w:szCs w:val="18"/>
              </w:rPr>
            </w:pPr>
            <w:r w:rsidRPr="00815660">
              <w:rPr>
                <w:sz w:val="18"/>
                <w:szCs w:val="18"/>
              </w:rPr>
              <w:t>Gastroenterology</w:t>
            </w:r>
          </w:p>
        </w:tc>
        <w:tc>
          <w:tcPr>
            <w:tcW w:w="720" w:type="dxa"/>
          </w:tcPr>
          <w:p w14:paraId="1CD2FDD9" w14:textId="77777777" w:rsidR="00B25CD5" w:rsidRPr="00815660" w:rsidRDefault="00B25CD5" w:rsidP="009A6B42">
            <w:pPr>
              <w:jc w:val="center"/>
              <w:rPr>
                <w:sz w:val="18"/>
                <w:szCs w:val="18"/>
              </w:rPr>
            </w:pPr>
            <w:r w:rsidRPr="00815660">
              <w:rPr>
                <w:sz w:val="18"/>
                <w:szCs w:val="18"/>
              </w:rPr>
              <w:t>3</w:t>
            </w:r>
          </w:p>
        </w:tc>
      </w:tr>
      <w:tr w:rsidR="00B25CD5" w:rsidRPr="00815660" w14:paraId="71552253" w14:textId="77777777" w:rsidTr="00F953AE">
        <w:tc>
          <w:tcPr>
            <w:tcW w:w="3505" w:type="dxa"/>
          </w:tcPr>
          <w:p w14:paraId="5E46F754" w14:textId="77777777" w:rsidR="00B25CD5" w:rsidRPr="00815660" w:rsidRDefault="00B25CD5" w:rsidP="009A6B42">
            <w:pPr>
              <w:rPr>
                <w:sz w:val="18"/>
                <w:szCs w:val="18"/>
              </w:rPr>
            </w:pPr>
            <w:r w:rsidRPr="00815660">
              <w:rPr>
                <w:sz w:val="18"/>
                <w:szCs w:val="18"/>
              </w:rPr>
              <w:t>Hematology</w:t>
            </w:r>
          </w:p>
        </w:tc>
        <w:tc>
          <w:tcPr>
            <w:tcW w:w="720" w:type="dxa"/>
          </w:tcPr>
          <w:p w14:paraId="638B47FA" w14:textId="77777777" w:rsidR="00B25CD5" w:rsidRPr="00815660" w:rsidRDefault="00B25CD5" w:rsidP="009A6B42">
            <w:pPr>
              <w:jc w:val="center"/>
              <w:rPr>
                <w:sz w:val="18"/>
                <w:szCs w:val="18"/>
              </w:rPr>
            </w:pPr>
            <w:r w:rsidRPr="00815660">
              <w:rPr>
                <w:sz w:val="18"/>
                <w:szCs w:val="18"/>
              </w:rPr>
              <w:t>3</w:t>
            </w:r>
          </w:p>
        </w:tc>
      </w:tr>
      <w:tr w:rsidR="00B25CD5" w:rsidRPr="00815660" w14:paraId="68488FD1" w14:textId="77777777" w:rsidTr="00F953AE">
        <w:tc>
          <w:tcPr>
            <w:tcW w:w="3505" w:type="dxa"/>
          </w:tcPr>
          <w:p w14:paraId="6A12C88E" w14:textId="77777777" w:rsidR="00B25CD5" w:rsidRPr="00815660" w:rsidRDefault="00B25CD5" w:rsidP="009A6B42">
            <w:pPr>
              <w:rPr>
                <w:sz w:val="18"/>
                <w:szCs w:val="18"/>
              </w:rPr>
            </w:pPr>
            <w:r w:rsidRPr="00815660">
              <w:rPr>
                <w:sz w:val="18"/>
                <w:szCs w:val="18"/>
              </w:rPr>
              <w:t>Trauma</w:t>
            </w:r>
          </w:p>
        </w:tc>
        <w:tc>
          <w:tcPr>
            <w:tcW w:w="720" w:type="dxa"/>
          </w:tcPr>
          <w:p w14:paraId="6DA4D9E8" w14:textId="77777777" w:rsidR="00B25CD5" w:rsidRPr="00815660" w:rsidRDefault="00B25CD5" w:rsidP="009A6B42">
            <w:pPr>
              <w:jc w:val="center"/>
              <w:rPr>
                <w:sz w:val="18"/>
                <w:szCs w:val="18"/>
              </w:rPr>
            </w:pPr>
            <w:r w:rsidRPr="00815660">
              <w:rPr>
                <w:sz w:val="18"/>
                <w:szCs w:val="18"/>
              </w:rPr>
              <w:t>3</w:t>
            </w:r>
          </w:p>
        </w:tc>
      </w:tr>
      <w:tr w:rsidR="00B25CD5" w:rsidRPr="00815660" w14:paraId="1BCD84A6" w14:textId="77777777" w:rsidTr="00F953AE">
        <w:tc>
          <w:tcPr>
            <w:tcW w:w="3505" w:type="dxa"/>
          </w:tcPr>
          <w:p w14:paraId="42C22C8D" w14:textId="77777777" w:rsidR="00B25CD5" w:rsidRPr="00815660" w:rsidRDefault="00B25CD5" w:rsidP="009A6B42">
            <w:pPr>
              <w:rPr>
                <w:sz w:val="18"/>
                <w:szCs w:val="18"/>
              </w:rPr>
            </w:pPr>
            <w:r w:rsidRPr="00815660">
              <w:rPr>
                <w:sz w:val="18"/>
                <w:szCs w:val="18"/>
              </w:rPr>
              <w:t>Asthma, allergic mechanisms</w:t>
            </w:r>
          </w:p>
        </w:tc>
        <w:tc>
          <w:tcPr>
            <w:tcW w:w="720" w:type="dxa"/>
          </w:tcPr>
          <w:p w14:paraId="2E33FF15" w14:textId="77777777" w:rsidR="00B25CD5" w:rsidRPr="00815660" w:rsidRDefault="00B25CD5" w:rsidP="009A6B42">
            <w:pPr>
              <w:jc w:val="center"/>
              <w:rPr>
                <w:sz w:val="18"/>
                <w:szCs w:val="18"/>
              </w:rPr>
            </w:pPr>
            <w:r w:rsidRPr="00815660">
              <w:rPr>
                <w:sz w:val="18"/>
                <w:szCs w:val="18"/>
              </w:rPr>
              <w:t>2</w:t>
            </w:r>
          </w:p>
        </w:tc>
      </w:tr>
      <w:tr w:rsidR="00B25CD5" w:rsidRPr="00815660" w14:paraId="7062773D" w14:textId="77777777" w:rsidTr="00F953AE">
        <w:tc>
          <w:tcPr>
            <w:tcW w:w="3505" w:type="dxa"/>
          </w:tcPr>
          <w:p w14:paraId="36669ABD" w14:textId="77777777" w:rsidR="00B25CD5" w:rsidRPr="00815660" w:rsidRDefault="00B25CD5" w:rsidP="009A6B42">
            <w:pPr>
              <w:rPr>
                <w:sz w:val="18"/>
                <w:szCs w:val="18"/>
              </w:rPr>
            </w:pPr>
            <w:r w:rsidRPr="00815660">
              <w:rPr>
                <w:sz w:val="18"/>
                <w:szCs w:val="18"/>
              </w:rPr>
              <w:t>Behavioral medicine (clinical)</w:t>
            </w:r>
          </w:p>
        </w:tc>
        <w:tc>
          <w:tcPr>
            <w:tcW w:w="720" w:type="dxa"/>
          </w:tcPr>
          <w:p w14:paraId="194B149D" w14:textId="77777777" w:rsidR="00B25CD5" w:rsidRPr="00815660" w:rsidRDefault="00B25CD5" w:rsidP="009A6B42">
            <w:pPr>
              <w:jc w:val="center"/>
              <w:rPr>
                <w:sz w:val="18"/>
                <w:szCs w:val="18"/>
              </w:rPr>
            </w:pPr>
            <w:r w:rsidRPr="00815660">
              <w:rPr>
                <w:sz w:val="18"/>
                <w:szCs w:val="18"/>
              </w:rPr>
              <w:t>2</w:t>
            </w:r>
          </w:p>
        </w:tc>
      </w:tr>
      <w:tr w:rsidR="00B25CD5" w:rsidRPr="00815660" w14:paraId="2501885D" w14:textId="77777777" w:rsidTr="00F953AE">
        <w:tc>
          <w:tcPr>
            <w:tcW w:w="3505" w:type="dxa"/>
          </w:tcPr>
          <w:p w14:paraId="0C8565CF" w14:textId="77777777" w:rsidR="00B25CD5" w:rsidRPr="00815660" w:rsidRDefault="00B25CD5" w:rsidP="009A6B42">
            <w:pPr>
              <w:rPr>
                <w:sz w:val="18"/>
                <w:szCs w:val="18"/>
              </w:rPr>
            </w:pPr>
            <w:r w:rsidRPr="00815660">
              <w:rPr>
                <w:sz w:val="18"/>
                <w:szCs w:val="18"/>
              </w:rPr>
              <w:t>Health services research</w:t>
            </w:r>
          </w:p>
        </w:tc>
        <w:tc>
          <w:tcPr>
            <w:tcW w:w="720" w:type="dxa"/>
          </w:tcPr>
          <w:p w14:paraId="749F7968" w14:textId="77777777" w:rsidR="00B25CD5" w:rsidRPr="00815660" w:rsidRDefault="00B25CD5" w:rsidP="009A6B42">
            <w:pPr>
              <w:jc w:val="center"/>
              <w:rPr>
                <w:sz w:val="18"/>
                <w:szCs w:val="18"/>
              </w:rPr>
            </w:pPr>
            <w:r w:rsidRPr="00815660">
              <w:rPr>
                <w:sz w:val="18"/>
                <w:szCs w:val="18"/>
              </w:rPr>
              <w:t>2</w:t>
            </w:r>
          </w:p>
        </w:tc>
      </w:tr>
      <w:tr w:rsidR="00B25CD5" w:rsidRPr="00815660" w14:paraId="2E0EDB6D" w14:textId="77777777" w:rsidTr="00F953AE">
        <w:tc>
          <w:tcPr>
            <w:tcW w:w="3505" w:type="dxa"/>
          </w:tcPr>
          <w:p w14:paraId="46D91BBF" w14:textId="77777777" w:rsidR="00B25CD5" w:rsidRPr="00815660" w:rsidRDefault="00B25CD5" w:rsidP="009A6B42">
            <w:pPr>
              <w:rPr>
                <w:sz w:val="18"/>
                <w:szCs w:val="18"/>
              </w:rPr>
            </w:pPr>
            <w:r w:rsidRPr="00815660">
              <w:rPr>
                <w:sz w:val="18"/>
                <w:szCs w:val="18"/>
              </w:rPr>
              <w:t>Neurodegeneration</w:t>
            </w:r>
          </w:p>
        </w:tc>
        <w:tc>
          <w:tcPr>
            <w:tcW w:w="720" w:type="dxa"/>
          </w:tcPr>
          <w:p w14:paraId="120A3E90" w14:textId="77777777" w:rsidR="00B25CD5" w:rsidRPr="00815660" w:rsidRDefault="00B25CD5" w:rsidP="009A6B42">
            <w:pPr>
              <w:jc w:val="center"/>
              <w:rPr>
                <w:sz w:val="18"/>
                <w:szCs w:val="18"/>
              </w:rPr>
            </w:pPr>
            <w:r w:rsidRPr="00815660">
              <w:rPr>
                <w:sz w:val="18"/>
                <w:szCs w:val="18"/>
              </w:rPr>
              <w:t>2</w:t>
            </w:r>
          </w:p>
        </w:tc>
      </w:tr>
      <w:tr w:rsidR="00B25CD5" w:rsidRPr="00815660" w14:paraId="3AFC1573" w14:textId="77777777" w:rsidTr="00F953AE">
        <w:tc>
          <w:tcPr>
            <w:tcW w:w="3505" w:type="dxa"/>
          </w:tcPr>
          <w:p w14:paraId="0B04B885" w14:textId="77777777" w:rsidR="00B25CD5" w:rsidRPr="00815660" w:rsidRDefault="00B25CD5" w:rsidP="009A6B42">
            <w:pPr>
              <w:rPr>
                <w:sz w:val="18"/>
                <w:szCs w:val="18"/>
              </w:rPr>
            </w:pPr>
            <w:r w:rsidRPr="00815660">
              <w:rPr>
                <w:sz w:val="18"/>
                <w:szCs w:val="18"/>
              </w:rPr>
              <w:t>Neuroscience</w:t>
            </w:r>
          </w:p>
        </w:tc>
        <w:tc>
          <w:tcPr>
            <w:tcW w:w="720" w:type="dxa"/>
          </w:tcPr>
          <w:p w14:paraId="4F278A93" w14:textId="77777777" w:rsidR="00B25CD5" w:rsidRPr="00815660" w:rsidRDefault="00B25CD5" w:rsidP="009A6B42">
            <w:pPr>
              <w:jc w:val="center"/>
              <w:rPr>
                <w:sz w:val="18"/>
                <w:szCs w:val="18"/>
              </w:rPr>
            </w:pPr>
            <w:r w:rsidRPr="00815660">
              <w:rPr>
                <w:sz w:val="18"/>
                <w:szCs w:val="18"/>
              </w:rPr>
              <w:t>2</w:t>
            </w:r>
          </w:p>
        </w:tc>
      </w:tr>
      <w:tr w:rsidR="00B25CD5" w:rsidRPr="00815660" w14:paraId="152BDD16" w14:textId="77777777" w:rsidTr="00F953AE">
        <w:tc>
          <w:tcPr>
            <w:tcW w:w="3505" w:type="dxa"/>
          </w:tcPr>
          <w:p w14:paraId="73CFB3C4" w14:textId="77777777" w:rsidR="00B25CD5" w:rsidRPr="00815660" w:rsidRDefault="00B25CD5" w:rsidP="009A6B42">
            <w:pPr>
              <w:rPr>
                <w:sz w:val="18"/>
                <w:szCs w:val="18"/>
              </w:rPr>
            </w:pPr>
            <w:r w:rsidRPr="00815660">
              <w:rPr>
                <w:sz w:val="18"/>
                <w:szCs w:val="18"/>
              </w:rPr>
              <w:t>OB-GYN</w:t>
            </w:r>
          </w:p>
        </w:tc>
        <w:tc>
          <w:tcPr>
            <w:tcW w:w="720" w:type="dxa"/>
          </w:tcPr>
          <w:p w14:paraId="023061FD" w14:textId="77777777" w:rsidR="00B25CD5" w:rsidRPr="00815660" w:rsidRDefault="00B25CD5" w:rsidP="009A6B42">
            <w:pPr>
              <w:jc w:val="center"/>
              <w:rPr>
                <w:sz w:val="18"/>
                <w:szCs w:val="18"/>
              </w:rPr>
            </w:pPr>
            <w:r w:rsidRPr="00815660">
              <w:rPr>
                <w:sz w:val="18"/>
                <w:szCs w:val="18"/>
              </w:rPr>
              <w:t>2</w:t>
            </w:r>
          </w:p>
        </w:tc>
      </w:tr>
      <w:tr w:rsidR="00B25CD5" w:rsidRPr="00815660" w14:paraId="206C9722" w14:textId="77777777" w:rsidTr="00F953AE">
        <w:tc>
          <w:tcPr>
            <w:tcW w:w="3505" w:type="dxa"/>
          </w:tcPr>
          <w:p w14:paraId="4ECD54FC" w14:textId="77777777" w:rsidR="00B25CD5" w:rsidRPr="00815660" w:rsidRDefault="00B25CD5" w:rsidP="009A6B42">
            <w:pPr>
              <w:rPr>
                <w:sz w:val="18"/>
                <w:szCs w:val="18"/>
              </w:rPr>
            </w:pPr>
            <w:r w:rsidRPr="00815660">
              <w:rPr>
                <w:sz w:val="18"/>
                <w:szCs w:val="18"/>
              </w:rPr>
              <w:t>Pediatric, prematurity, newborn</w:t>
            </w:r>
          </w:p>
        </w:tc>
        <w:tc>
          <w:tcPr>
            <w:tcW w:w="720" w:type="dxa"/>
          </w:tcPr>
          <w:p w14:paraId="364216AC" w14:textId="77777777" w:rsidR="00B25CD5" w:rsidRPr="00815660" w:rsidRDefault="00B25CD5" w:rsidP="009A6B42">
            <w:pPr>
              <w:jc w:val="center"/>
              <w:rPr>
                <w:sz w:val="18"/>
                <w:szCs w:val="18"/>
              </w:rPr>
            </w:pPr>
            <w:r w:rsidRPr="00815660">
              <w:rPr>
                <w:sz w:val="18"/>
                <w:szCs w:val="18"/>
              </w:rPr>
              <w:t>2</w:t>
            </w:r>
          </w:p>
        </w:tc>
      </w:tr>
      <w:tr w:rsidR="00B25CD5" w:rsidRPr="00815660" w14:paraId="79C817C1" w14:textId="77777777" w:rsidTr="00F953AE">
        <w:tc>
          <w:tcPr>
            <w:tcW w:w="3505" w:type="dxa"/>
          </w:tcPr>
          <w:p w14:paraId="00EEB43E" w14:textId="77777777" w:rsidR="00B25CD5" w:rsidRPr="00815660" w:rsidRDefault="00B25CD5" w:rsidP="009A6B42">
            <w:pPr>
              <w:rPr>
                <w:sz w:val="18"/>
                <w:szCs w:val="18"/>
              </w:rPr>
            </w:pPr>
            <w:r w:rsidRPr="00815660">
              <w:rPr>
                <w:sz w:val="18"/>
                <w:szCs w:val="18"/>
              </w:rPr>
              <w:t>Psychiatry</w:t>
            </w:r>
          </w:p>
        </w:tc>
        <w:tc>
          <w:tcPr>
            <w:tcW w:w="720" w:type="dxa"/>
          </w:tcPr>
          <w:p w14:paraId="60856D89" w14:textId="77777777" w:rsidR="00B25CD5" w:rsidRPr="00815660" w:rsidRDefault="00B25CD5" w:rsidP="009A6B42">
            <w:pPr>
              <w:jc w:val="center"/>
              <w:rPr>
                <w:sz w:val="18"/>
                <w:szCs w:val="18"/>
              </w:rPr>
            </w:pPr>
            <w:r w:rsidRPr="00815660">
              <w:rPr>
                <w:sz w:val="18"/>
                <w:szCs w:val="18"/>
              </w:rPr>
              <w:t>1</w:t>
            </w:r>
          </w:p>
        </w:tc>
      </w:tr>
      <w:tr w:rsidR="00B25CD5" w:rsidRPr="00815660" w14:paraId="3C7E28CC" w14:textId="77777777" w:rsidTr="00F953AE">
        <w:tc>
          <w:tcPr>
            <w:tcW w:w="3505" w:type="dxa"/>
          </w:tcPr>
          <w:p w14:paraId="0C443D81" w14:textId="77777777" w:rsidR="00B25CD5" w:rsidRPr="00815660" w:rsidRDefault="00B25CD5" w:rsidP="009A6B42">
            <w:pPr>
              <w:rPr>
                <w:sz w:val="18"/>
                <w:szCs w:val="18"/>
              </w:rPr>
            </w:pPr>
            <w:r w:rsidRPr="00815660">
              <w:rPr>
                <w:sz w:val="18"/>
                <w:szCs w:val="18"/>
              </w:rPr>
              <w:t>Aging</w:t>
            </w:r>
          </w:p>
        </w:tc>
        <w:tc>
          <w:tcPr>
            <w:tcW w:w="720" w:type="dxa"/>
          </w:tcPr>
          <w:p w14:paraId="30F8310A" w14:textId="77777777" w:rsidR="00B25CD5" w:rsidRPr="00815660" w:rsidRDefault="00B25CD5" w:rsidP="009A6B42">
            <w:pPr>
              <w:jc w:val="center"/>
              <w:rPr>
                <w:sz w:val="18"/>
                <w:szCs w:val="18"/>
              </w:rPr>
            </w:pPr>
            <w:r w:rsidRPr="00815660">
              <w:rPr>
                <w:sz w:val="18"/>
                <w:szCs w:val="18"/>
              </w:rPr>
              <w:t>1</w:t>
            </w:r>
          </w:p>
        </w:tc>
      </w:tr>
      <w:tr w:rsidR="00B25CD5" w:rsidRPr="00815660" w14:paraId="5AAB3A3F" w14:textId="77777777" w:rsidTr="00F953AE">
        <w:tc>
          <w:tcPr>
            <w:tcW w:w="3505" w:type="dxa"/>
          </w:tcPr>
          <w:p w14:paraId="4EEFDD9F" w14:textId="77777777" w:rsidR="00B25CD5" w:rsidRPr="00815660" w:rsidRDefault="00B25CD5" w:rsidP="009A6B42">
            <w:pPr>
              <w:rPr>
                <w:sz w:val="18"/>
                <w:szCs w:val="18"/>
              </w:rPr>
            </w:pPr>
            <w:r w:rsidRPr="00815660">
              <w:rPr>
                <w:sz w:val="18"/>
                <w:szCs w:val="18"/>
              </w:rPr>
              <w:t>Audiology</w:t>
            </w:r>
          </w:p>
        </w:tc>
        <w:tc>
          <w:tcPr>
            <w:tcW w:w="720" w:type="dxa"/>
          </w:tcPr>
          <w:p w14:paraId="6315E97D" w14:textId="77777777" w:rsidR="00B25CD5" w:rsidRPr="00815660" w:rsidRDefault="00B25CD5" w:rsidP="009A6B42">
            <w:pPr>
              <w:jc w:val="center"/>
              <w:rPr>
                <w:sz w:val="18"/>
                <w:szCs w:val="18"/>
              </w:rPr>
            </w:pPr>
            <w:r w:rsidRPr="00815660">
              <w:rPr>
                <w:sz w:val="18"/>
                <w:szCs w:val="18"/>
              </w:rPr>
              <w:t>1</w:t>
            </w:r>
          </w:p>
        </w:tc>
      </w:tr>
      <w:tr w:rsidR="00B25CD5" w:rsidRPr="00815660" w14:paraId="63C75EEC" w14:textId="77777777" w:rsidTr="00F953AE">
        <w:tc>
          <w:tcPr>
            <w:tcW w:w="3505" w:type="dxa"/>
          </w:tcPr>
          <w:p w14:paraId="75E67AEB" w14:textId="77777777" w:rsidR="00B25CD5" w:rsidRPr="00815660" w:rsidRDefault="00B25CD5" w:rsidP="009A6B42">
            <w:pPr>
              <w:rPr>
                <w:sz w:val="18"/>
                <w:szCs w:val="18"/>
              </w:rPr>
            </w:pPr>
            <w:r w:rsidRPr="00815660">
              <w:rPr>
                <w:sz w:val="18"/>
                <w:szCs w:val="18"/>
              </w:rPr>
              <w:t>Behavioral medicine (non-clinical)</w:t>
            </w:r>
          </w:p>
        </w:tc>
        <w:tc>
          <w:tcPr>
            <w:tcW w:w="720" w:type="dxa"/>
          </w:tcPr>
          <w:p w14:paraId="26068920" w14:textId="77777777" w:rsidR="00B25CD5" w:rsidRPr="00815660" w:rsidRDefault="00B25CD5" w:rsidP="009A6B42">
            <w:pPr>
              <w:jc w:val="center"/>
              <w:rPr>
                <w:sz w:val="18"/>
                <w:szCs w:val="18"/>
              </w:rPr>
            </w:pPr>
            <w:r w:rsidRPr="00815660">
              <w:rPr>
                <w:sz w:val="18"/>
                <w:szCs w:val="18"/>
              </w:rPr>
              <w:t>1</w:t>
            </w:r>
          </w:p>
        </w:tc>
      </w:tr>
      <w:tr w:rsidR="00B25CD5" w:rsidRPr="00815660" w14:paraId="6C6C08C5" w14:textId="77777777" w:rsidTr="00F953AE">
        <w:tc>
          <w:tcPr>
            <w:tcW w:w="3505" w:type="dxa"/>
          </w:tcPr>
          <w:p w14:paraId="72917CD1" w14:textId="77777777" w:rsidR="00B25CD5" w:rsidRPr="00815660" w:rsidRDefault="00B25CD5" w:rsidP="009A6B42">
            <w:pPr>
              <w:rPr>
                <w:sz w:val="18"/>
                <w:szCs w:val="18"/>
              </w:rPr>
            </w:pPr>
            <w:r w:rsidRPr="00815660">
              <w:rPr>
                <w:sz w:val="18"/>
                <w:szCs w:val="18"/>
              </w:rPr>
              <w:t>Clinical pharmacology</w:t>
            </w:r>
          </w:p>
        </w:tc>
        <w:tc>
          <w:tcPr>
            <w:tcW w:w="720" w:type="dxa"/>
          </w:tcPr>
          <w:p w14:paraId="526E4C25" w14:textId="77777777" w:rsidR="00B25CD5" w:rsidRPr="00815660" w:rsidRDefault="00B25CD5" w:rsidP="009A6B42">
            <w:pPr>
              <w:jc w:val="center"/>
              <w:rPr>
                <w:sz w:val="18"/>
                <w:szCs w:val="18"/>
              </w:rPr>
            </w:pPr>
            <w:r w:rsidRPr="00815660">
              <w:rPr>
                <w:sz w:val="18"/>
                <w:szCs w:val="18"/>
              </w:rPr>
              <w:t>1</w:t>
            </w:r>
          </w:p>
        </w:tc>
      </w:tr>
      <w:tr w:rsidR="00B25CD5" w:rsidRPr="00815660" w14:paraId="0D769607" w14:textId="77777777" w:rsidTr="00F953AE">
        <w:tc>
          <w:tcPr>
            <w:tcW w:w="3505" w:type="dxa"/>
          </w:tcPr>
          <w:p w14:paraId="07996BE6" w14:textId="77777777" w:rsidR="00B25CD5" w:rsidRPr="00815660" w:rsidRDefault="00B25CD5" w:rsidP="009A6B42">
            <w:pPr>
              <w:rPr>
                <w:sz w:val="18"/>
                <w:szCs w:val="18"/>
              </w:rPr>
            </w:pPr>
            <w:r w:rsidRPr="00815660">
              <w:rPr>
                <w:sz w:val="18"/>
                <w:szCs w:val="18"/>
              </w:rPr>
              <w:t>Clinical trials methodology</w:t>
            </w:r>
          </w:p>
        </w:tc>
        <w:tc>
          <w:tcPr>
            <w:tcW w:w="720" w:type="dxa"/>
          </w:tcPr>
          <w:p w14:paraId="23CD13A0" w14:textId="77777777" w:rsidR="00B25CD5" w:rsidRPr="00815660" w:rsidRDefault="00B25CD5" w:rsidP="009A6B42">
            <w:pPr>
              <w:jc w:val="center"/>
              <w:rPr>
                <w:sz w:val="18"/>
                <w:szCs w:val="18"/>
              </w:rPr>
            </w:pPr>
            <w:r w:rsidRPr="00815660">
              <w:rPr>
                <w:sz w:val="18"/>
                <w:szCs w:val="18"/>
              </w:rPr>
              <w:t>1</w:t>
            </w:r>
          </w:p>
        </w:tc>
      </w:tr>
      <w:tr w:rsidR="00B25CD5" w:rsidRPr="00815660" w14:paraId="2F2E6676" w14:textId="77777777" w:rsidTr="00F953AE">
        <w:tc>
          <w:tcPr>
            <w:tcW w:w="3505" w:type="dxa"/>
          </w:tcPr>
          <w:p w14:paraId="1966472A" w14:textId="77777777" w:rsidR="00B25CD5" w:rsidRPr="00815660" w:rsidRDefault="00B25CD5" w:rsidP="009A6B42">
            <w:pPr>
              <w:rPr>
                <w:sz w:val="18"/>
                <w:szCs w:val="18"/>
              </w:rPr>
            </w:pPr>
            <w:r w:rsidRPr="00815660">
              <w:rPr>
                <w:sz w:val="18"/>
                <w:szCs w:val="18"/>
              </w:rPr>
              <w:t>Dermatology</w:t>
            </w:r>
          </w:p>
        </w:tc>
        <w:tc>
          <w:tcPr>
            <w:tcW w:w="720" w:type="dxa"/>
          </w:tcPr>
          <w:p w14:paraId="03C4C7B7" w14:textId="77777777" w:rsidR="00B25CD5" w:rsidRPr="00815660" w:rsidRDefault="00B25CD5" w:rsidP="009A6B42">
            <w:pPr>
              <w:jc w:val="center"/>
              <w:rPr>
                <w:sz w:val="18"/>
                <w:szCs w:val="18"/>
              </w:rPr>
            </w:pPr>
            <w:r w:rsidRPr="00815660">
              <w:rPr>
                <w:sz w:val="18"/>
                <w:szCs w:val="18"/>
              </w:rPr>
              <w:t>1</w:t>
            </w:r>
          </w:p>
        </w:tc>
      </w:tr>
      <w:tr w:rsidR="00B25CD5" w:rsidRPr="00815660" w14:paraId="63B0EE38" w14:textId="77777777" w:rsidTr="00F953AE">
        <w:tc>
          <w:tcPr>
            <w:tcW w:w="3505" w:type="dxa"/>
          </w:tcPr>
          <w:p w14:paraId="221D9270" w14:textId="77777777" w:rsidR="00B25CD5" w:rsidRPr="00815660" w:rsidRDefault="00B25CD5" w:rsidP="009A6B42">
            <w:pPr>
              <w:rPr>
                <w:sz w:val="18"/>
                <w:szCs w:val="18"/>
              </w:rPr>
            </w:pPr>
            <w:r w:rsidRPr="00815660">
              <w:rPr>
                <w:sz w:val="18"/>
                <w:szCs w:val="18"/>
              </w:rPr>
              <w:t>Disease prevention and control</w:t>
            </w:r>
          </w:p>
        </w:tc>
        <w:tc>
          <w:tcPr>
            <w:tcW w:w="720" w:type="dxa"/>
          </w:tcPr>
          <w:p w14:paraId="638796CC" w14:textId="77777777" w:rsidR="00B25CD5" w:rsidRPr="00815660" w:rsidRDefault="00B25CD5" w:rsidP="009A6B42">
            <w:pPr>
              <w:jc w:val="center"/>
              <w:rPr>
                <w:sz w:val="18"/>
                <w:szCs w:val="18"/>
              </w:rPr>
            </w:pPr>
            <w:r w:rsidRPr="00815660">
              <w:rPr>
                <w:sz w:val="18"/>
                <w:szCs w:val="18"/>
              </w:rPr>
              <w:t>1</w:t>
            </w:r>
          </w:p>
        </w:tc>
      </w:tr>
      <w:tr w:rsidR="00B25CD5" w:rsidRPr="00815660" w14:paraId="72AE80E7" w14:textId="77777777" w:rsidTr="00F953AE">
        <w:tc>
          <w:tcPr>
            <w:tcW w:w="3505" w:type="dxa"/>
          </w:tcPr>
          <w:p w14:paraId="15AFB995" w14:textId="77777777" w:rsidR="00B25CD5" w:rsidRPr="00815660" w:rsidRDefault="00B25CD5" w:rsidP="009A6B42">
            <w:pPr>
              <w:rPr>
                <w:sz w:val="18"/>
                <w:szCs w:val="18"/>
              </w:rPr>
            </w:pPr>
            <w:r w:rsidRPr="00815660">
              <w:rPr>
                <w:sz w:val="18"/>
                <w:szCs w:val="18"/>
              </w:rPr>
              <w:t>Endocrinology</w:t>
            </w:r>
          </w:p>
        </w:tc>
        <w:tc>
          <w:tcPr>
            <w:tcW w:w="720" w:type="dxa"/>
          </w:tcPr>
          <w:p w14:paraId="116F3770" w14:textId="77777777" w:rsidR="00B25CD5" w:rsidRPr="00815660" w:rsidRDefault="00B25CD5" w:rsidP="009A6B42">
            <w:pPr>
              <w:jc w:val="center"/>
              <w:rPr>
                <w:sz w:val="18"/>
                <w:szCs w:val="18"/>
              </w:rPr>
            </w:pPr>
            <w:r w:rsidRPr="00815660">
              <w:rPr>
                <w:sz w:val="18"/>
                <w:szCs w:val="18"/>
              </w:rPr>
              <w:t>1</w:t>
            </w:r>
          </w:p>
        </w:tc>
      </w:tr>
      <w:tr w:rsidR="00B25CD5" w:rsidRPr="00815660" w14:paraId="3D0D19C8" w14:textId="77777777" w:rsidTr="00F953AE">
        <w:tc>
          <w:tcPr>
            <w:tcW w:w="3505" w:type="dxa"/>
          </w:tcPr>
          <w:p w14:paraId="2B94071E" w14:textId="77777777" w:rsidR="00B25CD5" w:rsidRPr="00815660" w:rsidRDefault="00B25CD5" w:rsidP="009A6B42">
            <w:pPr>
              <w:rPr>
                <w:sz w:val="18"/>
                <w:szCs w:val="18"/>
              </w:rPr>
            </w:pPr>
            <w:r w:rsidRPr="00815660">
              <w:rPr>
                <w:sz w:val="18"/>
                <w:szCs w:val="18"/>
              </w:rPr>
              <w:t>Exercise physiology (clinical)</w:t>
            </w:r>
          </w:p>
        </w:tc>
        <w:tc>
          <w:tcPr>
            <w:tcW w:w="720" w:type="dxa"/>
          </w:tcPr>
          <w:p w14:paraId="68E1E4A2" w14:textId="77777777" w:rsidR="00B25CD5" w:rsidRPr="00815660" w:rsidRDefault="00B25CD5" w:rsidP="009A6B42">
            <w:pPr>
              <w:jc w:val="center"/>
              <w:rPr>
                <w:sz w:val="18"/>
                <w:szCs w:val="18"/>
              </w:rPr>
            </w:pPr>
            <w:r w:rsidRPr="00815660">
              <w:rPr>
                <w:sz w:val="18"/>
                <w:szCs w:val="18"/>
              </w:rPr>
              <w:t>1</w:t>
            </w:r>
          </w:p>
        </w:tc>
      </w:tr>
      <w:tr w:rsidR="00B25CD5" w:rsidRPr="00815660" w14:paraId="010A5F6E" w14:textId="77777777" w:rsidTr="00F953AE">
        <w:tc>
          <w:tcPr>
            <w:tcW w:w="3505" w:type="dxa"/>
          </w:tcPr>
          <w:p w14:paraId="3AA2DBF5" w14:textId="77777777" w:rsidR="00B25CD5" w:rsidRPr="00815660" w:rsidRDefault="00B25CD5" w:rsidP="009A6B42">
            <w:pPr>
              <w:rPr>
                <w:sz w:val="18"/>
                <w:szCs w:val="18"/>
              </w:rPr>
            </w:pPr>
            <w:r w:rsidRPr="00815660">
              <w:rPr>
                <w:sz w:val="18"/>
                <w:szCs w:val="18"/>
              </w:rPr>
              <w:t>Genomics</w:t>
            </w:r>
          </w:p>
        </w:tc>
        <w:tc>
          <w:tcPr>
            <w:tcW w:w="720" w:type="dxa"/>
          </w:tcPr>
          <w:p w14:paraId="14DD18BA" w14:textId="77777777" w:rsidR="00B25CD5" w:rsidRPr="00815660" w:rsidRDefault="00B25CD5" w:rsidP="009A6B42">
            <w:pPr>
              <w:jc w:val="center"/>
              <w:rPr>
                <w:sz w:val="18"/>
                <w:szCs w:val="18"/>
              </w:rPr>
            </w:pPr>
            <w:r w:rsidRPr="00815660">
              <w:rPr>
                <w:sz w:val="18"/>
                <w:szCs w:val="18"/>
              </w:rPr>
              <w:t>1</w:t>
            </w:r>
          </w:p>
        </w:tc>
      </w:tr>
      <w:tr w:rsidR="00B25CD5" w:rsidRPr="00815660" w14:paraId="51FB557C" w14:textId="77777777" w:rsidTr="00F953AE">
        <w:tc>
          <w:tcPr>
            <w:tcW w:w="3505" w:type="dxa"/>
          </w:tcPr>
          <w:p w14:paraId="05FBB9DC" w14:textId="77777777" w:rsidR="00B25CD5" w:rsidRPr="00815660" w:rsidRDefault="00B25CD5" w:rsidP="009A6B42">
            <w:pPr>
              <w:rPr>
                <w:sz w:val="18"/>
                <w:szCs w:val="18"/>
              </w:rPr>
            </w:pPr>
            <w:r w:rsidRPr="00815660">
              <w:rPr>
                <w:sz w:val="18"/>
                <w:szCs w:val="18"/>
              </w:rPr>
              <w:t>Immunology</w:t>
            </w:r>
          </w:p>
        </w:tc>
        <w:tc>
          <w:tcPr>
            <w:tcW w:w="720" w:type="dxa"/>
          </w:tcPr>
          <w:p w14:paraId="2515D78F" w14:textId="77777777" w:rsidR="00B25CD5" w:rsidRPr="00815660" w:rsidRDefault="00B25CD5" w:rsidP="009A6B42">
            <w:pPr>
              <w:jc w:val="center"/>
              <w:rPr>
                <w:sz w:val="18"/>
                <w:szCs w:val="18"/>
              </w:rPr>
            </w:pPr>
            <w:r w:rsidRPr="00815660">
              <w:rPr>
                <w:sz w:val="18"/>
                <w:szCs w:val="18"/>
              </w:rPr>
              <w:t>1</w:t>
            </w:r>
          </w:p>
        </w:tc>
      </w:tr>
      <w:tr w:rsidR="00B25CD5" w:rsidRPr="00815660" w14:paraId="3377D4A0" w14:textId="77777777" w:rsidTr="00F953AE">
        <w:tc>
          <w:tcPr>
            <w:tcW w:w="3505" w:type="dxa"/>
          </w:tcPr>
          <w:p w14:paraId="320B4A01" w14:textId="77777777" w:rsidR="00B25CD5" w:rsidRPr="00815660" w:rsidRDefault="00B25CD5" w:rsidP="009A6B42">
            <w:pPr>
              <w:rPr>
                <w:sz w:val="18"/>
                <w:szCs w:val="18"/>
              </w:rPr>
            </w:pPr>
            <w:r w:rsidRPr="00815660">
              <w:rPr>
                <w:sz w:val="18"/>
                <w:szCs w:val="18"/>
              </w:rPr>
              <w:t>Liver diseases</w:t>
            </w:r>
          </w:p>
        </w:tc>
        <w:tc>
          <w:tcPr>
            <w:tcW w:w="720" w:type="dxa"/>
          </w:tcPr>
          <w:p w14:paraId="7622E353" w14:textId="77777777" w:rsidR="00B25CD5" w:rsidRPr="00815660" w:rsidRDefault="00B25CD5" w:rsidP="009A6B42">
            <w:pPr>
              <w:jc w:val="center"/>
              <w:rPr>
                <w:sz w:val="18"/>
                <w:szCs w:val="18"/>
              </w:rPr>
            </w:pPr>
            <w:r w:rsidRPr="00815660">
              <w:rPr>
                <w:sz w:val="18"/>
                <w:szCs w:val="18"/>
              </w:rPr>
              <w:t>1</w:t>
            </w:r>
          </w:p>
        </w:tc>
      </w:tr>
      <w:tr w:rsidR="00B25CD5" w:rsidRPr="00815660" w14:paraId="2E04EF94" w14:textId="77777777" w:rsidTr="00F953AE">
        <w:tc>
          <w:tcPr>
            <w:tcW w:w="3505" w:type="dxa"/>
          </w:tcPr>
          <w:p w14:paraId="1724C024" w14:textId="77777777" w:rsidR="00B25CD5" w:rsidRPr="00815660" w:rsidRDefault="00B25CD5" w:rsidP="009A6B42">
            <w:pPr>
              <w:rPr>
                <w:sz w:val="18"/>
                <w:szCs w:val="18"/>
              </w:rPr>
            </w:pPr>
            <w:r w:rsidRPr="00815660">
              <w:rPr>
                <w:sz w:val="18"/>
                <w:szCs w:val="18"/>
              </w:rPr>
              <w:t>Metabolic diseases</w:t>
            </w:r>
          </w:p>
        </w:tc>
        <w:tc>
          <w:tcPr>
            <w:tcW w:w="720" w:type="dxa"/>
          </w:tcPr>
          <w:p w14:paraId="77EBD986" w14:textId="77777777" w:rsidR="00B25CD5" w:rsidRPr="00815660" w:rsidRDefault="00B25CD5" w:rsidP="009A6B42">
            <w:pPr>
              <w:jc w:val="center"/>
              <w:rPr>
                <w:sz w:val="18"/>
                <w:szCs w:val="18"/>
              </w:rPr>
            </w:pPr>
            <w:r w:rsidRPr="00815660">
              <w:rPr>
                <w:sz w:val="18"/>
                <w:szCs w:val="18"/>
              </w:rPr>
              <w:t>1</w:t>
            </w:r>
          </w:p>
        </w:tc>
      </w:tr>
      <w:tr w:rsidR="00B25CD5" w:rsidRPr="00815660" w14:paraId="59329650" w14:textId="77777777" w:rsidTr="00F953AE">
        <w:tc>
          <w:tcPr>
            <w:tcW w:w="3505" w:type="dxa"/>
          </w:tcPr>
          <w:p w14:paraId="0E67CB06" w14:textId="77777777" w:rsidR="00B25CD5" w:rsidRPr="00815660" w:rsidRDefault="00B25CD5" w:rsidP="009A6B42">
            <w:pPr>
              <w:rPr>
                <w:sz w:val="18"/>
                <w:szCs w:val="18"/>
              </w:rPr>
            </w:pPr>
            <w:r w:rsidRPr="00815660">
              <w:rPr>
                <w:sz w:val="18"/>
                <w:szCs w:val="18"/>
              </w:rPr>
              <w:t>Metabolism</w:t>
            </w:r>
          </w:p>
        </w:tc>
        <w:tc>
          <w:tcPr>
            <w:tcW w:w="720" w:type="dxa"/>
          </w:tcPr>
          <w:p w14:paraId="3EE458E1" w14:textId="77777777" w:rsidR="00B25CD5" w:rsidRPr="00815660" w:rsidRDefault="00B25CD5" w:rsidP="009A6B42">
            <w:pPr>
              <w:jc w:val="center"/>
              <w:rPr>
                <w:sz w:val="18"/>
                <w:szCs w:val="18"/>
              </w:rPr>
            </w:pPr>
            <w:r w:rsidRPr="00815660">
              <w:rPr>
                <w:sz w:val="18"/>
                <w:szCs w:val="18"/>
              </w:rPr>
              <w:t>1</w:t>
            </w:r>
          </w:p>
        </w:tc>
      </w:tr>
      <w:tr w:rsidR="00B25CD5" w:rsidRPr="00815660" w14:paraId="154ECDF7" w14:textId="77777777" w:rsidTr="00F953AE">
        <w:tc>
          <w:tcPr>
            <w:tcW w:w="3505" w:type="dxa"/>
          </w:tcPr>
          <w:p w14:paraId="04BD6E75" w14:textId="77777777" w:rsidR="00B25CD5" w:rsidRPr="00815660" w:rsidRDefault="00B25CD5" w:rsidP="009A6B42">
            <w:pPr>
              <w:rPr>
                <w:sz w:val="18"/>
                <w:szCs w:val="18"/>
              </w:rPr>
            </w:pPr>
            <w:r w:rsidRPr="00815660">
              <w:rPr>
                <w:sz w:val="18"/>
                <w:szCs w:val="18"/>
              </w:rPr>
              <w:t>Nephrology</w:t>
            </w:r>
          </w:p>
        </w:tc>
        <w:tc>
          <w:tcPr>
            <w:tcW w:w="720" w:type="dxa"/>
          </w:tcPr>
          <w:p w14:paraId="7243277D" w14:textId="77777777" w:rsidR="00B25CD5" w:rsidRPr="00815660" w:rsidRDefault="00B25CD5" w:rsidP="009A6B42">
            <w:pPr>
              <w:jc w:val="center"/>
              <w:rPr>
                <w:sz w:val="18"/>
                <w:szCs w:val="18"/>
              </w:rPr>
            </w:pPr>
            <w:r w:rsidRPr="00815660">
              <w:rPr>
                <w:sz w:val="18"/>
                <w:szCs w:val="18"/>
              </w:rPr>
              <w:t>1</w:t>
            </w:r>
          </w:p>
        </w:tc>
      </w:tr>
      <w:tr w:rsidR="00B25CD5" w:rsidRPr="00815660" w14:paraId="73C325BC" w14:textId="77777777" w:rsidTr="00F953AE">
        <w:tc>
          <w:tcPr>
            <w:tcW w:w="3505" w:type="dxa"/>
          </w:tcPr>
          <w:p w14:paraId="0B403169" w14:textId="77777777" w:rsidR="00B25CD5" w:rsidRPr="00815660" w:rsidRDefault="00B25CD5" w:rsidP="009A6B42">
            <w:pPr>
              <w:rPr>
                <w:sz w:val="18"/>
                <w:szCs w:val="18"/>
              </w:rPr>
            </w:pPr>
            <w:r w:rsidRPr="00815660">
              <w:rPr>
                <w:sz w:val="18"/>
                <w:szCs w:val="18"/>
              </w:rPr>
              <w:t>Neurodegeneration</w:t>
            </w:r>
          </w:p>
        </w:tc>
        <w:tc>
          <w:tcPr>
            <w:tcW w:w="720" w:type="dxa"/>
          </w:tcPr>
          <w:p w14:paraId="38B430DB" w14:textId="77777777" w:rsidR="00B25CD5" w:rsidRPr="00815660" w:rsidRDefault="00B25CD5" w:rsidP="009A6B42">
            <w:pPr>
              <w:jc w:val="center"/>
              <w:rPr>
                <w:sz w:val="18"/>
                <w:szCs w:val="18"/>
              </w:rPr>
            </w:pPr>
            <w:r w:rsidRPr="00815660">
              <w:rPr>
                <w:sz w:val="18"/>
                <w:szCs w:val="18"/>
              </w:rPr>
              <w:t>1</w:t>
            </w:r>
          </w:p>
        </w:tc>
      </w:tr>
      <w:tr w:rsidR="00B25CD5" w:rsidRPr="00815660" w14:paraId="2A99B093" w14:textId="77777777" w:rsidTr="00F953AE">
        <w:tc>
          <w:tcPr>
            <w:tcW w:w="3505" w:type="dxa"/>
          </w:tcPr>
          <w:p w14:paraId="208B97E2" w14:textId="77777777" w:rsidR="00B25CD5" w:rsidRPr="00815660" w:rsidRDefault="00B25CD5" w:rsidP="009A6B42">
            <w:pPr>
              <w:rPr>
                <w:sz w:val="18"/>
                <w:szCs w:val="18"/>
              </w:rPr>
            </w:pPr>
            <w:r w:rsidRPr="00815660">
              <w:rPr>
                <w:sz w:val="18"/>
                <w:szCs w:val="18"/>
              </w:rPr>
              <w:t>Ophthalmology</w:t>
            </w:r>
          </w:p>
        </w:tc>
        <w:tc>
          <w:tcPr>
            <w:tcW w:w="720" w:type="dxa"/>
          </w:tcPr>
          <w:p w14:paraId="264E72E0" w14:textId="77777777" w:rsidR="00B25CD5" w:rsidRPr="00815660" w:rsidRDefault="00B25CD5" w:rsidP="009A6B42">
            <w:pPr>
              <w:jc w:val="center"/>
              <w:rPr>
                <w:sz w:val="18"/>
                <w:szCs w:val="18"/>
              </w:rPr>
            </w:pPr>
            <w:r w:rsidRPr="00815660">
              <w:rPr>
                <w:sz w:val="18"/>
                <w:szCs w:val="18"/>
              </w:rPr>
              <w:t>1</w:t>
            </w:r>
          </w:p>
        </w:tc>
      </w:tr>
      <w:tr w:rsidR="00B25CD5" w:rsidRPr="00815660" w14:paraId="5D512A85" w14:textId="77777777" w:rsidTr="00F953AE">
        <w:tc>
          <w:tcPr>
            <w:tcW w:w="3505" w:type="dxa"/>
          </w:tcPr>
          <w:p w14:paraId="6517CFE4" w14:textId="77777777" w:rsidR="00B25CD5" w:rsidRPr="00815660" w:rsidRDefault="00B25CD5" w:rsidP="009A6B42">
            <w:pPr>
              <w:rPr>
                <w:sz w:val="18"/>
                <w:szCs w:val="18"/>
              </w:rPr>
            </w:pPr>
            <w:r w:rsidRPr="00815660">
              <w:rPr>
                <w:sz w:val="18"/>
                <w:szCs w:val="18"/>
              </w:rPr>
              <w:t>Orthopedics</w:t>
            </w:r>
          </w:p>
        </w:tc>
        <w:tc>
          <w:tcPr>
            <w:tcW w:w="720" w:type="dxa"/>
          </w:tcPr>
          <w:p w14:paraId="5D8F4B86" w14:textId="77777777" w:rsidR="00B25CD5" w:rsidRPr="00815660" w:rsidRDefault="00B25CD5" w:rsidP="009A6B42">
            <w:pPr>
              <w:jc w:val="center"/>
              <w:rPr>
                <w:sz w:val="18"/>
                <w:szCs w:val="18"/>
              </w:rPr>
            </w:pPr>
            <w:r w:rsidRPr="00815660">
              <w:rPr>
                <w:sz w:val="18"/>
                <w:szCs w:val="18"/>
              </w:rPr>
              <w:t>1</w:t>
            </w:r>
          </w:p>
        </w:tc>
      </w:tr>
      <w:tr w:rsidR="00B25CD5" w:rsidRPr="00815660" w14:paraId="51057F16" w14:textId="77777777" w:rsidTr="00F953AE">
        <w:tc>
          <w:tcPr>
            <w:tcW w:w="3505" w:type="dxa"/>
          </w:tcPr>
          <w:p w14:paraId="0DD91E2A" w14:textId="77777777" w:rsidR="00B25CD5" w:rsidRPr="00815660" w:rsidRDefault="00B25CD5" w:rsidP="009A6B42">
            <w:pPr>
              <w:rPr>
                <w:sz w:val="18"/>
                <w:szCs w:val="18"/>
              </w:rPr>
            </w:pPr>
            <w:r w:rsidRPr="00815660">
              <w:rPr>
                <w:sz w:val="18"/>
                <w:szCs w:val="18"/>
              </w:rPr>
              <w:t>Otorhinolaryngology</w:t>
            </w:r>
          </w:p>
        </w:tc>
        <w:tc>
          <w:tcPr>
            <w:tcW w:w="720" w:type="dxa"/>
          </w:tcPr>
          <w:p w14:paraId="5D66EFAC" w14:textId="77777777" w:rsidR="00B25CD5" w:rsidRPr="00815660" w:rsidRDefault="00B25CD5" w:rsidP="009A6B42">
            <w:pPr>
              <w:jc w:val="center"/>
              <w:rPr>
                <w:sz w:val="18"/>
                <w:szCs w:val="18"/>
              </w:rPr>
            </w:pPr>
            <w:r w:rsidRPr="00815660">
              <w:rPr>
                <w:sz w:val="18"/>
                <w:szCs w:val="18"/>
              </w:rPr>
              <w:t>1</w:t>
            </w:r>
          </w:p>
        </w:tc>
      </w:tr>
      <w:tr w:rsidR="00B25CD5" w:rsidRPr="00815660" w14:paraId="2497840F" w14:textId="77777777" w:rsidTr="00F953AE">
        <w:tc>
          <w:tcPr>
            <w:tcW w:w="3505" w:type="dxa"/>
          </w:tcPr>
          <w:p w14:paraId="5AE95485" w14:textId="77777777" w:rsidR="00B25CD5" w:rsidRPr="00815660" w:rsidRDefault="00B25CD5" w:rsidP="009A6B42">
            <w:pPr>
              <w:rPr>
                <w:sz w:val="18"/>
                <w:szCs w:val="18"/>
              </w:rPr>
            </w:pPr>
            <w:r w:rsidRPr="00815660">
              <w:rPr>
                <w:sz w:val="18"/>
                <w:szCs w:val="18"/>
              </w:rPr>
              <w:t>Pediatric hematology</w:t>
            </w:r>
          </w:p>
        </w:tc>
        <w:tc>
          <w:tcPr>
            <w:tcW w:w="720" w:type="dxa"/>
          </w:tcPr>
          <w:p w14:paraId="445C50E0" w14:textId="77777777" w:rsidR="00B25CD5" w:rsidRPr="00815660" w:rsidRDefault="00B25CD5" w:rsidP="009A6B42">
            <w:pPr>
              <w:jc w:val="center"/>
              <w:rPr>
                <w:sz w:val="18"/>
                <w:szCs w:val="18"/>
              </w:rPr>
            </w:pPr>
            <w:r w:rsidRPr="00815660">
              <w:rPr>
                <w:sz w:val="18"/>
                <w:szCs w:val="18"/>
              </w:rPr>
              <w:t>1</w:t>
            </w:r>
          </w:p>
        </w:tc>
      </w:tr>
      <w:tr w:rsidR="00B25CD5" w:rsidRPr="00815660" w14:paraId="0CE7939B" w14:textId="77777777" w:rsidTr="00F953AE">
        <w:tc>
          <w:tcPr>
            <w:tcW w:w="3505" w:type="dxa"/>
          </w:tcPr>
          <w:p w14:paraId="63B1EF64" w14:textId="77777777" w:rsidR="00B25CD5" w:rsidRPr="00815660" w:rsidRDefault="00B25CD5" w:rsidP="009A6B42">
            <w:pPr>
              <w:rPr>
                <w:sz w:val="18"/>
                <w:szCs w:val="18"/>
              </w:rPr>
            </w:pPr>
            <w:r w:rsidRPr="00815660">
              <w:rPr>
                <w:sz w:val="18"/>
                <w:szCs w:val="18"/>
              </w:rPr>
              <w:t>Preventive medicine</w:t>
            </w:r>
          </w:p>
        </w:tc>
        <w:tc>
          <w:tcPr>
            <w:tcW w:w="720" w:type="dxa"/>
          </w:tcPr>
          <w:p w14:paraId="3C39B528" w14:textId="77777777" w:rsidR="00B25CD5" w:rsidRPr="00815660" w:rsidRDefault="00B25CD5" w:rsidP="009A6B42">
            <w:pPr>
              <w:jc w:val="center"/>
              <w:rPr>
                <w:sz w:val="18"/>
                <w:szCs w:val="18"/>
              </w:rPr>
            </w:pPr>
            <w:r w:rsidRPr="00815660">
              <w:rPr>
                <w:sz w:val="18"/>
                <w:szCs w:val="18"/>
              </w:rPr>
              <w:t>1</w:t>
            </w:r>
          </w:p>
        </w:tc>
      </w:tr>
      <w:tr w:rsidR="00B25CD5" w:rsidRPr="00815660" w14:paraId="65DE52D7" w14:textId="77777777" w:rsidTr="00F953AE">
        <w:tc>
          <w:tcPr>
            <w:tcW w:w="3505" w:type="dxa"/>
          </w:tcPr>
          <w:p w14:paraId="2B164D25" w14:textId="77777777" w:rsidR="00B25CD5" w:rsidRPr="00815660" w:rsidRDefault="00B25CD5" w:rsidP="009A6B42">
            <w:pPr>
              <w:rPr>
                <w:sz w:val="18"/>
                <w:szCs w:val="18"/>
              </w:rPr>
            </w:pPr>
            <w:r w:rsidRPr="00815660">
              <w:rPr>
                <w:sz w:val="18"/>
                <w:szCs w:val="18"/>
              </w:rPr>
              <w:t>Psychiatry</w:t>
            </w:r>
          </w:p>
        </w:tc>
        <w:tc>
          <w:tcPr>
            <w:tcW w:w="720" w:type="dxa"/>
          </w:tcPr>
          <w:p w14:paraId="119A41E3" w14:textId="77777777" w:rsidR="00B25CD5" w:rsidRPr="00815660" w:rsidRDefault="00B25CD5" w:rsidP="009A6B42">
            <w:pPr>
              <w:jc w:val="center"/>
              <w:rPr>
                <w:sz w:val="18"/>
                <w:szCs w:val="18"/>
              </w:rPr>
            </w:pPr>
            <w:r w:rsidRPr="00815660">
              <w:rPr>
                <w:sz w:val="18"/>
                <w:szCs w:val="18"/>
              </w:rPr>
              <w:t>1</w:t>
            </w:r>
          </w:p>
        </w:tc>
      </w:tr>
      <w:tr w:rsidR="00B25CD5" w:rsidRPr="00815660" w14:paraId="782B66A0" w14:textId="77777777" w:rsidTr="00F953AE">
        <w:tc>
          <w:tcPr>
            <w:tcW w:w="3505" w:type="dxa"/>
          </w:tcPr>
          <w:p w14:paraId="1D1CF6D9" w14:textId="77777777" w:rsidR="00B25CD5" w:rsidRPr="00815660" w:rsidRDefault="00B25CD5" w:rsidP="009A6B42">
            <w:pPr>
              <w:rPr>
                <w:sz w:val="18"/>
                <w:szCs w:val="18"/>
              </w:rPr>
            </w:pPr>
            <w:r w:rsidRPr="00815660">
              <w:rPr>
                <w:sz w:val="18"/>
                <w:szCs w:val="18"/>
              </w:rPr>
              <w:t>Radiology, diagnostic</w:t>
            </w:r>
          </w:p>
        </w:tc>
        <w:tc>
          <w:tcPr>
            <w:tcW w:w="720" w:type="dxa"/>
          </w:tcPr>
          <w:p w14:paraId="7B369628" w14:textId="77777777" w:rsidR="00B25CD5" w:rsidRPr="00815660" w:rsidRDefault="00B25CD5" w:rsidP="009A6B42">
            <w:pPr>
              <w:jc w:val="center"/>
              <w:rPr>
                <w:sz w:val="18"/>
                <w:szCs w:val="18"/>
              </w:rPr>
            </w:pPr>
            <w:r w:rsidRPr="00815660">
              <w:rPr>
                <w:sz w:val="18"/>
                <w:szCs w:val="18"/>
              </w:rPr>
              <w:t>1</w:t>
            </w:r>
          </w:p>
        </w:tc>
      </w:tr>
      <w:tr w:rsidR="00B25CD5" w:rsidRPr="00815660" w14:paraId="7A7FFF53" w14:textId="77777777" w:rsidTr="00F953AE">
        <w:tc>
          <w:tcPr>
            <w:tcW w:w="3505" w:type="dxa"/>
          </w:tcPr>
          <w:p w14:paraId="340D101F" w14:textId="77777777" w:rsidR="00B25CD5" w:rsidRPr="00815660" w:rsidRDefault="00B25CD5" w:rsidP="009A6B42">
            <w:pPr>
              <w:rPr>
                <w:sz w:val="18"/>
                <w:szCs w:val="18"/>
              </w:rPr>
            </w:pPr>
            <w:r w:rsidRPr="00815660">
              <w:rPr>
                <w:sz w:val="18"/>
                <w:szCs w:val="18"/>
              </w:rPr>
              <w:t>Rheumatology</w:t>
            </w:r>
          </w:p>
        </w:tc>
        <w:tc>
          <w:tcPr>
            <w:tcW w:w="720" w:type="dxa"/>
          </w:tcPr>
          <w:p w14:paraId="743042CF" w14:textId="77777777" w:rsidR="00B25CD5" w:rsidRPr="00815660" w:rsidRDefault="00B25CD5" w:rsidP="009A6B42">
            <w:pPr>
              <w:jc w:val="center"/>
              <w:rPr>
                <w:sz w:val="18"/>
                <w:szCs w:val="18"/>
              </w:rPr>
            </w:pPr>
            <w:r w:rsidRPr="00815660">
              <w:rPr>
                <w:sz w:val="18"/>
                <w:szCs w:val="18"/>
              </w:rPr>
              <w:t>1</w:t>
            </w:r>
          </w:p>
        </w:tc>
      </w:tr>
      <w:tr w:rsidR="00B25CD5" w:rsidRPr="00815660" w14:paraId="695E140F" w14:textId="77777777" w:rsidTr="00F953AE">
        <w:tc>
          <w:tcPr>
            <w:tcW w:w="3505" w:type="dxa"/>
          </w:tcPr>
          <w:p w14:paraId="1B73045F" w14:textId="77777777" w:rsidR="00B25CD5" w:rsidRPr="00815660" w:rsidRDefault="00B25CD5" w:rsidP="009A6B42">
            <w:pPr>
              <w:rPr>
                <w:sz w:val="18"/>
                <w:szCs w:val="18"/>
              </w:rPr>
            </w:pPr>
            <w:r w:rsidRPr="00815660">
              <w:rPr>
                <w:sz w:val="18"/>
                <w:szCs w:val="18"/>
              </w:rPr>
              <w:t>Surgery</w:t>
            </w:r>
          </w:p>
        </w:tc>
        <w:tc>
          <w:tcPr>
            <w:tcW w:w="720" w:type="dxa"/>
          </w:tcPr>
          <w:p w14:paraId="267B75AC" w14:textId="77777777" w:rsidR="00B25CD5" w:rsidRPr="00815660" w:rsidRDefault="00B25CD5" w:rsidP="009A6B42">
            <w:pPr>
              <w:jc w:val="center"/>
              <w:rPr>
                <w:sz w:val="18"/>
                <w:szCs w:val="18"/>
              </w:rPr>
            </w:pPr>
            <w:r w:rsidRPr="00815660">
              <w:rPr>
                <w:sz w:val="18"/>
                <w:szCs w:val="18"/>
              </w:rPr>
              <w:t>1</w:t>
            </w:r>
          </w:p>
        </w:tc>
      </w:tr>
      <w:tr w:rsidR="00B25CD5" w:rsidRPr="00815660" w14:paraId="02B24656" w14:textId="77777777" w:rsidTr="00F953AE">
        <w:tc>
          <w:tcPr>
            <w:tcW w:w="3505" w:type="dxa"/>
          </w:tcPr>
          <w:p w14:paraId="593475B7" w14:textId="77777777" w:rsidR="00B25CD5" w:rsidRPr="00815660" w:rsidRDefault="00B25CD5" w:rsidP="009A6B42">
            <w:pPr>
              <w:rPr>
                <w:sz w:val="18"/>
                <w:szCs w:val="18"/>
              </w:rPr>
            </w:pPr>
            <w:r w:rsidRPr="00815660">
              <w:rPr>
                <w:sz w:val="18"/>
                <w:szCs w:val="18"/>
              </w:rPr>
              <w:t>Trauma (non-clinical)</w:t>
            </w:r>
          </w:p>
        </w:tc>
        <w:tc>
          <w:tcPr>
            <w:tcW w:w="720" w:type="dxa"/>
          </w:tcPr>
          <w:p w14:paraId="4C94C765" w14:textId="77777777" w:rsidR="00B25CD5" w:rsidRPr="00815660" w:rsidRDefault="00B25CD5" w:rsidP="009A6B42">
            <w:pPr>
              <w:jc w:val="center"/>
              <w:rPr>
                <w:sz w:val="18"/>
                <w:szCs w:val="18"/>
              </w:rPr>
            </w:pPr>
            <w:r w:rsidRPr="00815660">
              <w:rPr>
                <w:sz w:val="18"/>
                <w:szCs w:val="18"/>
              </w:rPr>
              <w:t>1</w:t>
            </w:r>
          </w:p>
        </w:tc>
      </w:tr>
      <w:tr w:rsidR="00B25CD5" w:rsidRPr="00815660" w14:paraId="4BDDF501" w14:textId="77777777" w:rsidTr="00F953AE">
        <w:tc>
          <w:tcPr>
            <w:tcW w:w="3505" w:type="dxa"/>
          </w:tcPr>
          <w:p w14:paraId="0C410027" w14:textId="77777777" w:rsidR="00B25CD5" w:rsidRPr="00815660" w:rsidRDefault="00B25CD5" w:rsidP="009A6B42">
            <w:pPr>
              <w:rPr>
                <w:sz w:val="18"/>
                <w:szCs w:val="18"/>
              </w:rPr>
            </w:pPr>
            <w:r w:rsidRPr="00815660">
              <w:rPr>
                <w:sz w:val="18"/>
                <w:szCs w:val="18"/>
              </w:rPr>
              <w:t>Urology</w:t>
            </w:r>
          </w:p>
        </w:tc>
        <w:tc>
          <w:tcPr>
            <w:tcW w:w="720" w:type="dxa"/>
          </w:tcPr>
          <w:p w14:paraId="34AF8068" w14:textId="77777777" w:rsidR="00B25CD5" w:rsidRPr="00815660" w:rsidRDefault="00B25CD5" w:rsidP="009A6B42">
            <w:pPr>
              <w:jc w:val="center"/>
              <w:rPr>
                <w:sz w:val="18"/>
                <w:szCs w:val="18"/>
              </w:rPr>
            </w:pPr>
            <w:r w:rsidRPr="00815660">
              <w:rPr>
                <w:sz w:val="18"/>
                <w:szCs w:val="18"/>
              </w:rPr>
              <w:t>1</w:t>
            </w:r>
          </w:p>
        </w:tc>
      </w:tr>
      <w:tr w:rsidR="00B25CD5" w:rsidRPr="00815660" w14:paraId="539B6373" w14:textId="77777777" w:rsidTr="00F953AE">
        <w:tc>
          <w:tcPr>
            <w:tcW w:w="3505" w:type="dxa"/>
          </w:tcPr>
          <w:p w14:paraId="1D0D1326" w14:textId="77777777" w:rsidR="00B25CD5" w:rsidRPr="00815660" w:rsidRDefault="00B25CD5" w:rsidP="009A6B42">
            <w:pPr>
              <w:rPr>
                <w:sz w:val="18"/>
                <w:szCs w:val="18"/>
              </w:rPr>
            </w:pPr>
            <w:r w:rsidRPr="00815660">
              <w:rPr>
                <w:sz w:val="18"/>
                <w:szCs w:val="18"/>
              </w:rPr>
              <w:t>Vaccine development</w:t>
            </w:r>
          </w:p>
        </w:tc>
        <w:tc>
          <w:tcPr>
            <w:tcW w:w="720" w:type="dxa"/>
          </w:tcPr>
          <w:p w14:paraId="19A46AA1" w14:textId="77777777" w:rsidR="00B25CD5" w:rsidRPr="00815660" w:rsidRDefault="00B25CD5" w:rsidP="009A6B42">
            <w:pPr>
              <w:jc w:val="center"/>
              <w:rPr>
                <w:sz w:val="18"/>
                <w:szCs w:val="18"/>
              </w:rPr>
            </w:pPr>
            <w:r w:rsidRPr="00815660">
              <w:rPr>
                <w:sz w:val="18"/>
                <w:szCs w:val="18"/>
              </w:rPr>
              <w:t>1</w:t>
            </w:r>
          </w:p>
        </w:tc>
      </w:tr>
    </w:tbl>
    <w:p w14:paraId="72099E21" w14:textId="77777777" w:rsidR="00F953AE" w:rsidRDefault="00F953AE" w:rsidP="009A6B42">
      <w:pPr>
        <w:spacing w:line="240" w:lineRule="auto"/>
        <w:rPr>
          <w:sz w:val="18"/>
          <w:szCs w:val="18"/>
        </w:rPr>
      </w:pPr>
    </w:p>
    <w:p w14:paraId="0B431F21" w14:textId="30421418" w:rsidR="00B25CD5" w:rsidRPr="00815660" w:rsidRDefault="00885992" w:rsidP="009A6B42">
      <w:pPr>
        <w:spacing w:line="240" w:lineRule="auto"/>
        <w:rPr>
          <w:sz w:val="18"/>
          <w:szCs w:val="18"/>
        </w:rPr>
      </w:pPr>
      <w:r w:rsidRPr="00885992">
        <w:rPr>
          <w:sz w:val="18"/>
          <w:szCs w:val="18"/>
        </w:rPr>
        <w:t>*</w:t>
      </w:r>
      <w:r w:rsidRPr="00885992">
        <w:rPr>
          <w:b/>
          <w:bCs/>
          <w:sz w:val="18"/>
          <w:szCs w:val="18"/>
        </w:rPr>
        <w:t>Data from October 2016 through February 2021</w:t>
      </w:r>
    </w:p>
    <w:p w14:paraId="6B0FBE87" w14:textId="77777777" w:rsidR="009A6B42" w:rsidRDefault="009A6B42">
      <w:pPr>
        <w:rPr>
          <w:b/>
          <w:bCs/>
        </w:rPr>
      </w:pPr>
      <w:r>
        <w:rPr>
          <w:b/>
          <w:bCs/>
        </w:rPr>
        <w:br w:type="page"/>
      </w:r>
    </w:p>
    <w:p w14:paraId="3CA3D02D" w14:textId="1BDFDEF8" w:rsidR="009A6B42" w:rsidRPr="00B87F00" w:rsidRDefault="009A6B42" w:rsidP="00B87F00">
      <w:pPr>
        <w:pStyle w:val="ListParagraph"/>
        <w:numPr>
          <w:ilvl w:val="0"/>
          <w:numId w:val="4"/>
        </w:numPr>
        <w:spacing w:line="240" w:lineRule="auto"/>
        <w:rPr>
          <w:b/>
          <w:bCs/>
        </w:rPr>
      </w:pPr>
      <w:r w:rsidRPr="00B87F00">
        <w:rPr>
          <w:b/>
          <w:bCs/>
        </w:rPr>
        <w:lastRenderedPageBreak/>
        <w:t>SUPPLEM</w:t>
      </w:r>
      <w:r w:rsidR="006E3818" w:rsidRPr="00B87F00">
        <w:rPr>
          <w:b/>
          <w:bCs/>
        </w:rPr>
        <w:t>E</w:t>
      </w:r>
      <w:r w:rsidRPr="00B87F00">
        <w:rPr>
          <w:b/>
          <w:bCs/>
        </w:rPr>
        <w:t>NTAL FIGURES</w:t>
      </w:r>
    </w:p>
    <w:p w14:paraId="13F10DA4" w14:textId="77777777" w:rsidR="009A6B42" w:rsidRDefault="009A6B42" w:rsidP="009A6B42">
      <w:pPr>
        <w:spacing w:line="240" w:lineRule="auto"/>
        <w:rPr>
          <w:b/>
          <w:bCs/>
        </w:rPr>
      </w:pPr>
    </w:p>
    <w:p w14:paraId="290DDB21" w14:textId="7376142E" w:rsidR="00B25CD5" w:rsidRDefault="00B25CD5" w:rsidP="009A6B42">
      <w:pPr>
        <w:spacing w:line="240" w:lineRule="auto"/>
      </w:pPr>
      <w:r w:rsidRPr="004E126B">
        <w:rPr>
          <w:noProof/>
        </w:rPr>
        <w:drawing>
          <wp:inline distT="0" distB="0" distL="0" distR="0" wp14:anchorId="0D331EFB" wp14:editId="7D382C77">
            <wp:extent cx="5943600" cy="33388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38830"/>
                    </a:xfrm>
                    <a:prstGeom prst="rect">
                      <a:avLst/>
                    </a:prstGeom>
                  </pic:spPr>
                </pic:pic>
              </a:graphicData>
            </a:graphic>
          </wp:inline>
        </w:drawing>
      </w:r>
    </w:p>
    <w:p w14:paraId="139C45ED" w14:textId="77777777" w:rsidR="00B25CD5" w:rsidRDefault="00B25CD5" w:rsidP="009A6B42">
      <w:pPr>
        <w:spacing w:line="240" w:lineRule="auto"/>
      </w:pPr>
    </w:p>
    <w:p w14:paraId="6D334CC4" w14:textId="77777777" w:rsidR="00B25CD5" w:rsidRDefault="00B25CD5" w:rsidP="009A6B42">
      <w:pPr>
        <w:spacing w:after="0" w:line="240" w:lineRule="auto"/>
        <w:ind w:right="990"/>
      </w:pPr>
      <w:r w:rsidRPr="00275C3A">
        <w:rPr>
          <w:b/>
          <w:bCs/>
        </w:rPr>
        <w:t xml:space="preserve">Supplemental Figure 1. </w:t>
      </w:r>
      <w:bookmarkStart w:id="6" w:name="_Hlk75873385"/>
      <w:r w:rsidRPr="00275C3A">
        <w:t>EHR-based cohort assessment pipeline for site feasibility</w:t>
      </w:r>
      <w:bookmarkEnd w:id="6"/>
      <w:r w:rsidRPr="00275C3A">
        <w:br/>
      </w:r>
      <w:r w:rsidRPr="00275C3A">
        <w:rPr>
          <w:b/>
          <w:bCs/>
        </w:rPr>
        <w:br/>
        <w:t xml:space="preserve">Key: </w:t>
      </w:r>
      <w:r w:rsidRPr="00275C3A">
        <w:t>ACT Accrual to Clinical Trials; EHR electronic health record; PI principal investigator; POC point of contact; RIC Recruitment Innovation Center</w:t>
      </w:r>
    </w:p>
    <w:p w14:paraId="6414F9D4" w14:textId="77777777" w:rsidR="00B25CD5" w:rsidRDefault="00B25CD5" w:rsidP="009A6B42">
      <w:pPr>
        <w:pStyle w:val="BodyText"/>
        <w:kinsoku w:val="0"/>
        <w:overflowPunct w:val="0"/>
        <w:spacing w:after="0" w:line="240" w:lineRule="auto"/>
        <w:ind w:right="137"/>
      </w:pPr>
      <w:r w:rsidRPr="002A32AB">
        <w:rPr>
          <w:b/>
          <w:bCs/>
        </w:rPr>
        <w:t>Description of Process</w:t>
      </w:r>
      <w:r>
        <w:t xml:space="preserve">: </w:t>
      </w:r>
      <w:r w:rsidRPr="00542252">
        <w:t xml:space="preserve">The RIC recognizes the </w:t>
      </w:r>
      <w:r>
        <w:t>diversity</w:t>
      </w:r>
      <w:r w:rsidRPr="00542252">
        <w:t xml:space="preserve"> across CTSA and non-CTSA sites in sophistication of research data warehousing, availability of comprehensive data, funding for ongoing technical support and maintenance, and abilities to perform complex queries and extract data reliably. </w:t>
      </w:r>
      <w:r>
        <w:t>Taking these variabilities into account, w</w:t>
      </w:r>
      <w:r w:rsidRPr="00542252">
        <w:t xml:space="preserve">e begin by defining, developing, and assessing study-specific phenotype algorithms using generic pseudocode to serve multiple data models and vetting them through our consortium partners. Results are refined as needed to enable efficient and accurate execution across varied </w:t>
      </w:r>
      <w:r>
        <w:t xml:space="preserve">CTSA </w:t>
      </w:r>
      <w:r w:rsidRPr="00542252">
        <w:t xml:space="preserve">sites. The algorithm is </w:t>
      </w:r>
      <w:r>
        <w:t>then pre-run through the Accrual to Clinical Trials (ACT) Network (</w:t>
      </w:r>
      <w:hyperlink r:id="rId8" w:history="1">
        <w:r w:rsidRPr="00695E15">
          <w:rPr>
            <w:rStyle w:val="Hyperlink"/>
          </w:rPr>
          <w:t>www.actnetwork.us/national</w:t>
        </w:r>
      </w:hyperlink>
      <w:r>
        <w:t>) and TriNetX (</w:t>
      </w:r>
      <w:hyperlink r:id="rId9" w:history="1">
        <w:r w:rsidRPr="00695E15">
          <w:rPr>
            <w:rStyle w:val="Hyperlink"/>
          </w:rPr>
          <w:t>www.trinetx.com</w:t>
        </w:r>
      </w:hyperlink>
      <w:r>
        <w:t>) platforms as a final test for suitability prior to delivery</w:t>
      </w:r>
      <w:r w:rsidRPr="00542252">
        <w:t xml:space="preserve"> to individual CTSA sites</w:t>
      </w:r>
      <w:r>
        <w:t xml:space="preserve"> as part of a standardized TIN trial expression of interest process. </w:t>
      </w:r>
      <w:r w:rsidRPr="004E3C12">
        <w:t xml:space="preserve">Liaison </w:t>
      </w:r>
      <w:r>
        <w:t>points of contact (</w:t>
      </w:r>
      <w:r w:rsidRPr="004E3C12">
        <w:t>POCs</w:t>
      </w:r>
      <w:r>
        <w:t xml:space="preserve">) at each contacted CTSA Hub </w:t>
      </w:r>
      <w:r w:rsidRPr="004E3C12">
        <w:t>receive the request to run EHR counts at their site</w:t>
      </w:r>
      <w:r>
        <w:t>s</w:t>
      </w:r>
      <w:r w:rsidRPr="004E3C12">
        <w:t xml:space="preserve"> </w:t>
      </w:r>
      <w:r>
        <w:t>using self-service tools or</w:t>
      </w:r>
      <w:r w:rsidRPr="004E3C12">
        <w:t xml:space="preserve"> pass th</w:t>
      </w:r>
      <w:r>
        <w:t>e</w:t>
      </w:r>
      <w:r w:rsidRPr="004E3C12">
        <w:t xml:space="preserve"> request on to the</w:t>
      </w:r>
      <w:r>
        <w:t>ir</w:t>
      </w:r>
      <w:r w:rsidRPr="004E3C12">
        <w:t xml:space="preserve"> informatics team</w:t>
      </w:r>
      <w:r>
        <w:t>s, then return EHR coun</w:t>
      </w:r>
      <w:r w:rsidRPr="004E3C12">
        <w:t>ts for the institution</w:t>
      </w:r>
      <w:r>
        <w:t xml:space="preserve"> back to the RIC through a REDCap survey. Alternatively, sites can elect to report the pre-run counts from ACT by confirming numbers provided by the RIC or TriNetX through a permissions-based workflow developed for the RIC. Once counts are submitted, t</w:t>
      </w:r>
      <w:r w:rsidRPr="00542252">
        <w:t>he RIC compiles results</w:t>
      </w:r>
      <w:r>
        <w:t xml:space="preserve"> and recommendations for presentation to </w:t>
      </w:r>
      <w:r w:rsidRPr="00542252">
        <w:t>the investigator</w:t>
      </w:r>
      <w:r>
        <w:t xml:space="preserve"> </w:t>
      </w:r>
      <w:r w:rsidRPr="00542252">
        <w:t xml:space="preserve">to facilitate </w:t>
      </w:r>
      <w:r>
        <w:t xml:space="preserve">informed </w:t>
      </w:r>
      <w:r w:rsidRPr="00542252">
        <w:t>selection of sites with the greatest potential for achieving enrollment goals.</w:t>
      </w:r>
    </w:p>
    <w:p w14:paraId="13C13952" w14:textId="77777777" w:rsidR="00B25CD5" w:rsidRPr="00275C3A" w:rsidRDefault="00B25CD5" w:rsidP="009A6B42">
      <w:pPr>
        <w:spacing w:after="120" w:line="240" w:lineRule="auto"/>
        <w:ind w:right="990"/>
        <w:rPr>
          <w:b/>
          <w:bCs/>
        </w:rPr>
      </w:pPr>
    </w:p>
    <w:p w14:paraId="76C0C991" w14:textId="77777777" w:rsidR="00B25CD5" w:rsidRDefault="00B25CD5" w:rsidP="009A6B42">
      <w:pPr>
        <w:spacing w:line="240" w:lineRule="auto"/>
      </w:pPr>
      <w:r>
        <w:br w:type="page"/>
      </w:r>
    </w:p>
    <w:p w14:paraId="5D01A427" w14:textId="77777777" w:rsidR="00B25CD5" w:rsidRDefault="00B25CD5" w:rsidP="009A6B42">
      <w:pPr>
        <w:spacing w:line="240" w:lineRule="auto"/>
      </w:pPr>
    </w:p>
    <w:p w14:paraId="23035C56" w14:textId="77777777" w:rsidR="00B25CD5" w:rsidRDefault="00B25CD5" w:rsidP="009A6B42">
      <w:pPr>
        <w:spacing w:line="240" w:lineRule="auto"/>
      </w:pPr>
      <w:r w:rsidRPr="00C51462">
        <w:rPr>
          <w:noProof/>
        </w:rPr>
        <w:drawing>
          <wp:inline distT="0" distB="0" distL="0" distR="0" wp14:anchorId="6F0ED4A7" wp14:editId="2700FB96">
            <wp:extent cx="3945407" cy="468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51426" cy="4693450"/>
                    </a:xfrm>
                    <a:prstGeom prst="rect">
                      <a:avLst/>
                    </a:prstGeom>
                  </pic:spPr>
                </pic:pic>
              </a:graphicData>
            </a:graphic>
          </wp:inline>
        </w:drawing>
      </w:r>
    </w:p>
    <w:p w14:paraId="52FA25DC" w14:textId="77777777" w:rsidR="00B25CD5" w:rsidRDefault="00B25CD5" w:rsidP="009A6B42">
      <w:pPr>
        <w:spacing w:line="240" w:lineRule="auto"/>
      </w:pPr>
    </w:p>
    <w:p w14:paraId="618B41DC" w14:textId="77777777" w:rsidR="00B25CD5" w:rsidRPr="00275C3A" w:rsidRDefault="00B25CD5" w:rsidP="009A6B42">
      <w:pPr>
        <w:spacing w:after="0" w:line="240" w:lineRule="auto"/>
        <w:rPr>
          <w:b/>
          <w:bCs/>
        </w:rPr>
      </w:pPr>
      <w:r w:rsidRPr="00275C3A">
        <w:rPr>
          <w:b/>
          <w:bCs/>
        </w:rPr>
        <w:t xml:space="preserve">Supplemental Figure </w:t>
      </w:r>
      <w:r>
        <w:rPr>
          <w:b/>
          <w:bCs/>
        </w:rPr>
        <w:t>2</w:t>
      </w:r>
      <w:r w:rsidRPr="00275C3A">
        <w:t xml:space="preserve">. </w:t>
      </w:r>
      <w:bookmarkStart w:id="7" w:name="_Hlk75873460"/>
      <w:r w:rsidRPr="00275C3A">
        <w:t xml:space="preserve">Sample Clinician Study App, </w:t>
      </w:r>
      <w:bookmarkEnd w:id="7"/>
      <w:r w:rsidRPr="00275C3A">
        <w:t xml:space="preserve">which can </w:t>
      </w:r>
      <w:proofErr w:type="gramStart"/>
      <w:r w:rsidRPr="00275C3A">
        <w:t>include:</w:t>
      </w:r>
      <w:proofErr w:type="gramEnd"/>
      <w:r w:rsidRPr="00275C3A">
        <w:t xml:space="preserve"> customized study graphics; menu navigation; study information such as eligibility criteria, study visit schedule, and recruitment video; and site-specific study contact with one-click access</w:t>
      </w:r>
    </w:p>
    <w:p w14:paraId="366A8611" w14:textId="77777777" w:rsidR="00B25CD5" w:rsidRPr="004C61B4" w:rsidRDefault="00B25CD5" w:rsidP="009A6B42">
      <w:pPr>
        <w:spacing w:line="240" w:lineRule="auto"/>
      </w:pPr>
    </w:p>
    <w:p w14:paraId="2FA5F84B" w14:textId="77777777" w:rsidR="00B25CD5" w:rsidRDefault="00B25CD5" w:rsidP="009A6B42">
      <w:pPr>
        <w:spacing w:line="240" w:lineRule="auto"/>
      </w:pPr>
    </w:p>
    <w:p w14:paraId="06E90211" w14:textId="4CA6283F" w:rsidR="00250E74" w:rsidRDefault="00250E74">
      <w:r>
        <w:br w:type="page"/>
      </w:r>
    </w:p>
    <w:p w14:paraId="155CCBBF" w14:textId="72D19C7D" w:rsidR="00795392" w:rsidRDefault="00795392" w:rsidP="00B87F00">
      <w:pPr>
        <w:pStyle w:val="ListParagraph"/>
        <w:numPr>
          <w:ilvl w:val="0"/>
          <w:numId w:val="4"/>
        </w:numPr>
        <w:jc w:val="both"/>
        <w:rPr>
          <w:b/>
          <w:sz w:val="24"/>
          <w:szCs w:val="24"/>
        </w:rPr>
      </w:pPr>
      <w:r>
        <w:rPr>
          <w:b/>
          <w:sz w:val="24"/>
          <w:szCs w:val="24"/>
        </w:rPr>
        <w:lastRenderedPageBreak/>
        <w:t>ECONSENT</w:t>
      </w:r>
    </w:p>
    <w:p w14:paraId="6E6D6750" w14:textId="471A705E" w:rsidR="00795392" w:rsidRPr="00795392" w:rsidRDefault="00795392" w:rsidP="00795392">
      <w:pPr>
        <w:spacing w:before="100" w:beforeAutospacing="1"/>
      </w:pPr>
      <w:r w:rsidRPr="00A0516D">
        <w:t xml:space="preserve">The RIC </w:t>
      </w:r>
      <w:r>
        <w:t>socializes</w:t>
      </w:r>
      <w:r w:rsidRPr="00A0516D">
        <w:t xml:space="preserve"> the eConsent platform for TIN trials during initial and comprehensive consultations for new TIN submissions.</w:t>
      </w:r>
      <w:r>
        <w:t xml:space="preserve"> </w:t>
      </w:r>
      <w:bookmarkStart w:id="8" w:name="_Hlk33011676"/>
      <w:r w:rsidRPr="00A0516D">
        <w:t>T</w:t>
      </w:r>
      <w:r>
        <w:t>o further promulgate</w:t>
      </w:r>
      <w:r>
        <w:t xml:space="preserve"> </w:t>
      </w:r>
      <w:r>
        <w:t>use of eConsent, t</w:t>
      </w:r>
      <w:r w:rsidRPr="00A0516D">
        <w:t xml:space="preserve">he RIC has </w:t>
      </w:r>
      <w:r>
        <w:t xml:space="preserve">supplemented STRIDE’s video library with additional </w:t>
      </w:r>
      <w:r w:rsidRPr="00A0516D">
        <w:t>videos</w:t>
      </w:r>
      <w:r>
        <w:t>, including ones</w:t>
      </w:r>
      <w:r w:rsidRPr="00A0516D">
        <w:t xml:space="preserve"> to explain lumbar puncture and echocardiogram procedures, </w:t>
      </w:r>
      <w:r>
        <w:t>and</w:t>
      </w:r>
      <w:r w:rsidRPr="00A0516D">
        <w:t xml:space="preserve"> two storytelling videos </w:t>
      </w:r>
      <w:r>
        <w:t>on</w:t>
      </w:r>
      <w:r w:rsidRPr="00A0516D">
        <w:t xml:space="preserve"> the importance of clinical trials. </w:t>
      </w:r>
      <w:r>
        <w:t>The RIC</w:t>
      </w:r>
      <w:r w:rsidRPr="00A0516D">
        <w:t xml:space="preserve"> </w:t>
      </w:r>
      <w:r>
        <w:t xml:space="preserve">also </w:t>
      </w:r>
      <w:r w:rsidRPr="00A0516D">
        <w:t>provide</w:t>
      </w:r>
      <w:r>
        <w:t>s</w:t>
      </w:r>
      <w:r w:rsidRPr="00A0516D">
        <w:t xml:space="preserve"> </w:t>
      </w:r>
      <w:r>
        <w:t>support</w:t>
      </w:r>
      <w:r w:rsidRPr="00A0516D">
        <w:t xml:space="preserve"> to investigators </w:t>
      </w:r>
      <w:r>
        <w:t>producing</w:t>
      </w:r>
      <w:r w:rsidRPr="00A0516D">
        <w:t xml:space="preserve"> their own videos </w:t>
      </w:r>
      <w:r>
        <w:t>for</w:t>
      </w:r>
      <w:r w:rsidRPr="00A0516D">
        <w:t xml:space="preserve"> eConsent, and review</w:t>
      </w:r>
      <w:r>
        <w:t>s</w:t>
      </w:r>
      <w:r w:rsidRPr="00A0516D">
        <w:t xml:space="preserve"> and provide</w:t>
      </w:r>
      <w:r>
        <w:t>s</w:t>
      </w:r>
      <w:r w:rsidRPr="00A0516D">
        <w:t xml:space="preserve"> feedback on their online consent documents.</w:t>
      </w:r>
      <w:bookmarkEnd w:id="8"/>
    </w:p>
    <w:p w14:paraId="56E38ACB" w14:textId="77777777" w:rsidR="00795392" w:rsidRDefault="00795392" w:rsidP="00795392">
      <w:pPr>
        <w:pStyle w:val="ListParagraph"/>
        <w:jc w:val="both"/>
        <w:rPr>
          <w:b/>
          <w:sz w:val="24"/>
          <w:szCs w:val="24"/>
        </w:rPr>
      </w:pPr>
    </w:p>
    <w:p w14:paraId="13512146" w14:textId="240109D9" w:rsidR="00250E74" w:rsidRPr="006E3818" w:rsidRDefault="006E3818" w:rsidP="00B87F00">
      <w:pPr>
        <w:pStyle w:val="ListParagraph"/>
        <w:numPr>
          <w:ilvl w:val="0"/>
          <w:numId w:val="4"/>
        </w:numPr>
        <w:jc w:val="both"/>
        <w:rPr>
          <w:b/>
          <w:sz w:val="24"/>
          <w:szCs w:val="24"/>
        </w:rPr>
      </w:pPr>
      <w:r>
        <w:rPr>
          <w:b/>
          <w:sz w:val="24"/>
          <w:szCs w:val="24"/>
        </w:rPr>
        <w:t>CAUSAL PATHWAY AND LOGIC MODELS</w:t>
      </w:r>
    </w:p>
    <w:p w14:paraId="2A764044" w14:textId="77777777" w:rsidR="00250E74" w:rsidRPr="00815660" w:rsidRDefault="00250E74" w:rsidP="00250E74">
      <w:pPr>
        <w:spacing w:after="240"/>
      </w:pPr>
      <w:r w:rsidRPr="00AC719F">
        <w:t>Explicitly defining the steps on performance measures in the causal pathway logic models helps to ensure that teams are aligned across initiatives, and to plan prospectively for collection of key measures. The specificity of defined causal pathway and measures enables the team to test underlying assumptions about the value and impact of various initiatives, to course-correct on the way to intended impacts, and to develop the evidence-base to support the value and dissemination of the various initiatives.</w:t>
      </w:r>
    </w:p>
    <w:p w14:paraId="158C2F45" w14:textId="77777777" w:rsidR="00250E74" w:rsidRPr="00815660" w:rsidRDefault="00250E74" w:rsidP="00250E74">
      <w:pPr>
        <w:spacing w:after="240"/>
      </w:pPr>
      <w:r w:rsidRPr="00815660">
        <w:t>The fundamental element of the Causal Pathway is the sequence below, designed right to left, and executed left to right. In an oversimplification of design, we start with the desired ultimate impact on the right, for example, equity in research, operationalized as representative enrollment of underserved populations in research studies. The model is then developed right to left, asking at each step, “What has to happen (</w:t>
      </w:r>
      <w:r w:rsidRPr="00815660">
        <w:rPr>
          <w:i/>
        </w:rPr>
        <w:t>before this, to the left</w:t>
      </w:r>
      <w:r w:rsidRPr="00815660">
        <w:t xml:space="preserve">) for this to be true?” </w:t>
      </w:r>
    </w:p>
    <w:p w14:paraId="3DFE373E" w14:textId="77777777" w:rsidR="00250E74" w:rsidRDefault="00250E74" w:rsidP="00250E74">
      <w:pPr>
        <w:spacing w:after="240"/>
        <w:jc w:val="both"/>
        <w:rPr>
          <w:sz w:val="24"/>
          <w:szCs w:val="24"/>
        </w:rPr>
      </w:pPr>
      <w:r w:rsidRPr="0001196E">
        <w:rPr>
          <w:noProof/>
          <w:sz w:val="24"/>
          <w:szCs w:val="24"/>
        </w:rPr>
        <w:lastRenderedPageBreak/>
        <w:drawing>
          <wp:inline distT="0" distB="0" distL="0" distR="0" wp14:anchorId="3FCD0799" wp14:editId="37A94FCD">
            <wp:extent cx="5905804" cy="4197566"/>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1"/>
                    <a:stretch>
                      <a:fillRect/>
                    </a:stretch>
                  </pic:blipFill>
                  <pic:spPr>
                    <a:xfrm>
                      <a:off x="0" y="0"/>
                      <a:ext cx="5905804" cy="4197566"/>
                    </a:xfrm>
                    <a:prstGeom prst="rect">
                      <a:avLst/>
                    </a:prstGeom>
                  </pic:spPr>
                </pic:pic>
              </a:graphicData>
            </a:graphic>
          </wp:inline>
        </w:drawing>
      </w:r>
    </w:p>
    <w:p w14:paraId="5C9A22CF" w14:textId="77777777" w:rsidR="00250E74" w:rsidRPr="00815660" w:rsidRDefault="00250E74" w:rsidP="00250E74">
      <w:pPr>
        <w:spacing w:after="240"/>
        <w:jc w:val="both"/>
        <w:rPr>
          <w:b/>
          <w:bCs/>
        </w:rPr>
      </w:pPr>
      <w:r w:rsidRPr="00815660">
        <w:rPr>
          <w:b/>
          <w:bCs/>
        </w:rPr>
        <w:t xml:space="preserve">Supplemental Figure 3. Causal Pathway approach to evaluating performance and </w:t>
      </w:r>
      <w:proofErr w:type="gramStart"/>
      <w:r w:rsidRPr="00815660">
        <w:rPr>
          <w:b/>
          <w:bCs/>
        </w:rPr>
        <w:t>example</w:t>
      </w:r>
      <w:proofErr w:type="gramEnd"/>
    </w:p>
    <w:p w14:paraId="20363E83" w14:textId="77777777" w:rsidR="00250E74" w:rsidRPr="00995B1B" w:rsidRDefault="00250E74" w:rsidP="00250E74">
      <w:r w:rsidRPr="00995B1B">
        <w:t>We track each specific performance measure by defining the unit of measure, how it will be collected, who is responsible for the measure, the timing, and type of analysis. Early in the causal pathway, some measures may be qualitative, in which case descriptive measures or illustrative narratives may be the elements reported. Later in the causal pathway, more quantitative measures are generally expected, such as the timeliness of accrual and percentage of the target population enrolled.</w:t>
      </w:r>
    </w:p>
    <w:p w14:paraId="5C08DCDD" w14:textId="77777777" w:rsidR="00250E74" w:rsidRPr="00995B1B" w:rsidRDefault="00250E74" w:rsidP="00250E74">
      <w:r w:rsidRPr="00995B1B">
        <w:t xml:space="preserve">It is essential to include intermediate effects in the evaluation plan as well, for example, between the strategies for heightened awareness within a specific community and the enrollment of individuals from those communities. This intermediate effect can also be assessed with performance measures—whether clicks to websites, attendance at events, or opinion surveys. It is important data to collect because if enrollment does not in fact increase, we must then study whether it is the lack of awareness or something else interfering with the intended impact of the initiative.   </w:t>
      </w:r>
    </w:p>
    <w:p w14:paraId="5B0DE9BE" w14:textId="77777777" w:rsidR="00250E74" w:rsidRPr="00995B1B" w:rsidRDefault="00250E74" w:rsidP="00250E74">
      <w:r w:rsidRPr="00995B1B">
        <w:t>The analysis of the performance data involves assessment at the project level—whether the initiatives are attaining their goals at each step, whether new challenges are identified, or new innovations inspired by outcome data, and integration at the leadership level as to the net performance across all the initiatives toward meeting the specific aims in support of TIN trials and CTSA investigators.</w:t>
      </w:r>
    </w:p>
    <w:p w14:paraId="1D62E769" w14:textId="7E542750" w:rsidR="00905388" w:rsidRDefault="00650FB7" w:rsidP="009A6B42">
      <w:pPr>
        <w:spacing w:line="240" w:lineRule="auto"/>
      </w:pPr>
    </w:p>
    <w:p w14:paraId="44048D8E" w14:textId="77777777" w:rsidR="00815660" w:rsidRDefault="00815660">
      <w:pPr>
        <w:rPr>
          <w:b/>
          <w:bCs/>
          <w:sz w:val="24"/>
          <w:szCs w:val="24"/>
        </w:rPr>
      </w:pPr>
      <w:r>
        <w:rPr>
          <w:b/>
          <w:bCs/>
          <w:sz w:val="24"/>
          <w:szCs w:val="24"/>
        </w:rPr>
        <w:br w:type="page"/>
      </w:r>
    </w:p>
    <w:p w14:paraId="7D752A0F" w14:textId="31B51255" w:rsidR="00B87F00" w:rsidRPr="00683684" w:rsidRDefault="00795392" w:rsidP="00B87F00">
      <w:pPr>
        <w:pStyle w:val="ListParagraph"/>
        <w:numPr>
          <w:ilvl w:val="0"/>
          <w:numId w:val="4"/>
        </w:numPr>
        <w:spacing w:line="240" w:lineRule="auto"/>
        <w:rPr>
          <w:b/>
          <w:bCs/>
          <w:sz w:val="24"/>
          <w:szCs w:val="24"/>
        </w:rPr>
      </w:pPr>
      <w:r>
        <w:rPr>
          <w:b/>
          <w:bCs/>
          <w:sz w:val="24"/>
          <w:szCs w:val="24"/>
        </w:rPr>
        <w:lastRenderedPageBreak/>
        <w:t>ADDITIONAL RIC VIGNETTES</w:t>
      </w:r>
    </w:p>
    <w:p w14:paraId="3680E7B3" w14:textId="77777777" w:rsidR="00B87F00" w:rsidRPr="00B87F00" w:rsidRDefault="00B87F00" w:rsidP="00B87F00">
      <w:pPr>
        <w:spacing w:line="240" w:lineRule="auto"/>
      </w:pPr>
      <w:bookmarkStart w:id="9" w:name="_Hlk67552657"/>
      <w:r w:rsidRPr="00B87F00">
        <w:rPr>
          <w:i/>
          <w:iCs/>
        </w:rPr>
        <w:t>REACT-AF</w:t>
      </w:r>
      <w:r w:rsidRPr="00B87F00">
        <w:t xml:space="preserve">: The Rhythm Evaluation for </w:t>
      </w:r>
      <w:proofErr w:type="spellStart"/>
      <w:r w:rsidRPr="00B87F00">
        <w:t>AntiCoagulaTion</w:t>
      </w:r>
      <w:proofErr w:type="spellEnd"/>
      <w:r w:rsidRPr="00B87F00">
        <w:t xml:space="preserve"> for Atrial Fibrillation (REACT-AF) trial, a multisite randomized controlled trial of patients with atrial fibrillation and other vascular risk factors, was proposed to test whether the use of a smartwatch-guided, time-delineated anticoagulant treatment could prevent strokes and reduce major bleeding events better than continuous long-term usage of anticoagulants alone. Cohort discovery led by the RIC was designed to ensure timely selection of sites with adequate enrollment capacity, including 40 CTSA sites. In the initial grant submission, reviewers expressed concern regarding participant willingness to adhere to the proposed smartwatch protocol. To address this question, the RIC conducted a survey in ResearchMatch of over 2000 potential participants. Survey results indicated that the planned data collection approach was perceived as reasonable, thereby providing a definitive answer to quell reviewers’ concerns over that aspect of study feasibility.</w:t>
      </w:r>
    </w:p>
    <w:p w14:paraId="0A459D31" w14:textId="1CA614F9" w:rsidR="00892C83" w:rsidRDefault="00B87F00" w:rsidP="00B87F00">
      <w:pPr>
        <w:spacing w:line="240" w:lineRule="auto"/>
      </w:pPr>
      <w:proofErr w:type="spellStart"/>
      <w:r w:rsidRPr="00B87F00">
        <w:rPr>
          <w:i/>
          <w:iCs/>
        </w:rPr>
        <w:t>MoTrPAC</w:t>
      </w:r>
      <w:proofErr w:type="spellEnd"/>
      <w:r w:rsidRPr="00B87F00">
        <w:t>: Researchers for the Molecular Transducers of Physical Activity Consortium (</w:t>
      </w:r>
      <w:proofErr w:type="spellStart"/>
      <w:r w:rsidRPr="00B87F00">
        <w:t>MoTrPAC</w:t>
      </w:r>
      <w:proofErr w:type="spellEnd"/>
      <w:r w:rsidRPr="00B87F00">
        <w:t xml:space="preserve">) aimed to increase understanding of how exercise preserves tissue and organ health at the molecular level. This information would be used to help clinicians prescribe more specific exercise recommendations for their patients. The RIC conducted two </w:t>
      </w:r>
      <w:proofErr w:type="gramStart"/>
      <w:r w:rsidRPr="00B87F00">
        <w:t>CESs</w:t>
      </w:r>
      <w:proofErr w:type="gramEnd"/>
      <w:r w:rsidRPr="00B87F00">
        <w:t xml:space="preserve">, one with grassroots community leaders from a low SES urban area, and the other with a diverse group of self-reported non-exercisers. Feedback from the first group was used to inform the creation of culturally tailored messaging and to identify a range of adequate compensation for the many study activities. The second group identified recruitment strategies that would be especially productive in their communities, including social media, collaboration with key community organizations, and customization of messaging for distinct groups of participants. </w:t>
      </w:r>
    </w:p>
    <w:bookmarkEnd w:id="9"/>
    <w:p w14:paraId="34113CAA" w14:textId="410FFABB" w:rsidR="00B87F00" w:rsidRDefault="00B87F00" w:rsidP="00DB34B8"/>
    <w:sectPr w:rsidR="00B87F00" w:rsidSect="000547D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7FBD5" w14:textId="77777777" w:rsidR="00F91284" w:rsidRDefault="007C14FA">
      <w:pPr>
        <w:spacing w:after="0" w:line="240" w:lineRule="auto"/>
      </w:pPr>
      <w:r>
        <w:separator/>
      </w:r>
    </w:p>
  </w:endnote>
  <w:endnote w:type="continuationSeparator" w:id="0">
    <w:p w14:paraId="3798056E" w14:textId="77777777" w:rsidR="00F91284" w:rsidRDefault="007C1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919134"/>
      <w:docPartObj>
        <w:docPartGallery w:val="Page Numbers (Bottom of Page)"/>
        <w:docPartUnique/>
      </w:docPartObj>
    </w:sdtPr>
    <w:sdtEndPr>
      <w:rPr>
        <w:noProof/>
      </w:rPr>
    </w:sdtEndPr>
    <w:sdtContent>
      <w:p w14:paraId="6BC07923" w14:textId="77777777" w:rsidR="0021646B" w:rsidRDefault="00B25C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F43723" w14:textId="77777777" w:rsidR="0021646B" w:rsidRDefault="00650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24B07" w14:textId="77777777" w:rsidR="00F91284" w:rsidRDefault="007C14FA">
      <w:pPr>
        <w:spacing w:after="0" w:line="240" w:lineRule="auto"/>
      </w:pPr>
      <w:r>
        <w:separator/>
      </w:r>
    </w:p>
  </w:footnote>
  <w:footnote w:type="continuationSeparator" w:id="0">
    <w:p w14:paraId="5E63AAF4" w14:textId="77777777" w:rsidR="00F91284" w:rsidRDefault="007C1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CB2"/>
    <w:multiLevelType w:val="hybridMultilevel"/>
    <w:tmpl w:val="9EE071C0"/>
    <w:lvl w:ilvl="0" w:tplc="ACB41FD6">
      <w:start w:val="1"/>
      <w:numFmt w:val="bullet"/>
      <w:lvlText w:val="-"/>
      <w:lvlJc w:val="left"/>
      <w:pPr>
        <w:ind w:left="510" w:hanging="360"/>
      </w:pPr>
      <w:rPr>
        <w:rFonts w:ascii="Calibri" w:eastAsiaTheme="minorHAnsi" w:hAnsi="Calibri" w:cs="Calibr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0AAC0DA3"/>
    <w:multiLevelType w:val="hybridMultilevel"/>
    <w:tmpl w:val="C562B4D8"/>
    <w:lvl w:ilvl="0" w:tplc="4EB86A5C">
      <w:start w:val="1"/>
      <w:numFmt w:val="bullet"/>
      <w:lvlText w:val="•"/>
      <w:lvlJc w:val="left"/>
      <w:pPr>
        <w:tabs>
          <w:tab w:val="num" w:pos="720"/>
        </w:tabs>
        <w:ind w:left="720" w:hanging="360"/>
      </w:pPr>
      <w:rPr>
        <w:rFonts w:ascii="Arial" w:hAnsi="Arial" w:hint="default"/>
      </w:rPr>
    </w:lvl>
    <w:lvl w:ilvl="1" w:tplc="EA4E7632" w:tentative="1">
      <w:start w:val="1"/>
      <w:numFmt w:val="bullet"/>
      <w:lvlText w:val="•"/>
      <w:lvlJc w:val="left"/>
      <w:pPr>
        <w:tabs>
          <w:tab w:val="num" w:pos="1440"/>
        </w:tabs>
        <w:ind w:left="1440" w:hanging="360"/>
      </w:pPr>
      <w:rPr>
        <w:rFonts w:ascii="Arial" w:hAnsi="Arial" w:hint="default"/>
      </w:rPr>
    </w:lvl>
    <w:lvl w:ilvl="2" w:tplc="E88ABB14" w:tentative="1">
      <w:start w:val="1"/>
      <w:numFmt w:val="bullet"/>
      <w:lvlText w:val="•"/>
      <w:lvlJc w:val="left"/>
      <w:pPr>
        <w:tabs>
          <w:tab w:val="num" w:pos="2160"/>
        </w:tabs>
        <w:ind w:left="2160" w:hanging="360"/>
      </w:pPr>
      <w:rPr>
        <w:rFonts w:ascii="Arial" w:hAnsi="Arial" w:hint="default"/>
      </w:rPr>
    </w:lvl>
    <w:lvl w:ilvl="3" w:tplc="5C9E6C3E" w:tentative="1">
      <w:start w:val="1"/>
      <w:numFmt w:val="bullet"/>
      <w:lvlText w:val="•"/>
      <w:lvlJc w:val="left"/>
      <w:pPr>
        <w:tabs>
          <w:tab w:val="num" w:pos="2880"/>
        </w:tabs>
        <w:ind w:left="2880" w:hanging="360"/>
      </w:pPr>
      <w:rPr>
        <w:rFonts w:ascii="Arial" w:hAnsi="Arial" w:hint="default"/>
      </w:rPr>
    </w:lvl>
    <w:lvl w:ilvl="4" w:tplc="F9FC0200" w:tentative="1">
      <w:start w:val="1"/>
      <w:numFmt w:val="bullet"/>
      <w:lvlText w:val="•"/>
      <w:lvlJc w:val="left"/>
      <w:pPr>
        <w:tabs>
          <w:tab w:val="num" w:pos="3600"/>
        </w:tabs>
        <w:ind w:left="3600" w:hanging="360"/>
      </w:pPr>
      <w:rPr>
        <w:rFonts w:ascii="Arial" w:hAnsi="Arial" w:hint="default"/>
      </w:rPr>
    </w:lvl>
    <w:lvl w:ilvl="5" w:tplc="F64C85B0" w:tentative="1">
      <w:start w:val="1"/>
      <w:numFmt w:val="bullet"/>
      <w:lvlText w:val="•"/>
      <w:lvlJc w:val="left"/>
      <w:pPr>
        <w:tabs>
          <w:tab w:val="num" w:pos="4320"/>
        </w:tabs>
        <w:ind w:left="4320" w:hanging="360"/>
      </w:pPr>
      <w:rPr>
        <w:rFonts w:ascii="Arial" w:hAnsi="Arial" w:hint="default"/>
      </w:rPr>
    </w:lvl>
    <w:lvl w:ilvl="6" w:tplc="43744A9E" w:tentative="1">
      <w:start w:val="1"/>
      <w:numFmt w:val="bullet"/>
      <w:lvlText w:val="•"/>
      <w:lvlJc w:val="left"/>
      <w:pPr>
        <w:tabs>
          <w:tab w:val="num" w:pos="5040"/>
        </w:tabs>
        <w:ind w:left="5040" w:hanging="360"/>
      </w:pPr>
      <w:rPr>
        <w:rFonts w:ascii="Arial" w:hAnsi="Arial" w:hint="default"/>
      </w:rPr>
    </w:lvl>
    <w:lvl w:ilvl="7" w:tplc="FFB20738" w:tentative="1">
      <w:start w:val="1"/>
      <w:numFmt w:val="bullet"/>
      <w:lvlText w:val="•"/>
      <w:lvlJc w:val="left"/>
      <w:pPr>
        <w:tabs>
          <w:tab w:val="num" w:pos="5760"/>
        </w:tabs>
        <w:ind w:left="5760" w:hanging="360"/>
      </w:pPr>
      <w:rPr>
        <w:rFonts w:ascii="Arial" w:hAnsi="Arial" w:hint="default"/>
      </w:rPr>
    </w:lvl>
    <w:lvl w:ilvl="8" w:tplc="4CB29A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365FB1"/>
    <w:multiLevelType w:val="hybridMultilevel"/>
    <w:tmpl w:val="2C5AC920"/>
    <w:lvl w:ilvl="0" w:tplc="B35091E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A94DAF"/>
    <w:multiLevelType w:val="hybridMultilevel"/>
    <w:tmpl w:val="7146F4BA"/>
    <w:lvl w:ilvl="0" w:tplc="FE04940E">
      <w:start w:val="1"/>
      <w:numFmt w:val="bullet"/>
      <w:lvlText w:val="-"/>
      <w:lvlJc w:val="left"/>
      <w:pPr>
        <w:ind w:left="465" w:hanging="360"/>
      </w:pPr>
      <w:rPr>
        <w:rFonts w:ascii="Calibri" w:eastAsiaTheme="minorHAns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4" w15:restartNumberingAfterBreak="0">
    <w:nsid w:val="57D54C52"/>
    <w:multiLevelType w:val="hybridMultilevel"/>
    <w:tmpl w:val="3B521FAE"/>
    <w:lvl w:ilvl="0" w:tplc="0450E4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8B6541"/>
    <w:multiLevelType w:val="hybridMultilevel"/>
    <w:tmpl w:val="D7742FD4"/>
    <w:lvl w:ilvl="0" w:tplc="546871D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00BA0"/>
    <w:multiLevelType w:val="hybridMultilevel"/>
    <w:tmpl w:val="F0744B6C"/>
    <w:lvl w:ilvl="0" w:tplc="DC3450D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42"/>
    <w:rsid w:val="000C6B29"/>
    <w:rsid w:val="00142120"/>
    <w:rsid w:val="001531A7"/>
    <w:rsid w:val="001561A2"/>
    <w:rsid w:val="001A1ED7"/>
    <w:rsid w:val="00250E74"/>
    <w:rsid w:val="002A443E"/>
    <w:rsid w:val="0039787D"/>
    <w:rsid w:val="00407D1D"/>
    <w:rsid w:val="00415D29"/>
    <w:rsid w:val="0049657B"/>
    <w:rsid w:val="00503356"/>
    <w:rsid w:val="00524307"/>
    <w:rsid w:val="005F0F68"/>
    <w:rsid w:val="006237E8"/>
    <w:rsid w:val="00650FB7"/>
    <w:rsid w:val="00683684"/>
    <w:rsid w:val="006C4793"/>
    <w:rsid w:val="006D3854"/>
    <w:rsid w:val="006E3818"/>
    <w:rsid w:val="00795392"/>
    <w:rsid w:val="007C0FD8"/>
    <w:rsid w:val="007C14FA"/>
    <w:rsid w:val="007D7E9B"/>
    <w:rsid w:val="00815660"/>
    <w:rsid w:val="008544CA"/>
    <w:rsid w:val="00885992"/>
    <w:rsid w:val="008904F1"/>
    <w:rsid w:val="00892C83"/>
    <w:rsid w:val="008D6058"/>
    <w:rsid w:val="009A6B42"/>
    <w:rsid w:val="00A4348E"/>
    <w:rsid w:val="00B25CD5"/>
    <w:rsid w:val="00B3488E"/>
    <w:rsid w:val="00B87F00"/>
    <w:rsid w:val="00BE2C25"/>
    <w:rsid w:val="00C24A3C"/>
    <w:rsid w:val="00CA6C42"/>
    <w:rsid w:val="00DB34B8"/>
    <w:rsid w:val="00F91284"/>
    <w:rsid w:val="00F953AE"/>
    <w:rsid w:val="00FF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693CF"/>
  <w15:chartTrackingRefBased/>
  <w15:docId w15:val="{5828A0B3-DA15-4E5E-85BC-84CAAA78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25CD5"/>
    <w:pPr>
      <w:spacing w:after="120"/>
    </w:pPr>
  </w:style>
  <w:style w:type="character" w:customStyle="1" w:styleId="BodyTextChar">
    <w:name w:val="Body Text Char"/>
    <w:basedOn w:val="DefaultParagraphFont"/>
    <w:link w:val="BodyText"/>
    <w:uiPriority w:val="99"/>
    <w:rsid w:val="00B25CD5"/>
  </w:style>
  <w:style w:type="character" w:styleId="Hyperlink">
    <w:name w:val="Hyperlink"/>
    <w:basedOn w:val="DefaultParagraphFont"/>
    <w:uiPriority w:val="99"/>
    <w:unhideWhenUsed/>
    <w:rsid w:val="00B25CD5"/>
    <w:rPr>
      <w:color w:val="0563C1" w:themeColor="hyperlink"/>
      <w:u w:val="single"/>
    </w:rPr>
  </w:style>
  <w:style w:type="paragraph" w:styleId="Footer">
    <w:name w:val="footer"/>
    <w:basedOn w:val="Normal"/>
    <w:link w:val="FooterChar"/>
    <w:uiPriority w:val="99"/>
    <w:unhideWhenUsed/>
    <w:rsid w:val="00B25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CD5"/>
  </w:style>
  <w:style w:type="paragraph" w:styleId="NormalWeb">
    <w:name w:val="Normal (Web)"/>
    <w:basedOn w:val="Normal"/>
    <w:uiPriority w:val="99"/>
    <w:semiHidden/>
    <w:unhideWhenUsed/>
    <w:rsid w:val="00B25CD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25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network.us/nation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trinet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Nan</dc:creator>
  <cp:keywords/>
  <dc:description/>
  <cp:lastModifiedBy>Kennedy, Nan</cp:lastModifiedBy>
  <cp:revision>4</cp:revision>
  <dcterms:created xsi:type="dcterms:W3CDTF">2021-07-21T19:46:00Z</dcterms:created>
  <dcterms:modified xsi:type="dcterms:W3CDTF">2021-08-10T18:15:00Z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2021-04-14T18:36:53Z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c219733e-ffca-43df-b56a-d14f58190065</vt:lpwstr>
  </property>
  <property fmtid="{D5CDD505-2E9C-101B-9397-08002B2CF9AE}" pid="8" name="MSIP_Label_792c8cef-6f2b-4af1-b4ac-d815ff795cd6_ContentBits">
    <vt:lpwstr>0</vt:lpwstr>
  </property>
</Properties>
</file>