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C387" w14:textId="0FC4298B" w:rsidR="009A1CDE" w:rsidRDefault="00CF7D57" w:rsidP="00FB30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 Materials and Methods</w:t>
      </w:r>
    </w:p>
    <w:p w14:paraId="296202DE" w14:textId="6D770651" w:rsidR="007F3720" w:rsidRPr="007F3720" w:rsidRDefault="007F3720" w:rsidP="007F37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Follow-up study testing a transcript-only version of the Attitudes Toward Genomics and Precision Medicine (AGPM)</w:t>
      </w:r>
      <w:r w:rsidRPr="007F37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Measure</w:t>
      </w:r>
    </w:p>
    <w:p w14:paraId="720A8783" w14:textId="3399ABD6" w:rsidR="007F3720" w:rsidRPr="007F3720" w:rsidRDefault="007F3720" w:rsidP="007F3720">
      <w:pPr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>Erin</w:t>
      </w:r>
      <w:r>
        <w:rPr>
          <w:rFonts w:ascii="Arial" w:hAnsi="Arial" w:cs="Arial"/>
          <w:sz w:val="24"/>
          <w:szCs w:val="24"/>
        </w:rPr>
        <w:t xml:space="preserve"> D.</w:t>
      </w:r>
      <w:r w:rsidRPr="007F3720">
        <w:rPr>
          <w:rFonts w:ascii="Arial" w:hAnsi="Arial" w:cs="Arial"/>
          <w:sz w:val="24"/>
          <w:szCs w:val="24"/>
        </w:rPr>
        <w:t xml:space="preserve"> Solomon, PhD, Alison</w:t>
      </w:r>
      <w:r>
        <w:rPr>
          <w:rFonts w:ascii="Arial" w:hAnsi="Arial" w:cs="Arial"/>
          <w:sz w:val="24"/>
          <w:szCs w:val="24"/>
        </w:rPr>
        <w:t xml:space="preserve"> L.</w:t>
      </w:r>
      <w:r w:rsidRPr="007F3720">
        <w:rPr>
          <w:rFonts w:ascii="Arial" w:hAnsi="Arial" w:cs="Arial"/>
          <w:sz w:val="24"/>
          <w:szCs w:val="24"/>
        </w:rPr>
        <w:t xml:space="preserve"> Antes, PhD, James </w:t>
      </w:r>
      <w:r>
        <w:rPr>
          <w:rFonts w:ascii="Arial" w:hAnsi="Arial" w:cs="Arial"/>
          <w:sz w:val="24"/>
          <w:szCs w:val="24"/>
        </w:rPr>
        <w:t xml:space="preserve">M. </w:t>
      </w:r>
      <w:r w:rsidRPr="007F3720">
        <w:rPr>
          <w:rFonts w:ascii="Arial" w:hAnsi="Arial" w:cs="Arial"/>
          <w:sz w:val="24"/>
          <w:szCs w:val="24"/>
        </w:rPr>
        <w:t>DuBois, DSc, PhD</w:t>
      </w:r>
    </w:p>
    <w:p w14:paraId="18FDAE4B" w14:textId="77777777" w:rsidR="007F3720" w:rsidRPr="007F3720" w:rsidRDefault="007F3720" w:rsidP="007F3720">
      <w:pPr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>Bioethics Research Center</w:t>
      </w:r>
    </w:p>
    <w:p w14:paraId="571436E8" w14:textId="77777777" w:rsidR="007F3720" w:rsidRPr="007F3720" w:rsidRDefault="007F3720" w:rsidP="007F3720">
      <w:pPr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>Washington University</w:t>
      </w:r>
    </w:p>
    <w:p w14:paraId="63DAFD55" w14:textId="4B2696A8" w:rsidR="007F3720" w:rsidRPr="007F3720" w:rsidRDefault="007F3720" w:rsidP="007F3720">
      <w:pPr>
        <w:jc w:val="center"/>
        <w:rPr>
          <w:rFonts w:ascii="Arial" w:hAnsi="Arial" w:cs="Arial"/>
          <w:b/>
          <w:sz w:val="24"/>
          <w:szCs w:val="24"/>
        </w:rPr>
      </w:pPr>
      <w:r w:rsidRPr="007F3720">
        <w:rPr>
          <w:rFonts w:ascii="Arial" w:hAnsi="Arial" w:cs="Arial"/>
          <w:b/>
          <w:sz w:val="24"/>
          <w:szCs w:val="24"/>
        </w:rPr>
        <w:t>Introduction</w:t>
      </w:r>
    </w:p>
    <w:p w14:paraId="1A8DF028" w14:textId="0047F6FD" w:rsidR="00FB30A4" w:rsidRPr="00A008C4" w:rsidRDefault="00FB30A4">
      <w:pPr>
        <w:rPr>
          <w:rFonts w:ascii="Arial" w:hAnsi="Arial" w:cs="Arial"/>
          <w:sz w:val="24"/>
          <w:szCs w:val="24"/>
        </w:rPr>
      </w:pPr>
      <w:r w:rsidRPr="007F3720">
        <w:rPr>
          <w:rFonts w:ascii="Arial" w:hAnsi="Arial" w:cs="Arial"/>
          <w:sz w:val="24"/>
          <w:szCs w:val="24"/>
        </w:rPr>
        <w:t xml:space="preserve">This appendix </w:t>
      </w:r>
      <w:r w:rsidR="00922FA4" w:rsidRPr="007F3720">
        <w:rPr>
          <w:rFonts w:ascii="Arial" w:hAnsi="Arial" w:cs="Arial"/>
          <w:sz w:val="24"/>
          <w:szCs w:val="24"/>
        </w:rPr>
        <w:t>reports on a pilot</w:t>
      </w:r>
      <w:r w:rsidR="00922FA4">
        <w:rPr>
          <w:rFonts w:ascii="Arial" w:hAnsi="Arial" w:cs="Arial"/>
          <w:sz w:val="24"/>
          <w:szCs w:val="24"/>
        </w:rPr>
        <w:t xml:space="preserve"> test</w:t>
      </w:r>
      <w:r w:rsidRPr="00A008C4">
        <w:rPr>
          <w:rFonts w:ascii="Arial" w:hAnsi="Arial" w:cs="Arial"/>
          <w:sz w:val="24"/>
          <w:szCs w:val="24"/>
        </w:rPr>
        <w:t xml:space="preserve"> of a transcript-only version of the Attitudes Toward </w:t>
      </w:r>
      <w:r w:rsidR="003727B8">
        <w:rPr>
          <w:rFonts w:ascii="Arial" w:hAnsi="Arial" w:cs="Arial"/>
          <w:sz w:val="24"/>
          <w:szCs w:val="24"/>
        </w:rPr>
        <w:t xml:space="preserve">Genomics and </w:t>
      </w:r>
      <w:r w:rsidRPr="00A008C4">
        <w:rPr>
          <w:rFonts w:ascii="Arial" w:hAnsi="Arial" w:cs="Arial"/>
          <w:sz w:val="24"/>
          <w:szCs w:val="24"/>
        </w:rPr>
        <w:t xml:space="preserve">Precision Medicine (AGPM) </w:t>
      </w:r>
      <w:r w:rsidR="006A3596">
        <w:rPr>
          <w:rFonts w:ascii="Arial" w:hAnsi="Arial" w:cs="Arial"/>
          <w:sz w:val="24"/>
          <w:szCs w:val="24"/>
        </w:rPr>
        <w:t>measure</w:t>
      </w:r>
      <w:r w:rsidRPr="00A008C4">
        <w:rPr>
          <w:rFonts w:ascii="Arial" w:hAnsi="Arial" w:cs="Arial"/>
          <w:sz w:val="24"/>
          <w:szCs w:val="24"/>
        </w:rPr>
        <w:t xml:space="preserve">. </w:t>
      </w:r>
      <w:r w:rsidR="00922FA4">
        <w:rPr>
          <w:rFonts w:ascii="Arial" w:hAnsi="Arial" w:cs="Arial"/>
          <w:sz w:val="24"/>
          <w:szCs w:val="24"/>
        </w:rPr>
        <w:t>Our</w:t>
      </w:r>
      <w:r w:rsidRPr="00A008C4">
        <w:rPr>
          <w:rFonts w:ascii="Arial" w:hAnsi="Arial" w:cs="Arial"/>
          <w:sz w:val="24"/>
          <w:szCs w:val="24"/>
        </w:rPr>
        <w:t xml:space="preserve"> research questions were:</w:t>
      </w:r>
    </w:p>
    <w:p w14:paraId="5242E767" w14:textId="77777777" w:rsidR="00FB30A4" w:rsidRDefault="00922FA4" w:rsidP="00FB30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 mean scores and standard deviations of a</w:t>
      </w:r>
      <w:r w:rsidR="00FB30A4" w:rsidRPr="00A008C4">
        <w:rPr>
          <w:rFonts w:ascii="Arial" w:hAnsi="Arial" w:cs="Arial"/>
          <w:sz w:val="24"/>
          <w:szCs w:val="24"/>
        </w:rPr>
        <w:t xml:space="preserve"> transcript-only version of the AGPM equivalent to the version that contains short video descriptions of the</w:t>
      </w:r>
      <w:r w:rsidR="00A008C4">
        <w:rPr>
          <w:rFonts w:ascii="Arial" w:hAnsi="Arial" w:cs="Arial"/>
          <w:sz w:val="24"/>
          <w:szCs w:val="24"/>
        </w:rPr>
        <w:t xml:space="preserve"> genomics and</w:t>
      </w:r>
      <w:r w:rsidR="00FB30A4" w:rsidRPr="00A008C4">
        <w:rPr>
          <w:rFonts w:ascii="Arial" w:hAnsi="Arial" w:cs="Arial"/>
          <w:sz w:val="24"/>
          <w:szCs w:val="24"/>
        </w:rPr>
        <w:t xml:space="preserve"> precision</w:t>
      </w:r>
      <w:r w:rsidR="006A3596">
        <w:rPr>
          <w:rFonts w:ascii="Arial" w:hAnsi="Arial" w:cs="Arial"/>
          <w:sz w:val="24"/>
          <w:szCs w:val="24"/>
        </w:rPr>
        <w:t xml:space="preserve"> </w:t>
      </w:r>
      <w:r w:rsidR="00FB30A4" w:rsidRPr="00A008C4">
        <w:rPr>
          <w:rFonts w:ascii="Arial" w:hAnsi="Arial" w:cs="Arial"/>
          <w:sz w:val="24"/>
          <w:szCs w:val="24"/>
        </w:rPr>
        <w:t>medicine concepts?</w:t>
      </w:r>
    </w:p>
    <w:p w14:paraId="6BB42F16" w14:textId="77777777" w:rsidR="00922FA4" w:rsidRPr="00A008C4" w:rsidRDefault="00922FA4" w:rsidP="00FB30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difference in the duration of survey completion between the two versions?</w:t>
      </w:r>
    </w:p>
    <w:p w14:paraId="7A7F4292" w14:textId="77777777" w:rsidR="00FB30A4" w:rsidRPr="00A008C4" w:rsidRDefault="00FB30A4" w:rsidP="00FB30A4">
      <w:pPr>
        <w:jc w:val="center"/>
        <w:rPr>
          <w:rFonts w:ascii="Arial" w:hAnsi="Arial" w:cs="Arial"/>
          <w:b/>
          <w:sz w:val="24"/>
          <w:szCs w:val="24"/>
        </w:rPr>
      </w:pPr>
      <w:r w:rsidRPr="00A008C4">
        <w:rPr>
          <w:rFonts w:ascii="Arial" w:hAnsi="Arial" w:cs="Arial"/>
          <w:b/>
          <w:sz w:val="24"/>
          <w:szCs w:val="24"/>
        </w:rPr>
        <w:t>Method</w:t>
      </w:r>
    </w:p>
    <w:p w14:paraId="7F29C44F" w14:textId="77777777" w:rsidR="00FB30A4" w:rsidRPr="00A008C4" w:rsidRDefault="00CC434C">
      <w:pPr>
        <w:rPr>
          <w:rFonts w:ascii="Arial" w:hAnsi="Arial" w:cs="Arial"/>
          <w:sz w:val="24"/>
          <w:szCs w:val="24"/>
        </w:rPr>
      </w:pPr>
      <w:r w:rsidRPr="00A008C4">
        <w:rPr>
          <w:rFonts w:ascii="Arial" w:hAnsi="Arial" w:cs="Arial"/>
          <w:sz w:val="24"/>
          <w:szCs w:val="24"/>
        </w:rPr>
        <w:t xml:space="preserve">Participants were </w:t>
      </w:r>
      <w:r w:rsidR="00FB30A4" w:rsidRPr="00A008C4">
        <w:rPr>
          <w:rFonts w:ascii="Arial" w:hAnsi="Arial" w:cs="Arial"/>
          <w:sz w:val="24"/>
          <w:szCs w:val="24"/>
        </w:rPr>
        <w:t xml:space="preserve">recruited from Amazon’s Mechanical Turk </w:t>
      </w:r>
      <w:r w:rsidRPr="00A008C4">
        <w:rPr>
          <w:rFonts w:ascii="Arial" w:hAnsi="Arial" w:cs="Arial"/>
          <w:sz w:val="24"/>
          <w:szCs w:val="24"/>
        </w:rPr>
        <w:t xml:space="preserve">(MTurk) </w:t>
      </w:r>
      <w:r w:rsidR="00FB30A4" w:rsidRPr="00A008C4">
        <w:rPr>
          <w:rFonts w:ascii="Arial" w:hAnsi="Arial" w:cs="Arial"/>
          <w:sz w:val="24"/>
          <w:szCs w:val="24"/>
        </w:rPr>
        <w:t>online platform (</w:t>
      </w:r>
      <w:r w:rsidR="00FB30A4" w:rsidRPr="00A008C4">
        <w:rPr>
          <w:rFonts w:ascii="Arial" w:hAnsi="Arial" w:cs="Arial"/>
          <w:i/>
          <w:sz w:val="24"/>
          <w:szCs w:val="24"/>
        </w:rPr>
        <w:t>N</w:t>
      </w:r>
      <w:r w:rsidR="00FB30A4" w:rsidRPr="00A008C4">
        <w:rPr>
          <w:rFonts w:ascii="Arial" w:hAnsi="Arial" w:cs="Arial"/>
          <w:sz w:val="24"/>
          <w:szCs w:val="24"/>
        </w:rPr>
        <w:t xml:space="preserve"> = 201)</w:t>
      </w:r>
      <w:r w:rsidR="00613153">
        <w:rPr>
          <w:rFonts w:ascii="Arial" w:hAnsi="Arial" w:cs="Arial"/>
          <w:sz w:val="24"/>
          <w:szCs w:val="24"/>
        </w:rPr>
        <w:t xml:space="preserve"> and </w:t>
      </w:r>
      <w:r w:rsidR="00C264CB" w:rsidRPr="00A008C4">
        <w:rPr>
          <w:rFonts w:ascii="Arial" w:hAnsi="Arial" w:cs="Arial"/>
          <w:sz w:val="24"/>
          <w:szCs w:val="24"/>
        </w:rPr>
        <w:t xml:space="preserve">were paid $2.00. </w:t>
      </w:r>
      <w:r w:rsidR="006646A5" w:rsidRPr="00A008C4">
        <w:rPr>
          <w:rFonts w:ascii="Arial" w:hAnsi="Arial" w:cs="Arial"/>
          <w:sz w:val="24"/>
          <w:szCs w:val="24"/>
        </w:rPr>
        <w:t>Characteristics of the sample can be found in Table A1.</w:t>
      </w:r>
      <w:r w:rsidRPr="00A008C4">
        <w:rPr>
          <w:rFonts w:ascii="Arial" w:hAnsi="Arial" w:cs="Arial"/>
          <w:sz w:val="24"/>
          <w:szCs w:val="24"/>
        </w:rPr>
        <w:t xml:space="preserve"> </w:t>
      </w:r>
    </w:p>
    <w:p w14:paraId="005D12D9" w14:textId="45CD93D6" w:rsidR="00C264CB" w:rsidRPr="00A008C4" w:rsidRDefault="006646A5">
      <w:pPr>
        <w:rPr>
          <w:rFonts w:ascii="Arial" w:hAnsi="Arial" w:cs="Arial"/>
          <w:sz w:val="24"/>
          <w:szCs w:val="24"/>
        </w:rPr>
      </w:pPr>
      <w:r w:rsidRPr="00A008C4">
        <w:rPr>
          <w:rFonts w:ascii="Arial" w:hAnsi="Arial" w:cs="Arial"/>
          <w:sz w:val="24"/>
          <w:szCs w:val="24"/>
        </w:rPr>
        <w:t>Table A1. Demographics</w:t>
      </w:r>
      <w:r w:rsidR="007F372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5823"/>
        <w:gridCol w:w="1479"/>
        <w:gridCol w:w="2048"/>
      </w:tblGrid>
      <w:tr w:rsidR="00C264CB" w:rsidRPr="00A008C4" w14:paraId="1819D2D4" w14:textId="77777777" w:rsidTr="00224DF9">
        <w:trPr>
          <w:trHeight w:val="320"/>
        </w:trPr>
        <w:tc>
          <w:tcPr>
            <w:tcW w:w="5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A8C3F6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25F88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C797DE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Percent</w:t>
            </w:r>
          </w:p>
        </w:tc>
      </w:tr>
      <w:tr w:rsidR="00C264CB" w:rsidRPr="00A008C4" w14:paraId="0AD82E5A" w14:textId="77777777" w:rsidTr="00224DF9">
        <w:trPr>
          <w:trHeight w:val="320"/>
        </w:trPr>
        <w:tc>
          <w:tcPr>
            <w:tcW w:w="5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B9C4D1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8C4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04970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CE1A69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CB" w:rsidRPr="00A008C4" w14:paraId="48644490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2276DE15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53285A0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3E3D153B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54.7</w:t>
            </w:r>
          </w:p>
        </w:tc>
      </w:tr>
      <w:tr w:rsidR="00C264CB" w:rsidRPr="00A008C4" w14:paraId="561BAF52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49A710C5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93B21D8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5C8E31DC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44.3</w:t>
            </w:r>
          </w:p>
        </w:tc>
      </w:tr>
      <w:tr w:rsidR="00964DB1" w:rsidRPr="00A008C4" w14:paraId="44810D30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</w:tcPr>
          <w:p w14:paraId="7F21B3ED" w14:textId="77777777" w:rsidR="00964DB1" w:rsidRPr="00A008C4" w:rsidRDefault="00964DB1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Prefer not to answer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B0094D1" w14:textId="77777777" w:rsidR="00964DB1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7059EA5E" w14:textId="77777777" w:rsidR="00964DB1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C264CB" w:rsidRPr="00A008C4" w14:paraId="51C0AC99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</w:tcPr>
          <w:p w14:paraId="25E3B9CA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8C4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C5B3B92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3092AED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CB" w:rsidRPr="00A008C4" w14:paraId="351E9EFF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67AA5600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20 - 29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CB237D6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C14CD8F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24.9</w:t>
            </w:r>
          </w:p>
        </w:tc>
      </w:tr>
      <w:tr w:rsidR="00C264CB" w:rsidRPr="00A008C4" w14:paraId="1EEB4DF0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72C67161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30 - 39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1F880C9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7571843F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38.3</w:t>
            </w:r>
          </w:p>
        </w:tc>
      </w:tr>
      <w:tr w:rsidR="00C264CB" w:rsidRPr="00A008C4" w14:paraId="7102C2DC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4419BD24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40 - 49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A79D676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1F25322E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17.9</w:t>
            </w:r>
          </w:p>
        </w:tc>
      </w:tr>
      <w:tr w:rsidR="00C264CB" w:rsidRPr="00A008C4" w14:paraId="07A4241A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11FA5BF3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50 - 59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CA62DA7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1E32383C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</w:tr>
      <w:tr w:rsidR="00C264CB" w:rsidRPr="00A008C4" w14:paraId="7DA83918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3F09A5CE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60 or older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02A97B1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D0A428F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</w:tr>
      <w:tr w:rsidR="00C264CB" w:rsidRPr="00A008C4" w14:paraId="53158797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39A3430F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8C4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7505B4F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70CBBCC3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CB" w:rsidRPr="00A008C4" w14:paraId="30F6446E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7BFF8458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Less than High School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48511AB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50037D99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64CB" w:rsidRPr="00A008C4" w14:paraId="740DEA64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72ABEE60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8E4BE7A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0A6C33DA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</w:tr>
      <w:tr w:rsidR="00C264CB" w:rsidRPr="00A008C4" w14:paraId="32706E42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54E5E102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Some College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1F5EC1C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26FB49B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17.4</w:t>
            </w:r>
          </w:p>
        </w:tc>
      </w:tr>
      <w:tr w:rsidR="00C264CB" w:rsidRPr="00A008C4" w14:paraId="4B4EA303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1E42AC8D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08C4">
              <w:rPr>
                <w:rFonts w:ascii="Arial" w:hAnsi="Arial" w:cs="Arial"/>
                <w:sz w:val="24"/>
                <w:szCs w:val="24"/>
              </w:rPr>
              <w:t>Associate's Degree</w:t>
            </w:r>
            <w:proofErr w:type="gramEnd"/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EE25724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C35E994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13.4</w:t>
            </w:r>
          </w:p>
        </w:tc>
      </w:tr>
      <w:tr w:rsidR="00C264CB" w:rsidRPr="00A008C4" w14:paraId="5B75E702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22D09889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Bachelor's Degree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37788F92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72898AD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47.3</w:t>
            </w:r>
          </w:p>
        </w:tc>
      </w:tr>
      <w:tr w:rsidR="00C264CB" w:rsidRPr="00A008C4" w14:paraId="449833C8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552C207A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Master's Degree (e.g., MPH, MA, MS)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8E6BF9D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751B4F6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</w:tr>
      <w:tr w:rsidR="00C264CB" w:rsidRPr="00A008C4" w14:paraId="4AA8C8FF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1E076782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lastRenderedPageBreak/>
              <w:t>Doctoral Degree (e.g., PhD, ScD, MD, PsyD)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D1AB6A1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4DCEE25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964DB1" w:rsidRPr="00A008C4" w14:paraId="001C0673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</w:tcPr>
          <w:p w14:paraId="4833CA62" w14:textId="77777777" w:rsidR="00964DB1" w:rsidRPr="00A008C4" w:rsidRDefault="00964DB1" w:rsidP="00613153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5E7F316" w14:textId="77777777" w:rsidR="00964DB1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E655288" w14:textId="77777777" w:rsidR="00964DB1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C264CB" w:rsidRPr="00A008C4" w14:paraId="18E64D35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</w:tcPr>
          <w:p w14:paraId="4E30117D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8C4">
              <w:rPr>
                <w:rFonts w:ascii="Arial" w:hAnsi="Arial" w:cs="Arial"/>
                <w:b/>
                <w:bCs/>
                <w:sz w:val="24"/>
                <w:szCs w:val="24"/>
              </w:rPr>
              <w:t>Employment Status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51BCC98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36849F76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CB" w:rsidRPr="00A008C4" w14:paraId="6A7EC3D8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562CADD7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Employed part-time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B15E4CE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1F76230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</w:tr>
      <w:tr w:rsidR="00C264CB" w:rsidRPr="00A008C4" w14:paraId="0AF00D37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1C2C31B4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Employed full-time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67B8002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AEAC0B8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62.7</w:t>
            </w:r>
          </w:p>
        </w:tc>
      </w:tr>
      <w:tr w:rsidR="00C264CB" w:rsidRPr="00A008C4" w14:paraId="25E1DB98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3637BD90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Caregiver or homemaker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3701B33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ED03DDB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C264CB" w:rsidRPr="00A008C4" w14:paraId="36388365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64B2124F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Self-employed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E755477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16362510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C264CB" w:rsidRPr="00A008C4" w14:paraId="2093952B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31159674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439B509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54E2EC64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264CB" w:rsidRPr="00A008C4" w14:paraId="049F9791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58CE481E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Unemployed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CB19B42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49E368D" w14:textId="77777777" w:rsidR="00C264CB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964DB1" w:rsidRPr="00A008C4" w14:paraId="42A7C140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</w:tcPr>
          <w:p w14:paraId="79864F11" w14:textId="77777777" w:rsidR="00964DB1" w:rsidRPr="00A008C4" w:rsidRDefault="00964DB1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309444A0" w14:textId="77777777" w:rsidR="00964DB1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31974EF" w14:textId="77777777" w:rsidR="00964DB1" w:rsidRPr="00A008C4" w:rsidRDefault="00964DB1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C264CB" w:rsidRPr="00A008C4" w14:paraId="0743D684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38AD9894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8C4">
              <w:rPr>
                <w:rFonts w:ascii="Arial" w:hAnsi="Arial" w:cs="Arial"/>
                <w:b/>
                <w:bCs/>
                <w:sz w:val="24"/>
                <w:szCs w:val="24"/>
              </w:rPr>
              <w:t>Race</w:t>
            </w:r>
            <w:r w:rsidR="00613153">
              <w:rPr>
                <w:rFonts w:ascii="Arial" w:hAnsi="Arial" w:cs="Arial"/>
                <w:b/>
                <w:bCs/>
                <w:sz w:val="24"/>
                <w:szCs w:val="24"/>
              </w:rPr>
              <w:t>/Ethnicity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6C347EB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3CAB00A0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CB" w:rsidRPr="00A008C4" w14:paraId="5CB956E5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50893801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Hispanic or Latino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3B366517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30D0FE52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</w:tr>
      <w:tr w:rsidR="00C264CB" w:rsidRPr="00A008C4" w14:paraId="10C0FFE5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4D47777E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Not Hispanic or Latino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49BFF09E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37EC10D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87.6</w:t>
            </w:r>
          </w:p>
        </w:tc>
      </w:tr>
      <w:tr w:rsidR="00C264CB" w:rsidRPr="00A008C4" w14:paraId="1D06A139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5725A472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American Indian or Alaska Native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A22825A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78EFA7D5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C264CB" w:rsidRPr="00A008C4" w14:paraId="3EEEF7F1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2263D183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Asian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A696534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85C7B31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</w:tr>
      <w:tr w:rsidR="00C264CB" w:rsidRPr="00A008C4" w14:paraId="71A15458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70AABD07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Black or African American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122A5A2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09392DDE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</w:tr>
      <w:tr w:rsidR="00C264CB" w:rsidRPr="00A008C4" w14:paraId="0BF60095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552DA4BC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 xml:space="preserve">Native Hawaiian or </w:t>
            </w:r>
            <w:proofErr w:type="gramStart"/>
            <w:r w:rsidRPr="00A008C4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A008C4">
              <w:rPr>
                <w:rFonts w:ascii="Arial" w:hAnsi="Arial" w:cs="Arial"/>
                <w:sz w:val="24"/>
                <w:szCs w:val="24"/>
              </w:rPr>
              <w:t xml:space="preserve"> Pacific Islander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315A85F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00E929D2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64CB" w:rsidRPr="00A008C4" w14:paraId="46FDF108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77811CCF" w14:textId="77777777" w:rsidR="00C264CB" w:rsidRPr="00A008C4" w:rsidRDefault="00C264CB" w:rsidP="00224DF9">
            <w:pPr>
              <w:spacing w:after="0" w:line="240" w:lineRule="auto"/>
              <w:ind w:firstLine="15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F3B1DE2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09F63FE5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83.6</w:t>
            </w:r>
          </w:p>
        </w:tc>
      </w:tr>
      <w:tr w:rsidR="00C264CB" w:rsidRPr="00A008C4" w14:paraId="4D3D676D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1714ACA1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8C4">
              <w:rPr>
                <w:rFonts w:ascii="Arial" w:hAnsi="Arial" w:cs="Arial"/>
                <w:b/>
                <w:bCs/>
                <w:sz w:val="24"/>
                <w:szCs w:val="24"/>
              </w:rPr>
              <w:t>Physical Health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F2F6579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2854834A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CB" w:rsidRPr="00A008C4" w14:paraId="7400F3B1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47B5AD9E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FD26B41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66962D2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22.4</w:t>
            </w:r>
          </w:p>
        </w:tc>
      </w:tr>
      <w:tr w:rsidR="00C264CB" w:rsidRPr="00A008C4" w14:paraId="6C71BEF2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6391D299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Very Good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C4916D0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AFD2498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24.4</w:t>
            </w:r>
          </w:p>
        </w:tc>
      </w:tr>
      <w:tr w:rsidR="00C264CB" w:rsidRPr="00A008C4" w14:paraId="41DE096F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62B7410C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B47625F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C959766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37.3</w:t>
            </w:r>
          </w:p>
        </w:tc>
      </w:tr>
      <w:tr w:rsidR="00C264CB" w:rsidRPr="00A008C4" w14:paraId="5EE598AE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7E1CB805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Fair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ECC89B5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77CBC230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13.9</w:t>
            </w:r>
          </w:p>
        </w:tc>
      </w:tr>
      <w:tr w:rsidR="00C264CB" w:rsidRPr="00A008C4" w14:paraId="220833A4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291F451F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2FAB7E0B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10F4648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C264CB" w:rsidRPr="00A008C4" w14:paraId="6FA2558F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2FB1DB3E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Very Poor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534A9FF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606A789F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64CB" w:rsidRPr="00A008C4" w14:paraId="7029B30F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41B93B12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08C4">
              <w:rPr>
                <w:rFonts w:ascii="Arial" w:hAnsi="Arial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7A1BFF92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1F2882AC" w14:textId="77777777" w:rsidR="00C264CB" w:rsidRPr="00A008C4" w:rsidRDefault="00C264CB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CB" w:rsidRPr="00A008C4" w14:paraId="108AEFE4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0AC73798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0 - 23,000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17AC807D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FC9ECB6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</w:tr>
      <w:tr w:rsidR="00C264CB" w:rsidRPr="00A008C4" w14:paraId="54713CDF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3D21B547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23,001 - 45,000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51342827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58F54552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25.9</w:t>
            </w:r>
          </w:p>
        </w:tc>
      </w:tr>
      <w:tr w:rsidR="00C264CB" w:rsidRPr="00A008C4" w14:paraId="72A997BA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173907F0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45,001 - 75,000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01F23C43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4FE810D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36.3</w:t>
            </w:r>
          </w:p>
        </w:tc>
      </w:tr>
      <w:tr w:rsidR="00C264CB" w:rsidRPr="00A008C4" w14:paraId="3355EB87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6F2EC0C4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75,001 - 112,000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FA60554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4F275788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21.9</w:t>
            </w:r>
          </w:p>
        </w:tc>
      </w:tr>
      <w:tr w:rsidR="00C264CB" w:rsidRPr="00A008C4" w14:paraId="3C6A9501" w14:textId="77777777" w:rsidTr="00224DF9">
        <w:trPr>
          <w:trHeight w:val="320"/>
        </w:trPr>
        <w:tc>
          <w:tcPr>
            <w:tcW w:w="5823" w:type="dxa"/>
            <w:shd w:val="clear" w:color="auto" w:fill="auto"/>
            <w:noWrap/>
            <w:vAlign w:val="bottom"/>
            <w:hideMark/>
          </w:tcPr>
          <w:p w14:paraId="02395BD6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Greater than 112,000</w:t>
            </w:r>
          </w:p>
        </w:tc>
        <w:tc>
          <w:tcPr>
            <w:tcW w:w="1479" w:type="dxa"/>
            <w:shd w:val="clear" w:color="auto" w:fill="auto"/>
            <w:noWrap/>
            <w:vAlign w:val="bottom"/>
          </w:tcPr>
          <w:p w14:paraId="6D84C049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8" w:type="dxa"/>
            <w:shd w:val="clear" w:color="auto" w:fill="auto"/>
            <w:noWrap/>
            <w:vAlign w:val="bottom"/>
          </w:tcPr>
          <w:p w14:paraId="18D19C6C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C264CB" w:rsidRPr="00A008C4" w14:paraId="4144B648" w14:textId="77777777" w:rsidTr="00224DF9">
        <w:trPr>
          <w:trHeight w:val="320"/>
        </w:trPr>
        <w:tc>
          <w:tcPr>
            <w:tcW w:w="5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22ED" w14:textId="77777777" w:rsidR="00C264CB" w:rsidRPr="00A008C4" w:rsidRDefault="00C264CB" w:rsidP="00224DF9">
            <w:pPr>
              <w:spacing w:after="0" w:line="240" w:lineRule="auto"/>
              <w:ind w:firstLine="24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Prefer not to answer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BFB697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C8631" w14:textId="77777777" w:rsidR="00C264CB" w:rsidRPr="00A008C4" w:rsidRDefault="009117C7" w:rsidP="00AD1D2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14:paraId="0411AFA5" w14:textId="77777777" w:rsidR="00AD1D27" w:rsidRPr="00A008C4" w:rsidRDefault="00224DF9" w:rsidP="00E608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608D5" w:rsidRPr="00A008C4">
        <w:rPr>
          <w:rFonts w:ascii="Arial" w:hAnsi="Arial" w:cs="Arial"/>
          <w:sz w:val="24"/>
          <w:szCs w:val="24"/>
        </w:rPr>
        <w:t xml:space="preserve"> = 201. </w:t>
      </w:r>
    </w:p>
    <w:p w14:paraId="358BF075" w14:textId="7270CE0B" w:rsidR="00AD1D27" w:rsidRPr="00A008C4" w:rsidRDefault="003E216E" w:rsidP="00224DF9">
      <w:pPr>
        <w:rPr>
          <w:rFonts w:ascii="Arial" w:hAnsi="Arial" w:cs="Arial"/>
          <w:sz w:val="24"/>
          <w:szCs w:val="24"/>
        </w:rPr>
      </w:pPr>
      <w:r w:rsidRPr="00A008C4">
        <w:rPr>
          <w:rFonts w:ascii="Arial" w:hAnsi="Arial" w:cs="Arial"/>
          <w:sz w:val="24"/>
          <w:szCs w:val="24"/>
        </w:rPr>
        <w:t xml:space="preserve">Participants were randomized to receive either the video version of the AGPM measure, for which the development and validation is documented in the main manuscript, or a transcript-only version of the AGPM. The versions were identical, with both containing the 37 AGPM items retained from </w:t>
      </w:r>
      <w:r w:rsidR="00613153">
        <w:rPr>
          <w:rFonts w:ascii="Arial" w:hAnsi="Arial" w:cs="Arial"/>
          <w:sz w:val="24"/>
          <w:szCs w:val="24"/>
        </w:rPr>
        <w:t>s</w:t>
      </w:r>
      <w:r w:rsidRPr="00A008C4">
        <w:rPr>
          <w:rFonts w:ascii="Arial" w:hAnsi="Arial" w:cs="Arial"/>
          <w:sz w:val="24"/>
          <w:szCs w:val="24"/>
        </w:rPr>
        <w:t xml:space="preserve">tudy 2 in the main article, plus 6 </w:t>
      </w:r>
      <w:r w:rsidR="007A7EE5">
        <w:rPr>
          <w:rFonts w:ascii="Arial" w:hAnsi="Arial" w:cs="Arial"/>
          <w:sz w:val="24"/>
          <w:szCs w:val="24"/>
        </w:rPr>
        <w:t>new</w:t>
      </w:r>
      <w:r w:rsidRPr="00A008C4">
        <w:rPr>
          <w:rFonts w:ascii="Arial" w:hAnsi="Arial" w:cs="Arial"/>
          <w:sz w:val="24"/>
          <w:szCs w:val="24"/>
        </w:rPr>
        <w:t xml:space="preserve"> items that were developed to form an overall support </w:t>
      </w:r>
      <w:r w:rsidR="00113F98" w:rsidRPr="00A008C4">
        <w:rPr>
          <w:rFonts w:ascii="Arial" w:hAnsi="Arial" w:cs="Arial"/>
          <w:sz w:val="24"/>
          <w:szCs w:val="24"/>
        </w:rPr>
        <w:t>sub</w:t>
      </w:r>
      <w:r w:rsidR="00EB32A0" w:rsidRPr="00A008C4">
        <w:rPr>
          <w:rFonts w:ascii="Arial" w:hAnsi="Arial" w:cs="Arial"/>
          <w:sz w:val="24"/>
          <w:szCs w:val="24"/>
        </w:rPr>
        <w:t>scale</w:t>
      </w:r>
      <w:r w:rsidRPr="00A008C4">
        <w:rPr>
          <w:rFonts w:ascii="Arial" w:hAnsi="Arial" w:cs="Arial"/>
          <w:sz w:val="24"/>
          <w:szCs w:val="24"/>
        </w:rPr>
        <w:t xml:space="preserve">. The only difference between the versions was whether the information about genomics and precision medicine was </w:t>
      </w:r>
      <w:r w:rsidRPr="00A008C4">
        <w:rPr>
          <w:rFonts w:ascii="Arial" w:hAnsi="Arial" w:cs="Arial"/>
          <w:sz w:val="24"/>
          <w:szCs w:val="24"/>
        </w:rPr>
        <w:lastRenderedPageBreak/>
        <w:t>presented in a series of brief videos</w:t>
      </w:r>
      <w:r w:rsidR="00556E13" w:rsidRPr="00A008C4">
        <w:rPr>
          <w:rFonts w:ascii="Arial" w:hAnsi="Arial" w:cs="Arial"/>
          <w:sz w:val="24"/>
          <w:szCs w:val="24"/>
        </w:rPr>
        <w:t>, or in brief paragraphs of text, which were exact transcriptions of the videos.</w:t>
      </w:r>
      <w:r w:rsidR="00E608D5" w:rsidRPr="00A008C4">
        <w:rPr>
          <w:rFonts w:ascii="Arial" w:hAnsi="Arial" w:cs="Arial"/>
          <w:sz w:val="24"/>
          <w:szCs w:val="24"/>
        </w:rPr>
        <w:t xml:space="preserve"> </w:t>
      </w:r>
    </w:p>
    <w:p w14:paraId="54949617" w14:textId="77777777" w:rsidR="00AD1D27" w:rsidRPr="00A008C4" w:rsidRDefault="00DC2D7E" w:rsidP="00DC2D7E">
      <w:pPr>
        <w:jc w:val="center"/>
        <w:rPr>
          <w:rFonts w:ascii="Arial" w:hAnsi="Arial" w:cs="Arial"/>
          <w:b/>
          <w:sz w:val="24"/>
          <w:szCs w:val="24"/>
        </w:rPr>
      </w:pPr>
      <w:r w:rsidRPr="00A008C4">
        <w:rPr>
          <w:rFonts w:ascii="Arial" w:hAnsi="Arial" w:cs="Arial"/>
          <w:b/>
          <w:sz w:val="24"/>
          <w:szCs w:val="24"/>
        </w:rPr>
        <w:t>Results</w:t>
      </w:r>
    </w:p>
    <w:p w14:paraId="634EC52C" w14:textId="77777777" w:rsidR="00922FA4" w:rsidRPr="00922FA4" w:rsidRDefault="00922FA4" w:rsidP="00DC2D7E">
      <w:pPr>
        <w:rPr>
          <w:rFonts w:ascii="Arial" w:hAnsi="Arial" w:cs="Arial"/>
          <w:b/>
          <w:bCs/>
          <w:sz w:val="24"/>
          <w:szCs w:val="24"/>
        </w:rPr>
      </w:pPr>
      <w:r w:rsidRPr="00922FA4">
        <w:rPr>
          <w:rFonts w:ascii="Arial" w:hAnsi="Arial" w:cs="Arial"/>
          <w:b/>
          <w:bCs/>
          <w:sz w:val="24"/>
          <w:szCs w:val="24"/>
        </w:rPr>
        <w:t>Mean Scores and Standard Deviations</w:t>
      </w:r>
      <w:r w:rsidR="004C4D45" w:rsidRPr="00922FA4">
        <w:rPr>
          <w:rFonts w:ascii="Arial" w:hAnsi="Arial" w:cs="Arial"/>
          <w:b/>
          <w:bCs/>
          <w:sz w:val="24"/>
          <w:szCs w:val="24"/>
        </w:rPr>
        <w:tab/>
      </w:r>
    </w:p>
    <w:p w14:paraId="5FEF1A80" w14:textId="77777777" w:rsidR="004C4D45" w:rsidRPr="00A008C4" w:rsidRDefault="00922FA4" w:rsidP="00224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C4D45" w:rsidRPr="00A008C4">
        <w:rPr>
          <w:rFonts w:ascii="Arial" w:hAnsi="Arial" w:cs="Arial"/>
          <w:sz w:val="24"/>
          <w:szCs w:val="24"/>
        </w:rPr>
        <w:t xml:space="preserve">e conducted a series of independent samples t-tests to determine whether the video version and transcript-only versions </w:t>
      </w:r>
      <w:r w:rsidR="00FA682D" w:rsidRPr="00A008C4">
        <w:rPr>
          <w:rFonts w:ascii="Arial" w:hAnsi="Arial" w:cs="Arial"/>
          <w:sz w:val="24"/>
          <w:szCs w:val="24"/>
        </w:rPr>
        <w:t>yielded</w:t>
      </w:r>
      <w:r w:rsidR="004C4D45" w:rsidRPr="00A008C4">
        <w:rPr>
          <w:rFonts w:ascii="Arial" w:hAnsi="Arial" w:cs="Arial"/>
          <w:sz w:val="24"/>
          <w:szCs w:val="24"/>
        </w:rPr>
        <w:t xml:space="preserve"> significantly different scores on either the </w:t>
      </w:r>
      <w:r w:rsidR="007A7EE5">
        <w:rPr>
          <w:rFonts w:ascii="Arial" w:hAnsi="Arial" w:cs="Arial"/>
          <w:sz w:val="24"/>
          <w:szCs w:val="24"/>
        </w:rPr>
        <w:t xml:space="preserve">37-item </w:t>
      </w:r>
      <w:r w:rsidR="004C4D45" w:rsidRPr="00A008C4">
        <w:rPr>
          <w:rFonts w:ascii="Arial" w:hAnsi="Arial" w:cs="Arial"/>
          <w:sz w:val="24"/>
          <w:szCs w:val="24"/>
        </w:rPr>
        <w:t xml:space="preserve">AGPM </w:t>
      </w:r>
      <w:r w:rsidR="007A7EE5">
        <w:rPr>
          <w:rFonts w:ascii="Arial" w:hAnsi="Arial" w:cs="Arial"/>
          <w:sz w:val="24"/>
          <w:szCs w:val="24"/>
        </w:rPr>
        <w:t>total score</w:t>
      </w:r>
      <w:r w:rsidR="004C4D45" w:rsidRPr="00A008C4">
        <w:rPr>
          <w:rFonts w:ascii="Arial" w:hAnsi="Arial" w:cs="Arial"/>
          <w:sz w:val="24"/>
          <w:szCs w:val="24"/>
        </w:rPr>
        <w:t xml:space="preserve">, or on any of the </w:t>
      </w:r>
      <w:r w:rsidR="007A7EE5">
        <w:rPr>
          <w:rFonts w:ascii="Arial" w:hAnsi="Arial" w:cs="Arial"/>
          <w:sz w:val="24"/>
          <w:szCs w:val="24"/>
        </w:rPr>
        <w:t xml:space="preserve">AGPM </w:t>
      </w:r>
      <w:r w:rsidR="004C4D45" w:rsidRPr="00A008C4">
        <w:rPr>
          <w:rFonts w:ascii="Arial" w:hAnsi="Arial" w:cs="Arial"/>
          <w:sz w:val="24"/>
          <w:szCs w:val="24"/>
        </w:rPr>
        <w:t xml:space="preserve">subscales. </w:t>
      </w:r>
      <w:r w:rsidR="00EB32A0" w:rsidRPr="00A008C4">
        <w:rPr>
          <w:rFonts w:ascii="Arial" w:hAnsi="Arial" w:cs="Arial"/>
          <w:sz w:val="24"/>
          <w:szCs w:val="24"/>
        </w:rPr>
        <w:t>As seen in Table A</w:t>
      </w:r>
      <w:r w:rsidR="00B37F24" w:rsidRPr="00A008C4">
        <w:rPr>
          <w:rFonts w:ascii="Arial" w:hAnsi="Arial" w:cs="Arial"/>
          <w:sz w:val="24"/>
          <w:szCs w:val="24"/>
        </w:rPr>
        <w:t>2</w:t>
      </w:r>
      <w:r w:rsidR="00EB32A0" w:rsidRPr="00A008C4">
        <w:rPr>
          <w:rFonts w:ascii="Arial" w:hAnsi="Arial" w:cs="Arial"/>
          <w:sz w:val="24"/>
          <w:szCs w:val="24"/>
        </w:rPr>
        <w:t xml:space="preserve">, there were no significant differences between the video version and transcript-only version for either the overall AGPM 37-item </w:t>
      </w:r>
      <w:r w:rsidR="00883D3B" w:rsidRPr="00A008C4">
        <w:rPr>
          <w:rFonts w:ascii="Arial" w:hAnsi="Arial" w:cs="Arial"/>
          <w:sz w:val="24"/>
          <w:szCs w:val="24"/>
        </w:rPr>
        <w:t>total score</w:t>
      </w:r>
      <w:r w:rsidR="00EB32A0" w:rsidRPr="00A008C4">
        <w:rPr>
          <w:rFonts w:ascii="Arial" w:hAnsi="Arial" w:cs="Arial"/>
          <w:sz w:val="24"/>
          <w:szCs w:val="24"/>
        </w:rPr>
        <w:t>, nor any of the subscales.</w:t>
      </w:r>
    </w:p>
    <w:p w14:paraId="72D88174" w14:textId="77777777" w:rsidR="00B37F24" w:rsidRPr="00A008C4" w:rsidRDefault="00B37F24" w:rsidP="00DC2D7E">
      <w:pPr>
        <w:rPr>
          <w:rFonts w:ascii="Arial" w:hAnsi="Arial" w:cs="Arial"/>
          <w:sz w:val="24"/>
          <w:szCs w:val="24"/>
        </w:rPr>
      </w:pPr>
      <w:r w:rsidRPr="00A008C4">
        <w:rPr>
          <w:rFonts w:ascii="Arial" w:hAnsi="Arial" w:cs="Arial"/>
          <w:sz w:val="24"/>
          <w:szCs w:val="24"/>
        </w:rPr>
        <w:t>Table A2. Independent samples t-tests comparing AGPM versions.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520"/>
        <w:gridCol w:w="2520"/>
        <w:gridCol w:w="900"/>
        <w:gridCol w:w="625"/>
      </w:tblGrid>
      <w:tr w:rsidR="00EB32A0" w:rsidRPr="00A008C4" w14:paraId="6031210F" w14:textId="77777777" w:rsidTr="00224DF9"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B40FD" w14:textId="77777777" w:rsidR="00EB32A0" w:rsidRPr="00A008C4" w:rsidRDefault="00EB32A0" w:rsidP="00EB32A0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 xml:space="preserve">Subscale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921DF" w14:textId="77777777" w:rsidR="00EB32A0" w:rsidRPr="00A008C4" w:rsidRDefault="00EB32A0" w:rsidP="007A7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AGPM video mean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E678C" w:rsidRPr="00A008C4">
              <w:rPr>
                <w:rFonts w:ascii="Arial" w:hAnsi="Arial" w:cs="Arial"/>
                <w:i/>
                <w:sz w:val="24"/>
                <w:szCs w:val="24"/>
              </w:rPr>
              <w:t>SD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53A82" w14:textId="77777777" w:rsidR="00EB32A0" w:rsidRPr="00A008C4" w:rsidRDefault="00EB32A0" w:rsidP="007A7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AGPM transcript</w:t>
            </w:r>
            <w:r w:rsidR="007A7EE5">
              <w:rPr>
                <w:rFonts w:ascii="Arial" w:hAnsi="Arial" w:cs="Arial"/>
                <w:sz w:val="24"/>
                <w:szCs w:val="24"/>
              </w:rPr>
              <w:t xml:space="preserve">-only </w:t>
            </w:r>
            <w:r w:rsidRPr="00A008C4">
              <w:rPr>
                <w:rFonts w:ascii="Arial" w:hAnsi="Arial" w:cs="Arial"/>
                <w:sz w:val="24"/>
                <w:szCs w:val="24"/>
              </w:rPr>
              <w:t xml:space="preserve"> mean</w:t>
            </w:r>
            <w:r w:rsidR="007A7E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>(</w:t>
            </w:r>
            <w:r w:rsidR="003E678C" w:rsidRPr="00A008C4">
              <w:rPr>
                <w:rFonts w:ascii="Arial" w:hAnsi="Arial" w:cs="Arial"/>
                <w:i/>
                <w:sz w:val="24"/>
                <w:szCs w:val="24"/>
              </w:rPr>
              <w:t>SD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2668A" w14:textId="77777777" w:rsidR="00EB32A0" w:rsidRPr="00A008C4" w:rsidRDefault="00EB32A0" w:rsidP="00EB32A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8C4">
              <w:rPr>
                <w:rFonts w:ascii="Arial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4A9C1" w14:textId="77777777" w:rsidR="00EB32A0" w:rsidRPr="00A008C4" w:rsidRDefault="00EB32A0" w:rsidP="00EB32A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008C4">
              <w:rPr>
                <w:rFonts w:ascii="Arial" w:hAnsi="Arial" w:cs="Arial"/>
                <w:i/>
                <w:sz w:val="24"/>
                <w:szCs w:val="24"/>
              </w:rPr>
              <w:t>p</w:t>
            </w:r>
          </w:p>
        </w:tc>
      </w:tr>
      <w:tr w:rsidR="00EB32A0" w:rsidRPr="00A008C4" w14:paraId="4D9765AF" w14:textId="77777777" w:rsidTr="00224DF9">
        <w:tc>
          <w:tcPr>
            <w:tcW w:w="2785" w:type="dxa"/>
            <w:tcBorders>
              <w:top w:val="single" w:sz="4" w:space="0" w:color="auto"/>
            </w:tcBorders>
          </w:tcPr>
          <w:p w14:paraId="57CE3562" w14:textId="77777777" w:rsidR="00EB32A0" w:rsidRPr="00A008C4" w:rsidRDefault="00EB32A0" w:rsidP="00825E12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 xml:space="preserve">37-item </w:t>
            </w:r>
            <w:r w:rsidR="00825E12" w:rsidRPr="00A008C4">
              <w:rPr>
                <w:rFonts w:ascii="Arial" w:hAnsi="Arial" w:cs="Arial"/>
                <w:sz w:val="24"/>
                <w:szCs w:val="24"/>
              </w:rPr>
              <w:t>total score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E2D0E3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4.89 (.56)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474579A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4.96 (.60)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E517F32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-.79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5789693E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.43</w:t>
            </w:r>
          </w:p>
        </w:tc>
      </w:tr>
      <w:tr w:rsidR="00EB32A0" w:rsidRPr="00A008C4" w14:paraId="21297CB7" w14:textId="77777777" w:rsidTr="00224DF9">
        <w:tc>
          <w:tcPr>
            <w:tcW w:w="2785" w:type="dxa"/>
          </w:tcPr>
          <w:p w14:paraId="4424D592" w14:textId="77777777" w:rsidR="00EB32A0" w:rsidRPr="00A008C4" w:rsidRDefault="00CF6D57" w:rsidP="00DC2D7E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Embryo concerns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54222A90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4.48 (.69)</w:t>
            </w:r>
          </w:p>
        </w:tc>
        <w:tc>
          <w:tcPr>
            <w:tcW w:w="2520" w:type="dxa"/>
          </w:tcPr>
          <w:p w14:paraId="3DC7BF10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4.46 (.78)</w:t>
            </w:r>
          </w:p>
        </w:tc>
        <w:tc>
          <w:tcPr>
            <w:tcW w:w="900" w:type="dxa"/>
          </w:tcPr>
          <w:p w14:paraId="32F9A01B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.26</w:t>
            </w:r>
          </w:p>
        </w:tc>
        <w:tc>
          <w:tcPr>
            <w:tcW w:w="625" w:type="dxa"/>
          </w:tcPr>
          <w:p w14:paraId="2D7FF6BD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.80</w:t>
            </w:r>
          </w:p>
        </w:tc>
      </w:tr>
      <w:tr w:rsidR="00EB32A0" w:rsidRPr="00A008C4" w14:paraId="26FF7254" w14:textId="77777777" w:rsidTr="00224DF9">
        <w:tc>
          <w:tcPr>
            <w:tcW w:w="2785" w:type="dxa"/>
          </w:tcPr>
          <w:p w14:paraId="4FA239F8" w14:textId="77777777" w:rsidR="00EB32A0" w:rsidRPr="00A008C4" w:rsidRDefault="00CF6D57" w:rsidP="00DC2D7E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Privacy concerns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D96AF7F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5.10 (.97)</w:t>
            </w:r>
          </w:p>
        </w:tc>
        <w:tc>
          <w:tcPr>
            <w:tcW w:w="2520" w:type="dxa"/>
          </w:tcPr>
          <w:p w14:paraId="38D74ACB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5.24 (1.08)</w:t>
            </w:r>
          </w:p>
        </w:tc>
        <w:tc>
          <w:tcPr>
            <w:tcW w:w="900" w:type="dxa"/>
          </w:tcPr>
          <w:p w14:paraId="365D154E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-.94</w:t>
            </w:r>
          </w:p>
        </w:tc>
        <w:tc>
          <w:tcPr>
            <w:tcW w:w="625" w:type="dxa"/>
          </w:tcPr>
          <w:p w14:paraId="2C0716B9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.35</w:t>
            </w:r>
          </w:p>
        </w:tc>
      </w:tr>
      <w:tr w:rsidR="00EB32A0" w:rsidRPr="00A008C4" w14:paraId="492F0705" w14:textId="77777777" w:rsidTr="00224DF9">
        <w:tc>
          <w:tcPr>
            <w:tcW w:w="2785" w:type="dxa"/>
          </w:tcPr>
          <w:p w14:paraId="30D1C00E" w14:textId="77777777" w:rsidR="00EB32A0" w:rsidRPr="00A008C4" w:rsidRDefault="00CF6D57" w:rsidP="00DC2D7E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P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 xml:space="preserve">erceived benefits </w:t>
            </w:r>
          </w:p>
        </w:tc>
        <w:tc>
          <w:tcPr>
            <w:tcW w:w="2520" w:type="dxa"/>
          </w:tcPr>
          <w:p w14:paraId="79C1B41F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5.19 (.93)</w:t>
            </w:r>
          </w:p>
        </w:tc>
        <w:tc>
          <w:tcPr>
            <w:tcW w:w="2520" w:type="dxa"/>
          </w:tcPr>
          <w:p w14:paraId="1727FDB4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5.37 (.79)</w:t>
            </w:r>
          </w:p>
        </w:tc>
        <w:tc>
          <w:tcPr>
            <w:tcW w:w="900" w:type="dxa"/>
          </w:tcPr>
          <w:p w14:paraId="743CA05A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-1.43</w:t>
            </w:r>
          </w:p>
        </w:tc>
        <w:tc>
          <w:tcPr>
            <w:tcW w:w="625" w:type="dxa"/>
          </w:tcPr>
          <w:p w14:paraId="54E0A537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EB32A0" w:rsidRPr="00A008C4" w14:paraId="6BBD810B" w14:textId="77777777" w:rsidTr="00224DF9">
        <w:tc>
          <w:tcPr>
            <w:tcW w:w="2785" w:type="dxa"/>
          </w:tcPr>
          <w:p w14:paraId="2C2D3511" w14:textId="77777777" w:rsidR="00EB32A0" w:rsidRPr="00A008C4" w:rsidRDefault="00CF6D57" w:rsidP="00DC2D7E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Nature co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 xml:space="preserve">ncerns </w:t>
            </w:r>
          </w:p>
        </w:tc>
        <w:tc>
          <w:tcPr>
            <w:tcW w:w="2520" w:type="dxa"/>
          </w:tcPr>
          <w:p w14:paraId="5D599661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4.86 (.81)</w:t>
            </w:r>
          </w:p>
        </w:tc>
        <w:tc>
          <w:tcPr>
            <w:tcW w:w="2520" w:type="dxa"/>
          </w:tcPr>
          <w:p w14:paraId="50EAF2D6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4.87 (.84)</w:t>
            </w:r>
          </w:p>
        </w:tc>
        <w:tc>
          <w:tcPr>
            <w:tcW w:w="900" w:type="dxa"/>
          </w:tcPr>
          <w:p w14:paraId="6072CF49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-.13</w:t>
            </w:r>
          </w:p>
        </w:tc>
        <w:tc>
          <w:tcPr>
            <w:tcW w:w="625" w:type="dxa"/>
          </w:tcPr>
          <w:p w14:paraId="2F8711AA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.90</w:t>
            </w:r>
          </w:p>
        </w:tc>
      </w:tr>
      <w:tr w:rsidR="00EB32A0" w:rsidRPr="00A008C4" w14:paraId="47CA681D" w14:textId="77777777" w:rsidTr="00224DF9">
        <w:tc>
          <w:tcPr>
            <w:tcW w:w="2785" w:type="dxa"/>
          </w:tcPr>
          <w:p w14:paraId="600C7E7A" w14:textId="77777777" w:rsidR="00EB32A0" w:rsidRPr="00A008C4" w:rsidRDefault="00CF6D57" w:rsidP="00DC2D7E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S</w:t>
            </w:r>
            <w:r w:rsidR="003E678C" w:rsidRPr="00A008C4">
              <w:rPr>
                <w:rFonts w:ascii="Arial" w:hAnsi="Arial" w:cs="Arial"/>
                <w:sz w:val="24"/>
                <w:szCs w:val="24"/>
              </w:rPr>
              <w:t>ocial justice concerns</w:t>
            </w:r>
          </w:p>
        </w:tc>
        <w:tc>
          <w:tcPr>
            <w:tcW w:w="2520" w:type="dxa"/>
          </w:tcPr>
          <w:p w14:paraId="5A5CF558" w14:textId="77777777" w:rsidR="00EB32A0" w:rsidRPr="00A008C4" w:rsidRDefault="003E678C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4.78 (1.17)</w:t>
            </w:r>
          </w:p>
        </w:tc>
        <w:tc>
          <w:tcPr>
            <w:tcW w:w="2520" w:type="dxa"/>
          </w:tcPr>
          <w:p w14:paraId="3B3D27CE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4.76 (1.19)</w:t>
            </w:r>
          </w:p>
        </w:tc>
        <w:tc>
          <w:tcPr>
            <w:tcW w:w="900" w:type="dxa"/>
          </w:tcPr>
          <w:p w14:paraId="342CE6D3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.14</w:t>
            </w:r>
          </w:p>
        </w:tc>
        <w:tc>
          <w:tcPr>
            <w:tcW w:w="625" w:type="dxa"/>
          </w:tcPr>
          <w:p w14:paraId="399FF017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.89</w:t>
            </w:r>
          </w:p>
        </w:tc>
      </w:tr>
      <w:tr w:rsidR="00EB32A0" w:rsidRPr="00A008C4" w14:paraId="37C29FBC" w14:textId="77777777" w:rsidTr="00224DF9">
        <w:tc>
          <w:tcPr>
            <w:tcW w:w="2785" w:type="dxa"/>
          </w:tcPr>
          <w:p w14:paraId="3B08FE7F" w14:textId="77777777" w:rsidR="00EB32A0" w:rsidRPr="00A008C4" w:rsidRDefault="00CF6D57" w:rsidP="00DC2D7E">
            <w:pPr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O</w:t>
            </w:r>
            <w:r w:rsidR="00A9694F">
              <w:rPr>
                <w:rFonts w:ascii="Arial" w:hAnsi="Arial" w:cs="Arial"/>
                <w:sz w:val="24"/>
                <w:szCs w:val="24"/>
              </w:rPr>
              <w:t>verall support 6-items</w:t>
            </w:r>
          </w:p>
        </w:tc>
        <w:tc>
          <w:tcPr>
            <w:tcW w:w="2520" w:type="dxa"/>
          </w:tcPr>
          <w:p w14:paraId="63181F6F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5.09 (1.09)</w:t>
            </w:r>
          </w:p>
        </w:tc>
        <w:tc>
          <w:tcPr>
            <w:tcW w:w="2520" w:type="dxa"/>
          </w:tcPr>
          <w:p w14:paraId="2F7AC23D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5.34 (.95)</w:t>
            </w:r>
          </w:p>
        </w:tc>
        <w:tc>
          <w:tcPr>
            <w:tcW w:w="900" w:type="dxa"/>
          </w:tcPr>
          <w:p w14:paraId="137A5AA1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-1.76</w:t>
            </w:r>
          </w:p>
        </w:tc>
        <w:tc>
          <w:tcPr>
            <w:tcW w:w="625" w:type="dxa"/>
          </w:tcPr>
          <w:p w14:paraId="57F39C5E" w14:textId="77777777" w:rsidR="00EB32A0" w:rsidRPr="00A008C4" w:rsidRDefault="007762A8" w:rsidP="00EB32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8C4">
              <w:rPr>
                <w:rFonts w:ascii="Arial" w:hAnsi="Arial" w:cs="Arial"/>
                <w:sz w:val="24"/>
                <w:szCs w:val="24"/>
              </w:rPr>
              <w:t>.08</w:t>
            </w:r>
          </w:p>
        </w:tc>
      </w:tr>
    </w:tbl>
    <w:p w14:paraId="4076C41E" w14:textId="77777777" w:rsidR="00EB32A0" w:rsidRPr="00A008C4" w:rsidRDefault="000B6390" w:rsidP="00DC2D7E">
      <w:pPr>
        <w:rPr>
          <w:rFonts w:ascii="Arial" w:hAnsi="Arial" w:cs="Arial"/>
          <w:sz w:val="24"/>
          <w:szCs w:val="24"/>
        </w:rPr>
      </w:pPr>
      <w:r w:rsidRPr="00A008C4">
        <w:rPr>
          <w:rFonts w:ascii="Arial" w:hAnsi="Arial" w:cs="Arial"/>
          <w:sz w:val="24"/>
          <w:szCs w:val="24"/>
        </w:rPr>
        <w:t xml:space="preserve">Note. </w:t>
      </w:r>
      <w:r w:rsidRPr="00A008C4">
        <w:rPr>
          <w:rFonts w:ascii="Arial" w:hAnsi="Arial" w:cs="Arial"/>
          <w:i/>
          <w:sz w:val="24"/>
          <w:szCs w:val="24"/>
        </w:rPr>
        <w:t>N</w:t>
      </w:r>
      <w:r w:rsidRPr="00A008C4">
        <w:rPr>
          <w:rFonts w:ascii="Arial" w:hAnsi="Arial" w:cs="Arial"/>
          <w:sz w:val="24"/>
          <w:szCs w:val="24"/>
        </w:rPr>
        <w:t xml:space="preserve"> = 201. For all t-tests, df = 199. </w:t>
      </w:r>
    </w:p>
    <w:p w14:paraId="274E7E0E" w14:textId="77777777" w:rsidR="00922FA4" w:rsidRPr="00922FA4" w:rsidRDefault="00922FA4" w:rsidP="00922FA4">
      <w:pPr>
        <w:rPr>
          <w:rFonts w:ascii="Arial" w:hAnsi="Arial" w:cs="Arial"/>
          <w:b/>
          <w:bCs/>
          <w:sz w:val="24"/>
          <w:szCs w:val="24"/>
        </w:rPr>
      </w:pPr>
      <w:r w:rsidRPr="00922FA4">
        <w:rPr>
          <w:rFonts w:ascii="Arial" w:hAnsi="Arial" w:cs="Arial"/>
          <w:b/>
          <w:bCs/>
          <w:sz w:val="24"/>
          <w:szCs w:val="24"/>
        </w:rPr>
        <w:t>Duration of Survey Completion</w:t>
      </w:r>
    </w:p>
    <w:p w14:paraId="094699AF" w14:textId="0B2AB2E4" w:rsidR="009A1CDE" w:rsidRPr="00A008C4" w:rsidRDefault="00D90ADE" w:rsidP="009A1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974C4">
        <w:rPr>
          <w:rFonts w:ascii="Arial" w:hAnsi="Arial" w:cs="Arial"/>
          <w:sz w:val="24"/>
          <w:szCs w:val="24"/>
        </w:rPr>
        <w:t xml:space="preserve">amount of time it took to complete the survey (AGPM plus demographics) was significantly different between the two versions. After removing </w:t>
      </w:r>
      <w:r w:rsidR="008248DF">
        <w:rPr>
          <w:rFonts w:ascii="Arial" w:hAnsi="Arial" w:cs="Arial"/>
          <w:sz w:val="24"/>
          <w:szCs w:val="24"/>
        </w:rPr>
        <w:t>three</w:t>
      </w:r>
      <w:r w:rsidR="00E974C4">
        <w:rPr>
          <w:rFonts w:ascii="Arial" w:hAnsi="Arial" w:cs="Arial"/>
          <w:sz w:val="24"/>
          <w:szCs w:val="24"/>
        </w:rPr>
        <w:t xml:space="preserve"> participants from this a</w:t>
      </w:r>
      <w:r w:rsidR="008248DF">
        <w:rPr>
          <w:rFonts w:ascii="Arial" w:hAnsi="Arial" w:cs="Arial"/>
          <w:sz w:val="24"/>
          <w:szCs w:val="24"/>
        </w:rPr>
        <w:t>nalysis due to being more than three</w:t>
      </w:r>
      <w:r w:rsidR="00E974C4">
        <w:rPr>
          <w:rFonts w:ascii="Arial" w:hAnsi="Arial" w:cs="Arial"/>
          <w:sz w:val="24"/>
          <w:szCs w:val="24"/>
        </w:rPr>
        <w:t xml:space="preserve"> standard deviations above the mean survey completion time, we found that </w:t>
      </w:r>
      <w:r w:rsidR="00805BC6">
        <w:rPr>
          <w:rFonts w:ascii="Arial" w:hAnsi="Arial" w:cs="Arial"/>
          <w:sz w:val="24"/>
          <w:szCs w:val="24"/>
        </w:rPr>
        <w:t>participants took significantly longer to complete the survey in the video condition (</w:t>
      </w:r>
      <w:r w:rsidR="00805BC6" w:rsidRPr="00805BC6">
        <w:rPr>
          <w:rFonts w:ascii="Arial" w:hAnsi="Arial" w:cs="Arial"/>
          <w:i/>
          <w:sz w:val="24"/>
          <w:szCs w:val="24"/>
        </w:rPr>
        <w:t>M</w:t>
      </w:r>
      <w:r w:rsidR="00805BC6">
        <w:rPr>
          <w:rFonts w:ascii="Arial" w:hAnsi="Arial" w:cs="Arial"/>
          <w:sz w:val="24"/>
          <w:szCs w:val="24"/>
        </w:rPr>
        <w:t xml:space="preserve"> = 19.74 minutes, </w:t>
      </w:r>
      <w:r w:rsidR="00805BC6" w:rsidRPr="00805BC6">
        <w:rPr>
          <w:rFonts w:ascii="Arial" w:hAnsi="Arial" w:cs="Arial"/>
          <w:i/>
          <w:sz w:val="24"/>
          <w:szCs w:val="24"/>
        </w:rPr>
        <w:t>SD</w:t>
      </w:r>
      <w:r w:rsidR="00805BC6">
        <w:rPr>
          <w:rFonts w:ascii="Arial" w:hAnsi="Arial" w:cs="Arial"/>
          <w:sz w:val="24"/>
          <w:szCs w:val="24"/>
        </w:rPr>
        <w:t xml:space="preserve"> = 5.67 minutes) than the transcript-only version (</w:t>
      </w:r>
      <w:r w:rsidR="00805BC6" w:rsidRPr="00805BC6">
        <w:rPr>
          <w:rFonts w:ascii="Arial" w:hAnsi="Arial" w:cs="Arial"/>
          <w:i/>
          <w:sz w:val="24"/>
          <w:szCs w:val="24"/>
        </w:rPr>
        <w:t>M</w:t>
      </w:r>
      <w:r w:rsidR="00805BC6">
        <w:rPr>
          <w:rFonts w:ascii="Arial" w:hAnsi="Arial" w:cs="Arial"/>
          <w:sz w:val="24"/>
          <w:szCs w:val="24"/>
        </w:rPr>
        <w:t xml:space="preserve"> = 11.47 minutes, </w:t>
      </w:r>
      <w:r w:rsidR="00805BC6" w:rsidRPr="00805BC6">
        <w:rPr>
          <w:rFonts w:ascii="Arial" w:hAnsi="Arial" w:cs="Arial"/>
          <w:i/>
          <w:sz w:val="24"/>
          <w:szCs w:val="24"/>
        </w:rPr>
        <w:t>SD</w:t>
      </w:r>
      <w:r w:rsidR="00805BC6">
        <w:rPr>
          <w:rFonts w:ascii="Arial" w:hAnsi="Arial" w:cs="Arial"/>
          <w:sz w:val="24"/>
          <w:szCs w:val="24"/>
        </w:rPr>
        <w:t xml:space="preserve"> = 9.23 minutes, </w:t>
      </w:r>
      <w:r w:rsidR="00805BC6" w:rsidRPr="00805BC6">
        <w:rPr>
          <w:rFonts w:ascii="Arial" w:hAnsi="Arial" w:cs="Arial"/>
          <w:i/>
          <w:sz w:val="24"/>
          <w:szCs w:val="24"/>
        </w:rPr>
        <w:t>t</w:t>
      </w:r>
      <w:r w:rsidR="00805BC6" w:rsidRPr="00805BC6">
        <w:rPr>
          <w:rFonts w:ascii="Arial" w:hAnsi="Arial" w:cs="Arial"/>
          <w:sz w:val="24"/>
          <w:szCs w:val="24"/>
        </w:rPr>
        <w:t>(</w:t>
      </w:r>
      <w:r w:rsidR="00805BC6">
        <w:rPr>
          <w:rFonts w:ascii="Arial" w:hAnsi="Arial" w:cs="Arial"/>
          <w:sz w:val="24"/>
          <w:szCs w:val="24"/>
        </w:rPr>
        <w:t xml:space="preserve">196) = 7.41, </w:t>
      </w:r>
      <w:r w:rsidR="00805BC6" w:rsidRPr="00805BC6">
        <w:rPr>
          <w:rFonts w:ascii="Arial" w:hAnsi="Arial" w:cs="Arial"/>
          <w:i/>
          <w:sz w:val="24"/>
          <w:szCs w:val="24"/>
        </w:rPr>
        <w:t xml:space="preserve">p </w:t>
      </w:r>
      <w:r w:rsidR="00805BC6">
        <w:rPr>
          <w:rFonts w:ascii="Arial" w:hAnsi="Arial" w:cs="Arial"/>
          <w:sz w:val="24"/>
          <w:szCs w:val="24"/>
        </w:rPr>
        <w:t>&lt; .01</w:t>
      </w:r>
      <w:r w:rsidR="00E465DA">
        <w:rPr>
          <w:rFonts w:ascii="Arial" w:hAnsi="Arial" w:cs="Arial"/>
          <w:sz w:val="24"/>
          <w:szCs w:val="24"/>
        </w:rPr>
        <w:t>).</w:t>
      </w:r>
    </w:p>
    <w:p w14:paraId="748283B2" w14:textId="77777777" w:rsidR="0065439C" w:rsidRPr="00A008C4" w:rsidRDefault="00D90ADE" w:rsidP="006543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</w:p>
    <w:p w14:paraId="4E033B8C" w14:textId="3D6289A4" w:rsidR="00FB30A4" w:rsidRPr="00922FA4" w:rsidRDefault="00D90ADE" w:rsidP="00922FA4">
      <w:pPr>
        <w:rPr>
          <w:rFonts w:ascii="Arial" w:hAnsi="Arial" w:cs="Arial"/>
          <w:sz w:val="24"/>
          <w:szCs w:val="24"/>
        </w:rPr>
      </w:pPr>
      <w:r w:rsidRPr="00D90ADE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text-only version is </w:t>
      </w:r>
      <w:r w:rsidR="00E13BB4">
        <w:rPr>
          <w:rFonts w:ascii="Arial" w:hAnsi="Arial" w:cs="Arial"/>
          <w:sz w:val="24"/>
          <w:szCs w:val="24"/>
        </w:rPr>
        <w:t xml:space="preserve">equivalent to the originally developed video version of the </w:t>
      </w:r>
      <w:r w:rsidR="00613153">
        <w:rPr>
          <w:rFonts w:ascii="Arial" w:hAnsi="Arial" w:cs="Arial"/>
          <w:sz w:val="24"/>
          <w:szCs w:val="24"/>
        </w:rPr>
        <w:t xml:space="preserve">measure </w:t>
      </w:r>
      <w:r>
        <w:rPr>
          <w:rFonts w:ascii="Arial" w:hAnsi="Arial" w:cs="Arial"/>
          <w:sz w:val="24"/>
          <w:szCs w:val="24"/>
        </w:rPr>
        <w:t>in terms of mean scores</w:t>
      </w:r>
      <w:r w:rsidR="00E13BB4">
        <w:rPr>
          <w:rFonts w:ascii="Arial" w:hAnsi="Arial" w:cs="Arial"/>
          <w:sz w:val="24"/>
          <w:szCs w:val="24"/>
        </w:rPr>
        <w:t xml:space="preserve">. This suggests </w:t>
      </w:r>
      <w:r>
        <w:rPr>
          <w:rFonts w:ascii="Arial" w:hAnsi="Arial" w:cs="Arial"/>
          <w:sz w:val="24"/>
          <w:szCs w:val="24"/>
        </w:rPr>
        <w:t xml:space="preserve">that, </w:t>
      </w:r>
      <w:r w:rsidRPr="00E465DA">
        <w:rPr>
          <w:rFonts w:ascii="Arial" w:hAnsi="Arial" w:cs="Arial"/>
          <w:iCs/>
          <w:sz w:val="24"/>
          <w:szCs w:val="24"/>
        </w:rPr>
        <w:t>when participant literacy is not a concern</w:t>
      </w:r>
      <w:r w:rsidRPr="00E465DA">
        <w:rPr>
          <w:rFonts w:ascii="Arial" w:hAnsi="Arial" w:cs="Arial"/>
          <w:sz w:val="24"/>
          <w:szCs w:val="24"/>
        </w:rPr>
        <w:t>, researchers</w:t>
      </w:r>
      <w:r w:rsidR="00E13BB4" w:rsidRPr="00E465DA">
        <w:rPr>
          <w:rFonts w:ascii="Arial" w:hAnsi="Arial" w:cs="Arial"/>
          <w:sz w:val="24"/>
          <w:szCs w:val="24"/>
        </w:rPr>
        <w:t xml:space="preserve"> could use either version of the su</w:t>
      </w:r>
      <w:r w:rsidR="00E13BB4">
        <w:rPr>
          <w:rFonts w:ascii="Arial" w:hAnsi="Arial" w:cs="Arial"/>
          <w:sz w:val="24"/>
          <w:szCs w:val="24"/>
        </w:rPr>
        <w:t>rvey and expect similar results. Researchers may choose the video version of the survey if they anticipate that the population they are surveying has low health literacy</w:t>
      </w:r>
      <w:r w:rsidR="00DB772D">
        <w:rPr>
          <w:rFonts w:ascii="Arial" w:hAnsi="Arial" w:cs="Arial"/>
          <w:sz w:val="24"/>
          <w:szCs w:val="24"/>
        </w:rPr>
        <w:t xml:space="preserve"> or other attributes for which a brief video may be useful. Alternatively, researchers can utilize the transcript-only version of the survey if they anticipate that their population of interest may have poor internet connections which may prohibit video streaming,</w:t>
      </w:r>
      <w:r w:rsidR="00B95410">
        <w:rPr>
          <w:rFonts w:ascii="Arial" w:hAnsi="Arial" w:cs="Arial"/>
          <w:sz w:val="24"/>
          <w:szCs w:val="24"/>
        </w:rPr>
        <w:t xml:space="preserve"> or if they want to administer</w:t>
      </w:r>
      <w:r w:rsidR="00DB772D">
        <w:rPr>
          <w:rFonts w:ascii="Arial" w:hAnsi="Arial" w:cs="Arial"/>
          <w:sz w:val="24"/>
          <w:szCs w:val="24"/>
        </w:rPr>
        <w:t xml:space="preserve"> the survey in paper and pencil format. Additionally, if researchers are concerned about the time commitment required to complete the survey, the transcript-only version can be used to save participants</w:t>
      </w:r>
      <w:r w:rsidR="00E465DA">
        <w:rPr>
          <w:rFonts w:ascii="Arial" w:hAnsi="Arial" w:cs="Arial"/>
          <w:sz w:val="24"/>
          <w:szCs w:val="24"/>
        </w:rPr>
        <w:t>’</w:t>
      </w:r>
      <w:r w:rsidR="00DB772D">
        <w:rPr>
          <w:rFonts w:ascii="Arial" w:hAnsi="Arial" w:cs="Arial"/>
          <w:sz w:val="24"/>
          <w:szCs w:val="24"/>
        </w:rPr>
        <w:t xml:space="preserve"> time without sacrificing reliability and validity.</w:t>
      </w:r>
    </w:p>
    <w:sectPr w:rsidR="00FB30A4" w:rsidRPr="00922F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B1FA" w14:textId="77777777" w:rsidR="00E113CC" w:rsidRDefault="00E113CC" w:rsidP="00986204">
      <w:pPr>
        <w:spacing w:after="0" w:line="240" w:lineRule="auto"/>
      </w:pPr>
      <w:r>
        <w:separator/>
      </w:r>
    </w:p>
  </w:endnote>
  <w:endnote w:type="continuationSeparator" w:id="0">
    <w:p w14:paraId="67B003B8" w14:textId="77777777" w:rsidR="00E113CC" w:rsidRDefault="00E113CC" w:rsidP="0098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304463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1C6A1" w14:textId="3C4ED54D" w:rsidR="00E465DA" w:rsidRPr="00E465DA" w:rsidRDefault="00E465DA">
        <w:pPr>
          <w:pStyle w:val="Footer"/>
          <w:jc w:val="right"/>
          <w:rPr>
            <w:rFonts w:ascii="Arial" w:hAnsi="Arial" w:cs="Arial"/>
          </w:rPr>
        </w:pPr>
        <w:r w:rsidRPr="00E465DA">
          <w:rPr>
            <w:rFonts w:ascii="Arial" w:hAnsi="Arial" w:cs="Arial"/>
          </w:rPr>
          <w:fldChar w:fldCharType="begin"/>
        </w:r>
        <w:r w:rsidRPr="00E465DA">
          <w:rPr>
            <w:rFonts w:ascii="Arial" w:hAnsi="Arial" w:cs="Arial"/>
          </w:rPr>
          <w:instrText xml:space="preserve"> PAGE   \* MERGEFORMAT </w:instrText>
        </w:r>
        <w:r w:rsidRPr="00E465D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E465DA">
          <w:rPr>
            <w:rFonts w:ascii="Arial" w:hAnsi="Arial" w:cs="Arial"/>
            <w:noProof/>
          </w:rPr>
          <w:fldChar w:fldCharType="end"/>
        </w:r>
      </w:p>
    </w:sdtContent>
  </w:sdt>
  <w:p w14:paraId="040E02BD" w14:textId="77777777" w:rsidR="00E465DA" w:rsidRDefault="00E4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4720" w14:textId="77777777" w:rsidR="00E113CC" w:rsidRDefault="00E113CC" w:rsidP="00986204">
      <w:pPr>
        <w:spacing w:after="0" w:line="240" w:lineRule="auto"/>
      </w:pPr>
      <w:r>
        <w:separator/>
      </w:r>
    </w:p>
  </w:footnote>
  <w:footnote w:type="continuationSeparator" w:id="0">
    <w:p w14:paraId="0F7E4C72" w14:textId="77777777" w:rsidR="00E113CC" w:rsidRDefault="00E113CC" w:rsidP="0098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034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2AF51C" w14:textId="396A3FEF" w:rsidR="00602142" w:rsidRDefault="006021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0A2A50" w14:textId="77777777" w:rsidR="00602142" w:rsidRDefault="00602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509"/>
    <w:multiLevelType w:val="hybridMultilevel"/>
    <w:tmpl w:val="3592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A4"/>
    <w:rsid w:val="00061183"/>
    <w:rsid w:val="00080BCB"/>
    <w:rsid w:val="000B6390"/>
    <w:rsid w:val="000D7D14"/>
    <w:rsid w:val="000E5F26"/>
    <w:rsid w:val="000F12C4"/>
    <w:rsid w:val="00113F98"/>
    <w:rsid w:val="00116E69"/>
    <w:rsid w:val="00120A3E"/>
    <w:rsid w:val="001316FA"/>
    <w:rsid w:val="001A2646"/>
    <w:rsid w:val="001F5F48"/>
    <w:rsid w:val="00201B18"/>
    <w:rsid w:val="00224DF9"/>
    <w:rsid w:val="002732E3"/>
    <w:rsid w:val="00304B57"/>
    <w:rsid w:val="00331EBC"/>
    <w:rsid w:val="0035507C"/>
    <w:rsid w:val="003727B8"/>
    <w:rsid w:val="003877DD"/>
    <w:rsid w:val="003A2930"/>
    <w:rsid w:val="003C5D91"/>
    <w:rsid w:val="003E216E"/>
    <w:rsid w:val="003E678C"/>
    <w:rsid w:val="003F2820"/>
    <w:rsid w:val="003F57DD"/>
    <w:rsid w:val="00406475"/>
    <w:rsid w:val="00453DE9"/>
    <w:rsid w:val="004C4D45"/>
    <w:rsid w:val="004E4ADA"/>
    <w:rsid w:val="004F06CB"/>
    <w:rsid w:val="00516F9C"/>
    <w:rsid w:val="00556E13"/>
    <w:rsid w:val="005D3D9A"/>
    <w:rsid w:val="00602142"/>
    <w:rsid w:val="00613153"/>
    <w:rsid w:val="0065439C"/>
    <w:rsid w:val="006646A5"/>
    <w:rsid w:val="006A3596"/>
    <w:rsid w:val="007762A8"/>
    <w:rsid w:val="00795D53"/>
    <w:rsid w:val="007A7EE5"/>
    <w:rsid w:val="007C3E98"/>
    <w:rsid w:val="007E0C3E"/>
    <w:rsid w:val="007F3720"/>
    <w:rsid w:val="007F64EE"/>
    <w:rsid w:val="00805BC6"/>
    <w:rsid w:val="008248DF"/>
    <w:rsid w:val="00825E12"/>
    <w:rsid w:val="0086362E"/>
    <w:rsid w:val="00883D3B"/>
    <w:rsid w:val="008B0D58"/>
    <w:rsid w:val="00903B34"/>
    <w:rsid w:val="009117C7"/>
    <w:rsid w:val="00913DEB"/>
    <w:rsid w:val="0091499F"/>
    <w:rsid w:val="00922FA4"/>
    <w:rsid w:val="009543AC"/>
    <w:rsid w:val="00964DB1"/>
    <w:rsid w:val="00986204"/>
    <w:rsid w:val="009A1CDE"/>
    <w:rsid w:val="009E3E35"/>
    <w:rsid w:val="009F3B79"/>
    <w:rsid w:val="00A008C4"/>
    <w:rsid w:val="00A05311"/>
    <w:rsid w:val="00A4340D"/>
    <w:rsid w:val="00A64581"/>
    <w:rsid w:val="00A9694F"/>
    <w:rsid w:val="00AC774A"/>
    <w:rsid w:val="00AD1D27"/>
    <w:rsid w:val="00AD492B"/>
    <w:rsid w:val="00B03E80"/>
    <w:rsid w:val="00B37F24"/>
    <w:rsid w:val="00B55411"/>
    <w:rsid w:val="00B70CA9"/>
    <w:rsid w:val="00B95410"/>
    <w:rsid w:val="00BB0539"/>
    <w:rsid w:val="00BC5A8C"/>
    <w:rsid w:val="00BD04EA"/>
    <w:rsid w:val="00BF2CC6"/>
    <w:rsid w:val="00C264CB"/>
    <w:rsid w:val="00C2706D"/>
    <w:rsid w:val="00CC434C"/>
    <w:rsid w:val="00CE7D02"/>
    <w:rsid w:val="00CF0006"/>
    <w:rsid w:val="00CF6D57"/>
    <w:rsid w:val="00CF7D57"/>
    <w:rsid w:val="00D46832"/>
    <w:rsid w:val="00D805DC"/>
    <w:rsid w:val="00D90ADE"/>
    <w:rsid w:val="00D95897"/>
    <w:rsid w:val="00DB7085"/>
    <w:rsid w:val="00DB772D"/>
    <w:rsid w:val="00DC1F35"/>
    <w:rsid w:val="00DC2D7E"/>
    <w:rsid w:val="00E06E26"/>
    <w:rsid w:val="00E113CC"/>
    <w:rsid w:val="00E11CA6"/>
    <w:rsid w:val="00E13BB4"/>
    <w:rsid w:val="00E465DA"/>
    <w:rsid w:val="00E608D5"/>
    <w:rsid w:val="00E974C4"/>
    <w:rsid w:val="00EA10A9"/>
    <w:rsid w:val="00EB32A0"/>
    <w:rsid w:val="00EB51E8"/>
    <w:rsid w:val="00EB7D77"/>
    <w:rsid w:val="00F83941"/>
    <w:rsid w:val="00FA682D"/>
    <w:rsid w:val="00FB30A4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146D"/>
  <w15:chartTrackingRefBased/>
  <w15:docId w15:val="{0F1A021C-CC45-4C92-A7E3-222E51A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2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4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64C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D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04"/>
  </w:style>
  <w:style w:type="paragraph" w:styleId="Footer">
    <w:name w:val="footer"/>
    <w:basedOn w:val="Normal"/>
    <w:link w:val="FooterChar"/>
    <w:uiPriority w:val="99"/>
    <w:unhideWhenUsed/>
    <w:rsid w:val="00986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04"/>
  </w:style>
  <w:style w:type="table" w:styleId="TableGrid">
    <w:name w:val="Table Grid"/>
    <w:basedOn w:val="TableNormal"/>
    <w:uiPriority w:val="39"/>
    <w:rsid w:val="00A0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B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Solomon, Erin</dc:creator>
  <cp:keywords/>
  <dc:description/>
  <cp:lastModifiedBy>DuBois, James</cp:lastModifiedBy>
  <cp:revision>3</cp:revision>
  <dcterms:created xsi:type="dcterms:W3CDTF">2020-09-14T02:44:00Z</dcterms:created>
  <dcterms:modified xsi:type="dcterms:W3CDTF">2020-09-20T20:49:00Z</dcterms:modified>
</cp:coreProperties>
</file>