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DD" w:rsidRPr="009864DD" w:rsidRDefault="009864DD" w:rsidP="009864D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864D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DAQCORD Questions</w:t>
      </w:r>
      <w:bookmarkStart w:id="0" w:name="_GoBack"/>
      <w:bookmarkEnd w:id="0"/>
    </w:p>
    <w:tbl>
      <w:tblPr>
        <w:tblW w:w="10004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775"/>
        <w:gridCol w:w="7027"/>
      </w:tblGrid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Study Phase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Dimension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Question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1. The case report form (CRF) has been designed by a team with a range of expertise.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CRF design teams were designated and followed a defined process for end-user acceptance testing to ensure it aligns with the workflow and research milestones.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Design and testing included experts in areas under study such as database design and curation; statistics, neuroimaging; biospecimen management; outcome assessments; and clinical assessments etc.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Before data entry was started, the CRF forms were reviewed by an independent researcher with appropriate expertise.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2. There is a robust process for choosing and designing the dataset to be collected that involves appropriate stakeholders, including a data-curation team with appropriate skill mix.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Data governance team should include all the important and key stakeholders such as: data curator, steward, analysts.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Subject matter experts should be involved from the outset (study design time) to ensure that the data is sufficient and aligned to fullfill the study objectives.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Technical experts should be involved from the outset (study design time) to ensure that the variables to be collected are appropriately specified.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3. The data ontology is consistent with published standards (common data elements) to the greatest extent possible.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Data base fields conform as appropriate to FITBIR NINDS Common Data Elements for Traumatic Brain Injury; CDISC; CDASH; and Abbreviated Injury Scores.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Pre-specified data ontology at design-time.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Published data elements used as far as possible. However, when not possible, deviations from published specifications clearly documented and have robust scientific justification.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4. Data-types are specified for each variable.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Specifications for floating point, integer, factor or free text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5. Variables are named and encoded in a way that is easy to understand.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When data is extracted from the database, it should be easy to recognize what the variable names refer to.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When there are many variables of the same kind, the names follow a pattern that is consistent.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The same name should be used across the CRF and database design so that confusion is minimised.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6. Relational databases have been appropriately normalised: steps have been taken to eliminate redundant data and remove potentially inconsistent or overly complex data dependencies.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Similar data will be collected in one table.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Repeating data is not collected in separate fields, but rather identified by a time point indicator.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7. Each individual has a unique identifier.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The GUID (Global Unique IDentifier) or the GUPI (Generated Unique Patient Identifier) is a method of ensuring that patients are not duplicated across datasets.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8. There is no duplication in the data set: data has not been entered twice for the same participant.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Duplication identification process in place to assure single entry of codes assigned to unique subjects by institution across repository data sets (e.g., blood samples, imaging sequences and other assessments).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Audits are conducted to reconcile record linkages and assure no duplicates are entered (e.g., image sequence files not submitted twice; subject CRF only entered once in database; or biospecimen have unique IDs at different timepoints and only entered once).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For data across multiple platforms assure same subject ID is used in the database. For example, Global unique identifier (GUID).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9. Data that is mandatory for the study is enforced by rules at data entry and user reasons for overriding the error checks (queries) are documented in the database.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Mandatory elements require a value or explanation for reason missing.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Curation team is responsible for reviewing and accepting or rejecting explanations.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Data completeness for key variables is checked against pre-specified study design goals and minimum standards for data completeness in key areas are met.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4: Quality control is in place to ensure that completed clinical measurements or investigations such as imaging meet the specifications in the study protocol.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10. Missingness is defined and is distinguished from ‘not available’, ‘not applicable’, ‘not collected’ or ‘unknown.’ For optional data, ‘not entered’ is differentiated from ‘not clinically available’ depending on research context.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Definitions are agreed upon at design.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Codes are defined as appropriate to study settings: missing data from hospital record (e.g. not recorded) versus missing data from a study appointment (e.g. subject did not return etc.).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Plausibility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 xml:space="preserve">11. Range and logic checks are in place for CRF response fields that require free entry of numeric values. Permissible values and units of 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measurement are specified at data entry.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Avoid free text fields when possible.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eCRF has automated error flags to prompt immediate alert to review entries that don’t pass validation with option to override when appropriate.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12. Free text avoided unless clear scientific justification and (e.g. qualitative) analysis plan specified and feasible.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‘Other’ checkbox included in field response options as appropriate with free field text for description.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Free-text fields set as containing PHI to avoid inadvertent export/release of personal information.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13. Database rule checks are in place to identify conflicts in data entries for related or dependent data collected in different CRFs or sources.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Scheduled queries are run for data checks across tables/CRFs for variables prone to conflict.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There should be rules to ensure that incompatible choices are excluded both within a data element (e.g. cannot be both male and female) and between related elements (e.g. male cannot be pregnant).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14. There are mechanisms in place to enforce / ensure that time-sensitive data is entered within allotted time windows.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Database has flags for identification of when CRF completion or a study visit is overdue.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Automated weekly messages sent to coordinators listing overdue eCRFs.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Central study staff responsible for monitoring overdue CRFs.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15. There is clear documentation of interdependence of CRF fields, including data entry skip logic.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For data entry: cells for skipped questions are closed.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Clear directions on CRFs for when to skip questions.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16. Data collection includes fields for documenting that participants meet inclusion/ exclusion criteria.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Avoid enrollment errors by requiring completion of a CRF with checklist confirming that eligibility criteria have been met for enrolled subjects.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For subjects that need to be enrolled within specific window of time there are timestamp checks in the eCRF in place to verify the eligibility window.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Date of birth falls within the enrollment age criteria.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17. The data entry tool does not perform rounding or truncation of entries that might result in precision-loss.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Where decimal places are to be limited, it should be clear to the user 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and prevent them from entering the value rather than a truncation performed with the user being unaware.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Plausibility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18. Extract / transform / load software for batch upload of data from other sources such as assay results should flag impossible and implausible values.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ETL process logged.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Permissible value ranges in the ETL software are study specific rather than relying on institution permissible value logic.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19. Internationalisation is undertaken in a robust manner, and translation and cultural adaption of concepts (e.g. assessment tools) follows best practice.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Systematic approach to translation and cross-cultural validation of study material in multi-language settings.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Psychometric transformations considered.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20. Data collection methods are documented in study manuals that are sufficiently detailed to ensure the same procedures are followed each time.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Manuals compiled by multidisciplinary team of stakeholders and involve data curation expertise. For example, Imaging studies and biospecimen collection procedures are detailed for study personnel and end-users.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Manuals specify how eCRF data is collected, when, by what metrics and under what conditions.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CRF fields have links to relevant data manual sections.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21. All personnel responsible for entering data receive training and testing on how to complete the CRF.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Training materials developed and disseminated via print, webinar or in-person training.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Study implementation checklist includes documentation for training requirements according to study personnel roles.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Testing process in place: written exams with scenarios for coding data; video demonstrations for examiner competency to administer of outcome assessments; competency for performing research imaging sequences; or testing with mock patient records for complex forms.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4: Post-launch procedures for assuring new project personnel also fulfill training requirements.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22. The CRF / eCRF are easy to use and include a detailed description of the data collection guidelines and how to complete each field in the form. They are pilot tested in a rigorous pre-specified and documented process until reliability and validity are demonstrated.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Layout of paper and eCRFs are easy to navigate with simple wording.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Examples are provided for coding of complex response choices.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The CRF is designed and validated to be unambiguous to different 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users.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4: eCRF forms are designed to be presented based on rules to appear at times that are appropriate depending on the study design: Hiding irrelevant forms and to function as a prompt to promote timely data collection.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23. Data collectors are tested and provided with feedback regarding the accuracy of their performance across all relevant study domains.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Random audits of clinical source documents against data entered on hard copy and eCRFs.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Double data entry audits of selected forms that are known to be prone to errors.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Audit of eCRF and hard copy logs for biospecimens; audit of complex assessments by experts.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4: Training and on-line documentation of how to handle exceptions.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24. Data collection that requires specific content expertise is carried out by trained and/or certified investigators.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Certification processes specified in protocols.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25. Assessors are blinded to treatment allocation or predictor variables where appropriate and such blinding is explicitly recorded.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Therapists administering the Functional Independence Measure (FIM) tool do not know who was given an experimental treatment or a placebo.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26. There is a clear audit chain for any data processing that takes place after entry, and this should have a mechanism for version control if it changes.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Change logs maintained and audited.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Workflows and ETL (extract / transform / load) processes are described.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27. Data are provided in a form that is unambiguous to researchers.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Table and study form fields relationships are clearly identified in the data dictionary.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Concordance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28. For physiological data the methods of measurement and units are defined for all sites.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Uniform collection standards are in place.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When uniform measures are not used by hospital units or labs, the CRF provides conversion guidance.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Inter-site sampling differences are described in the data dictionary.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29. Imaging acquisition techniques are standardised (e.g. magnetic resonance imaging).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Phantom standardization of MRI scanners across study sites.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Appropriate assurance of quality and comparability between sites 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and within sites and assurance of ongoing compliance over time.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SOP aligned with agreed imaging acquisition standards.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4: Adequate training of technical personnel across sites.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30. Biospecimen preparation techniques are standardised.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Clear Biospecimen Standard Operating Procedure (SOP) for sample preparation.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Lab SOP aligned with agreed sample handling standards.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Adequate training of lab personnel across sites.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4: Published / national / international standards should be specified and adhered to where possible.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5: Audit trail of sample processing and storage.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6: Protocol deviations filed when protocol not followed.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7: Audits of time intervals for drawing, processing and freezing are within protocol windows for each specimen type.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31. Biospecimen assay accuracy, precision, repeatability, detection limits, quantitation limits, linearity and range are defined. Normal ranges are determined for each assay.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Normal ranges are determined for each assay.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Assays are standardised as far as possible.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3: Assay substrate are defined (e.g. ionised vs. unionised fractions, whole blood vs serum, total vs protein bound as appropriate).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4: Normal ranges should consider/be customised to pathology or subject group in question.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Design-time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32. There is automated entry of the results of biospecimen samples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Vial labels IDs entered into bio-repository logs via bar code scanner.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Training and Testing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33. A team of data-curation experts are involved with pre-specified initial and ongoing testing for quality assurance.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Anticipated and unanticipated data quality issues are identified and appropriate solutions/mitigation strategies are devised in a timely manner.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There is a process in place for ongoing systematic quality checking and analysis of data during data acquisition to identify unexpected data quality issues in order to remedy them in a timely manner.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34. Proxy responses for factual questions (such as employment status) are allowed in order to maximize completeness.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Protocol is designed to allow for surrogate to respond to selected questions when patient is too impaired to respond. CRF indicates when surrogate is responding.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35. Automated variable transformations are documented and tested before implementation and if modified.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For example, testing is carried out if fields such as ‘years of education’ and ‘level of education’ are automatically combined into a new variable summarising educational status.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2: Coding is tested on a subset of data, ideally by multiple members of the study team.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There is a centralised log / version management of all transformations used.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Completeness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36. There is centralized monitoring of the completeness and consistency of information during data collection.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Plausibility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37. Individual data elements should be checked for missingness. This should be done against pre-specified skip-logic / missingness masks. This should be performed throughout the study data acquisition period to give accurate ‘real time’ feedback on completion status.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Rules in place to check whether the apparently missing element should be completed or not for a particular study stratum or time point.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Plausibility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38. Systematic and timely measures are in place to assure ongoing data accuracy.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Schedule of standard reports for data quality checks.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Ad hoc reports for identification of new issues.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39. Source data validation procedures are in place to check for agreement between the original data and the information recorded in the database.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Site visits for audit of subject hospital records against CRF and eCRF entries.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Submission of redacted hospital records for audit against eCRF entries.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Independent double entry of any data transferred to the database from paper form, either for full dataset or for representative subset.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Plausibility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40. Reliability checks have been performed on variables that are critical to research hypotheses, to ensure that information from multiple sources is consistent.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Database rule checks in place to identify conflicts in data entries for related or dependent data collected in different CRFs or sources.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2: Inter-rater scoring of MRIs is done independently by 3 experts on 10 cases per month.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41. Scoring of tests is checked. Scoring is performed automatically where possible.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42. Data irregularities are reported back to data collectors in a systematic and timely process. There is a standard operating procedure for data irregularities to be reported back to the data collectors and for documentation of the resolution of the issue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Queries in place to identify the following types of scenarios: For 9 of 10 study sites a mandatory and critical variable is only missing in 5% of the subjects. For site 10 data is found to be missing in 30% of the subjects. For a single site study, several personnel have been collecting longitudinal study data with low numbers of missing data. A pattern of 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increasing numbers of missing data has been identified with a newly hired data collector.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Variables known to be problematic are regularly monitored by curation team and delays in site resolution of issues are reported to governing committee.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3. Aggregate data are examined for inconsistencies such as lower average mortality in patients with GCS 3 than GCS 4-5.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Run-time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43. Known/emergent issues with the data dictionary are documented and reported in an accessible manner.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Post-collection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44. The version lock-down of the database for data entry is clearly specified.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1: Criteria in place for closing and locking eCRFs in the database. 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Post-collection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Correctness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45. A plan for ongoing curation and version control is specified.</w:t>
            </w:r>
          </w:p>
        </w:tc>
      </w:tr>
      <w:tr w:rsidR="009864DD" w:rsidRPr="009864DD" w:rsidTr="00986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Post-collection</w:t>
            </w:r>
          </w:p>
        </w:tc>
        <w:tc>
          <w:tcPr>
            <w:tcW w:w="1745" w:type="dxa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Representation</w:t>
            </w:r>
          </w:p>
        </w:tc>
        <w:tc>
          <w:tcPr>
            <w:tcW w:w="0" w:type="auto"/>
            <w:vAlign w:val="center"/>
            <w:hideMark/>
          </w:tcPr>
          <w:p w:rsidR="009864DD" w:rsidRPr="009864DD" w:rsidRDefault="009864DD" w:rsidP="009864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t>46. A comprehensive data dictionary is available for end users.</w:t>
            </w:r>
            <w:r w:rsidRPr="009864DD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Examples: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1: Database platform has feature for export of CRF field definitions and schema of table relations.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>2: Dictionary has annotations as needed to provide guidance on coding decisions.</w:t>
            </w:r>
            <w:r w:rsidRPr="009864D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br/>
              <w:t xml:space="preserve">3: Dictionary cites primary sources where appropriate for uniform data collection (e.g., NINDS TBI CDEs) </w:t>
            </w:r>
          </w:p>
        </w:tc>
      </w:tr>
    </w:tbl>
    <w:p w:rsidR="009864DD" w:rsidRDefault="009864DD"/>
    <w:sectPr w:rsidR="009864DD" w:rsidSect="00960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DD"/>
    <w:rsid w:val="0096054D"/>
    <w:rsid w:val="009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60D1DCB-81CC-9348-AD79-DDA2234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4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4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986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2824</Words>
  <Characters>16103</Characters>
  <Application>Microsoft Office Word</Application>
  <DocSecurity>0</DocSecurity>
  <Lines>134</Lines>
  <Paragraphs>37</Paragraphs>
  <ScaleCrop>false</ScaleCrop>
  <Company>INCF</Company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George</dc:creator>
  <cp:keywords/>
  <dc:description/>
  <cp:lastModifiedBy>Pradeep George</cp:lastModifiedBy>
  <cp:revision>1</cp:revision>
  <dcterms:created xsi:type="dcterms:W3CDTF">2020-03-05T16:30:00Z</dcterms:created>
  <dcterms:modified xsi:type="dcterms:W3CDTF">2020-03-05T16:32:00Z</dcterms:modified>
</cp:coreProperties>
</file>