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53E4" w14:textId="470B1D28" w:rsidR="00E72B8D" w:rsidRDefault="007F64A9" w:rsidP="00E72B8D">
      <w:pPr>
        <w:rPr>
          <w:rFonts w:asciiTheme="majorHAnsi" w:hAnsiTheme="majorHAnsi" w:cs="Arial"/>
          <w:b/>
          <w:szCs w:val="24"/>
          <w:u w:val="single"/>
        </w:rPr>
      </w:pPr>
      <w:r>
        <w:rPr>
          <w:rFonts w:asciiTheme="majorHAnsi" w:hAnsiTheme="majorHAnsi" w:cs="Arial"/>
          <w:b/>
          <w:szCs w:val="24"/>
          <w:u w:val="single"/>
        </w:rPr>
        <w:t>Supplemental Materials</w:t>
      </w:r>
    </w:p>
    <w:p w14:paraId="5055927B" w14:textId="77777777" w:rsidR="007F64A9" w:rsidRPr="00A70F6E" w:rsidRDefault="007F64A9" w:rsidP="00E72B8D">
      <w:pPr>
        <w:rPr>
          <w:rFonts w:asciiTheme="majorHAnsi" w:hAnsiTheme="majorHAnsi" w:cs="Arial"/>
          <w:b/>
          <w:szCs w:val="24"/>
          <w:u w:val="single"/>
        </w:rPr>
      </w:pPr>
    </w:p>
    <w:p w14:paraId="08273A6F" w14:textId="77777777" w:rsidR="00E72B8D" w:rsidRPr="00A70F6E" w:rsidRDefault="00E72B8D" w:rsidP="00E72B8D">
      <w:pPr>
        <w:rPr>
          <w:rFonts w:asciiTheme="majorHAnsi" w:hAnsiTheme="majorHAnsi" w:cs="Arial"/>
          <w:b/>
          <w:szCs w:val="24"/>
          <w:u w:val="single"/>
        </w:rPr>
      </w:pPr>
      <w:r w:rsidRPr="00A70F6E">
        <w:rPr>
          <w:rFonts w:asciiTheme="majorHAnsi" w:hAnsiTheme="majorHAnsi" w:cs="Arial"/>
          <w:b/>
          <w:szCs w:val="24"/>
          <w:u w:val="single"/>
        </w:rPr>
        <w:t>Appendix A: All Early Predictors</w:t>
      </w:r>
    </w:p>
    <w:p w14:paraId="63F95750" w14:textId="77777777" w:rsidR="00E72B8D" w:rsidRPr="00A70F6E" w:rsidRDefault="00E72B8D" w:rsidP="00E72B8D">
      <w:pPr>
        <w:jc w:val="right"/>
        <w:rPr>
          <w:rFonts w:asciiTheme="majorHAnsi" w:hAnsiTheme="majorHAnsi" w:cs="Arial"/>
          <w:szCs w:val="24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72B8D" w:rsidRPr="00A70F6E" w14:paraId="24B965E3" w14:textId="77777777" w:rsidTr="0047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95B3D7" w:themeFill="accent1" w:themeFillTint="99"/>
          </w:tcPr>
          <w:p w14:paraId="6F979198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Early Predictors</w:t>
            </w:r>
          </w:p>
        </w:tc>
      </w:tr>
      <w:tr w:rsidR="00E72B8D" w:rsidRPr="00A70F6E" w14:paraId="7D9F52C0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7867E1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Any scientific review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does this protocol require any scientific review (yes/no)</w:t>
            </w:r>
          </w:p>
        </w:tc>
      </w:tr>
      <w:tr w:rsidR="00E72B8D" w:rsidRPr="00A70F6E" w14:paraId="1A7CE991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4368443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Principal Investigator - Requested Application Type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-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specific protocol </w:t>
            </w:r>
            <w:r>
              <w:rPr>
                <w:rFonts w:asciiTheme="majorHAnsi" w:hAnsiTheme="majorHAnsi" w:cs="Arial"/>
                <w:b w:val="0"/>
                <w:szCs w:val="24"/>
              </w:rPr>
              <w:t>Principal Investigator - Requested Application Type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based on subject of study  from database submission by study team (initial review, exempt; initial review, </w:t>
            </w:r>
            <w:r>
              <w:rPr>
                <w:rFonts w:asciiTheme="majorHAnsi" w:hAnsiTheme="majorHAnsi" w:cs="Arial"/>
                <w:b w:val="0"/>
                <w:szCs w:val="24"/>
              </w:rPr>
              <w:t>convened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; initial review, non-exempt medical record review; National Cancer Institute Central IRB facilitated review; protocol development activities without immediate plans for involvement of human subjects)</w:t>
            </w:r>
          </w:p>
        </w:tc>
      </w:tr>
      <w:tr w:rsidR="00E72B8D" w:rsidRPr="00A70F6E" w14:paraId="6D96359F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519106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Cancer related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cancer related (yes/no)</w:t>
            </w:r>
          </w:p>
        </w:tc>
      </w:tr>
      <w:tr w:rsidR="00E72B8D" w:rsidRPr="00A70F6E" w14:paraId="69BE7BDB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694138B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Clinical and Translational Research Core submission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(yes/no)</w:t>
            </w:r>
          </w:p>
        </w:tc>
      </w:tr>
      <w:tr w:rsidR="00E72B8D" w:rsidRPr="00A70F6E" w14:paraId="345DA893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BA281E2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Conducting organization -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the institute research arm from which the study originated (e.g., VA, University of Wisconsin, University of Wisconsin Hospital and Clinics)</w:t>
            </w:r>
          </w:p>
        </w:tc>
      </w:tr>
      <w:tr w:rsidR="00E72B8D" w:rsidRPr="00A70F6E" w14:paraId="3B23CA73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818D158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Federally funded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(yes/no)</w:t>
            </w:r>
          </w:p>
        </w:tc>
      </w:tr>
      <w:tr w:rsidR="00E72B8D" w:rsidRPr="00A70F6E" w14:paraId="7EE44920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71A816E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ICTR grant –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Institute for Clinical and Translational Research Grant (yes/no)</w:t>
            </w:r>
          </w:p>
        </w:tc>
      </w:tr>
      <w:tr w:rsidR="00E72B8D" w:rsidRPr="00A70F6E" w14:paraId="366C0C40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6D64D9C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ICTR scientific review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does this protocol require scientific review from the Institute for Clinical and Translational Research (yes/no)</w:t>
            </w:r>
          </w:p>
        </w:tc>
      </w:tr>
      <w:tr w:rsidR="00E72B8D" w:rsidRPr="00A70F6E" w14:paraId="386CF706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A1EBE07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Industry funded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(yes/no)</w:t>
            </w:r>
          </w:p>
        </w:tc>
      </w:tr>
      <w:tr w:rsidR="00E72B8D" w:rsidRPr="00A70F6E" w14:paraId="000B3C4C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74D6AE9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Investigator initiated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is this protocol investigator initiated</w:t>
            </w:r>
          </w:p>
        </w:tc>
      </w:tr>
      <w:tr w:rsidR="00E72B8D" w:rsidRPr="00A70F6E" w14:paraId="1ED42F1B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A14E64F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IRB name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name of IRB conducting review</w:t>
            </w:r>
          </w:p>
        </w:tc>
      </w:tr>
      <w:tr w:rsidR="00E72B8D" w:rsidRPr="00A70F6E" w14:paraId="5CFD7C36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D1FEE15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IRB of record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is the UW IRB the IRB of record (yes/no)</w:t>
            </w:r>
          </w:p>
        </w:tc>
      </w:tr>
      <w:tr w:rsidR="00E72B8D" w:rsidRPr="00A70F6E" w14:paraId="39D89A41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14:paraId="039302A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IRB staff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IRB member in charge of this protocol’s review</w:t>
            </w:r>
          </w:p>
        </w:tc>
      </w:tr>
      <w:tr w:rsidR="00E72B8D" w:rsidRPr="00A70F6E" w14:paraId="051034E1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14:paraId="45A2793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IRB-Determined Review Type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– the type of review that will be conducted (e.g., </w:t>
            </w:r>
            <w:r>
              <w:rPr>
                <w:rFonts w:asciiTheme="majorHAnsi" w:hAnsiTheme="majorHAnsi" w:cs="Arial"/>
                <w:b w:val="0"/>
                <w:szCs w:val="24"/>
              </w:rPr>
              <w:t>convened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review, expedited review)</w:t>
            </w:r>
          </w:p>
        </w:tc>
      </w:tr>
      <w:tr w:rsidR="00E72B8D" w:rsidRPr="00A70F6E" w14:paraId="1CA88EDE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C95AAD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Is VA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–is this study to be conducted at the Veterans’ Administration (yes/no)</w:t>
            </w:r>
          </w:p>
        </w:tc>
      </w:tr>
      <w:tr w:rsidR="00E72B8D" w:rsidRPr="00A70F6E" w14:paraId="33EFAEB3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97DA355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Month received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the month the IRB received the protocol to begin review</w:t>
            </w:r>
          </w:p>
        </w:tc>
      </w:tr>
      <w:tr w:rsidR="00E72B8D" w:rsidRPr="00A70F6E" w14:paraId="6666AB9B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D0DD30F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Multi-site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is this protocol planned to be conducted at multiple sites (yes/no)</w:t>
            </w:r>
          </w:p>
        </w:tc>
      </w:tr>
      <w:tr w:rsidR="00E72B8D" w:rsidRPr="00A70F6E" w14:paraId="1DC3FF28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BD24C4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Point of contact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is the principal investigator the point of contact (yes/no)</w:t>
            </w:r>
          </w:p>
        </w:tc>
      </w:tr>
      <w:tr w:rsidR="00E72B8D" w:rsidRPr="00A70F6E" w14:paraId="0A6CDF46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3205516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Privately funded –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(yes/no)</w:t>
            </w:r>
          </w:p>
        </w:tc>
      </w:tr>
      <w:tr w:rsidR="00E72B8D" w:rsidRPr="00A70F6E" w14:paraId="542ADBD6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DBE2F57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Renewal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is this protocol a renewal of a previously approved protocol (yes/no)</w:t>
            </w:r>
          </w:p>
        </w:tc>
      </w:tr>
      <w:tr w:rsidR="00E72B8D" w:rsidRPr="00A70F6E" w14:paraId="4322EDE8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B407707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  <w:highlight w:val="yellow"/>
              </w:rPr>
            </w:pPr>
            <w:r w:rsidRPr="00A70F6E">
              <w:rPr>
                <w:rFonts w:asciiTheme="majorHAnsi" w:hAnsiTheme="majorHAnsi" w:cs="Arial"/>
                <w:szCs w:val="24"/>
              </w:rPr>
              <w:lastRenderedPageBreak/>
              <w:t xml:space="preserve">Review type – type of review to be conducted (e.g., exempt, expedited, facilitated, </w:t>
            </w:r>
            <w:r>
              <w:rPr>
                <w:rFonts w:asciiTheme="majorHAnsi" w:hAnsiTheme="majorHAnsi" w:cs="Arial"/>
                <w:szCs w:val="24"/>
              </w:rPr>
              <w:t>convened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) </w:t>
            </w:r>
          </w:p>
        </w:tc>
      </w:tr>
      <w:tr w:rsidR="00E72B8D" w:rsidRPr="00A70F6E" w14:paraId="5F36F1EF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E0DB71F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UW-coordinated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for multisite studies, will UW serve as the overseeing site (yes/no)</w:t>
            </w:r>
          </w:p>
        </w:tc>
      </w:tr>
      <w:tr w:rsidR="00E72B8D" w:rsidRPr="00A70F6E" w14:paraId="560F0734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BE5F1" w:themeFill="accent1" w:themeFillTint="33"/>
          </w:tcPr>
          <w:p w14:paraId="59EC3736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Vulnerable children –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does this protocol include children (defined as a vulnerable group per the Code of Federal Regulations) (yes/no)</w:t>
            </w:r>
          </w:p>
        </w:tc>
      </w:tr>
      <w:tr w:rsidR="00E72B8D" w:rsidRPr="00A70F6E" w14:paraId="689B40B4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9944802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Vulnerable groups –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does this protocol include any vulnerable groups (e.g., children, persons developmentally delayed) (yes-no)</w:t>
            </w:r>
          </w:p>
        </w:tc>
      </w:tr>
      <w:tr w:rsidR="00E72B8D" w:rsidRPr="00A70F6E" w14:paraId="6312C3F2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70E1A46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Vulnerable impaired –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does this protocol include vulnerable groups with developmental impairments (yes/no)</w:t>
            </w:r>
          </w:p>
        </w:tc>
      </w:tr>
      <w:tr w:rsidR="00E72B8D" w:rsidRPr="00A70F6E" w14:paraId="6C2026CF" w14:textId="77777777" w:rsidTr="00473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1F416EB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Department of Study Origin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– name of department submitting the protocol (e.g., pediatrics, nephrology) – 124 departments evaluated as one variable with 124 possible values and separately as 124 binary variables. No </w:t>
            </w:r>
            <w:r>
              <w:rPr>
                <w:rFonts w:asciiTheme="majorHAnsi" w:hAnsiTheme="majorHAnsi" w:cs="Arial"/>
                <w:b w:val="0"/>
                <w:szCs w:val="24"/>
              </w:rPr>
              <w:t>Department of Study Origin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was significant once correction applied for multiple testing using </w:t>
            </w:r>
            <w:proofErr w:type="spellStart"/>
            <w:r w:rsidRPr="00A70F6E">
              <w:rPr>
                <w:rFonts w:asciiTheme="majorHAnsi" w:hAnsiTheme="majorHAnsi" w:cs="Arial"/>
                <w:b w:val="0"/>
                <w:szCs w:val="24"/>
              </w:rPr>
              <w:t>Bonferonni</w:t>
            </w:r>
            <w:proofErr w:type="spellEnd"/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method.</w:t>
            </w:r>
          </w:p>
        </w:tc>
      </w:tr>
    </w:tbl>
    <w:p w14:paraId="287DD38E" w14:textId="77777777" w:rsidR="00E72B8D" w:rsidRPr="00A70F6E" w:rsidRDefault="00E72B8D" w:rsidP="00E72B8D">
      <w:pPr>
        <w:jc w:val="right"/>
        <w:rPr>
          <w:rFonts w:asciiTheme="majorHAnsi" w:hAnsiTheme="majorHAnsi" w:cs="Arial"/>
          <w:szCs w:val="24"/>
        </w:rPr>
      </w:pPr>
    </w:p>
    <w:p w14:paraId="7E29A7E7" w14:textId="77777777" w:rsidR="00E72B8D" w:rsidRPr="00A70F6E" w:rsidRDefault="00E72B8D" w:rsidP="00E72B8D">
      <w:pPr>
        <w:jc w:val="right"/>
        <w:rPr>
          <w:rFonts w:asciiTheme="majorHAnsi" w:hAnsiTheme="majorHAnsi" w:cs="Arial"/>
          <w:szCs w:val="24"/>
        </w:rPr>
      </w:pPr>
    </w:p>
    <w:p w14:paraId="1F1B4766" w14:textId="77777777" w:rsidR="00E72B8D" w:rsidRPr="00A70F6E" w:rsidRDefault="00E72B8D" w:rsidP="00E72B8D">
      <w:pPr>
        <w:rPr>
          <w:rFonts w:asciiTheme="majorHAnsi" w:hAnsiTheme="majorHAnsi" w:cs="Arial"/>
          <w:b/>
          <w:szCs w:val="24"/>
          <w:u w:val="single"/>
        </w:rPr>
      </w:pPr>
      <w:r w:rsidRPr="00A70F6E">
        <w:rPr>
          <w:rFonts w:asciiTheme="majorHAnsi" w:hAnsiTheme="majorHAnsi" w:cs="Arial"/>
          <w:b/>
          <w:szCs w:val="24"/>
          <w:u w:val="single"/>
        </w:rPr>
        <w:t>Appendix B: Late Predictors</w:t>
      </w:r>
    </w:p>
    <w:p w14:paraId="748EDEE8" w14:textId="77777777" w:rsidR="00E72B8D" w:rsidRPr="00A70F6E" w:rsidRDefault="00E72B8D" w:rsidP="00E72B8D">
      <w:pPr>
        <w:jc w:val="right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B8D" w:rsidRPr="00A70F6E" w14:paraId="2F87ACB1" w14:textId="77777777" w:rsidTr="00473E6F">
        <w:tc>
          <w:tcPr>
            <w:tcW w:w="9468" w:type="dxa"/>
            <w:shd w:val="clear" w:color="auto" w:fill="95B3D7" w:themeFill="accent1" w:themeFillTint="99"/>
            <w:vAlign w:val="center"/>
          </w:tcPr>
          <w:p w14:paraId="280A55BB" w14:textId="77777777" w:rsidR="00E72B8D" w:rsidRPr="00A70F6E" w:rsidRDefault="00E72B8D" w:rsidP="00473E6F">
            <w:pPr>
              <w:rPr>
                <w:rFonts w:asciiTheme="majorHAnsi" w:hAnsiTheme="majorHAnsi" w:cs="Arial"/>
                <w:b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>Late Predictors (Most Informative in Models)</w:t>
            </w:r>
          </w:p>
        </w:tc>
      </w:tr>
      <w:tr w:rsidR="00E72B8D" w:rsidRPr="00A70F6E" w14:paraId="20C03BA4" w14:textId="77777777" w:rsidTr="00473E6F">
        <w:tc>
          <w:tcPr>
            <w:tcW w:w="9468" w:type="dxa"/>
            <w:shd w:val="clear" w:color="auto" w:fill="DBE5F1" w:themeFill="accent1" w:themeFillTint="33"/>
            <w:vAlign w:val="center"/>
          </w:tcPr>
          <w:p w14:paraId="02F8E044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 xml:space="preserve">Issues – </w:t>
            </w:r>
            <w:r w:rsidRPr="00A70F6E">
              <w:rPr>
                <w:rFonts w:asciiTheme="majorHAnsi" w:hAnsiTheme="majorHAnsi" w:cs="Arial"/>
                <w:szCs w:val="24"/>
              </w:rPr>
              <w:t>does this study have questions or problems that need to be addressed prior to IRB approval</w:t>
            </w:r>
          </w:p>
        </w:tc>
      </w:tr>
      <w:tr w:rsidR="00E72B8D" w:rsidRPr="00A70F6E" w14:paraId="2816FA76" w14:textId="77777777" w:rsidTr="00473E6F">
        <w:tc>
          <w:tcPr>
            <w:tcW w:w="9468" w:type="dxa"/>
            <w:vAlign w:val="center"/>
          </w:tcPr>
          <w:p w14:paraId="09BCB922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 xml:space="preserve">Number of Days in Triage – </w:t>
            </w:r>
            <w:r w:rsidRPr="00A70F6E">
              <w:rPr>
                <w:rFonts w:asciiTheme="majorHAnsi" w:hAnsiTheme="majorHAnsi" w:cs="Arial"/>
                <w:szCs w:val="24"/>
              </w:rPr>
              <w:t>number of days protocol is in triage stage of review</w:t>
            </w:r>
          </w:p>
        </w:tc>
      </w:tr>
      <w:tr w:rsidR="00E72B8D" w:rsidRPr="00A70F6E" w14:paraId="704B8E9E" w14:textId="77777777" w:rsidTr="00473E6F">
        <w:tc>
          <w:tcPr>
            <w:tcW w:w="9468" w:type="dxa"/>
            <w:shd w:val="clear" w:color="auto" w:fill="DBE5F1" w:themeFill="accent1" w:themeFillTint="33"/>
            <w:vAlign w:val="center"/>
          </w:tcPr>
          <w:p w14:paraId="149341AF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 xml:space="preserve">IRB Court Administrative Time 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–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subprocess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time in which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IRBCourt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reviews study</w:t>
            </w:r>
          </w:p>
        </w:tc>
      </w:tr>
      <w:tr w:rsidR="00E72B8D" w:rsidRPr="00A70F6E" w14:paraId="4D89C57C" w14:textId="77777777" w:rsidTr="00473E6F">
        <w:tc>
          <w:tcPr>
            <w:tcW w:w="9468" w:type="dxa"/>
            <w:vAlign w:val="center"/>
          </w:tcPr>
          <w:p w14:paraId="1DAB3E82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 xml:space="preserve">Study Team Court </w:t>
            </w:r>
            <w:proofErr w:type="spellStart"/>
            <w:r w:rsidRPr="00A70F6E">
              <w:rPr>
                <w:rFonts w:asciiTheme="majorHAnsi" w:hAnsiTheme="majorHAnsi" w:cs="Arial"/>
                <w:b/>
                <w:szCs w:val="24"/>
              </w:rPr>
              <w:t>Admininistrative</w:t>
            </w:r>
            <w:proofErr w:type="spellEnd"/>
            <w:r w:rsidRPr="00A70F6E">
              <w:rPr>
                <w:rFonts w:asciiTheme="majorHAnsi" w:hAnsiTheme="majorHAnsi" w:cs="Arial"/>
                <w:b/>
                <w:szCs w:val="24"/>
              </w:rPr>
              <w:t xml:space="preserve"> Time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–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subprocess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time in which the study team (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Stm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>) confirms administration issues are completed</w:t>
            </w:r>
          </w:p>
        </w:tc>
      </w:tr>
      <w:tr w:rsidR="00E72B8D" w:rsidRPr="00A70F6E" w14:paraId="3544F9B6" w14:textId="77777777" w:rsidTr="00473E6F">
        <w:tc>
          <w:tcPr>
            <w:tcW w:w="9468" w:type="dxa"/>
            <w:shd w:val="clear" w:color="auto" w:fill="DBE5F1" w:themeFill="accent1" w:themeFillTint="33"/>
            <w:vAlign w:val="center"/>
          </w:tcPr>
          <w:p w14:paraId="396A1218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>Number of Administrative Trips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– number of times protocol goes to Administration from principal investigator (PI)</w:t>
            </w:r>
          </w:p>
        </w:tc>
      </w:tr>
      <w:tr w:rsidR="00E72B8D" w:rsidRPr="00A70F6E" w14:paraId="72B1B44E" w14:textId="77777777" w:rsidTr="00473E6F">
        <w:tc>
          <w:tcPr>
            <w:tcW w:w="9468" w:type="dxa"/>
            <w:vAlign w:val="center"/>
          </w:tcPr>
          <w:p w14:paraId="322C9089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>Pre-review Ancillary Time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– time spent in ancillary IRB for pre-review</w:t>
            </w:r>
          </w:p>
        </w:tc>
      </w:tr>
      <w:tr w:rsidR="00E72B8D" w:rsidRPr="00A70F6E" w14:paraId="24C41093" w14:textId="77777777" w:rsidTr="00473E6F">
        <w:tc>
          <w:tcPr>
            <w:tcW w:w="9468" w:type="dxa"/>
            <w:shd w:val="clear" w:color="auto" w:fill="DBE5F1" w:themeFill="accent1" w:themeFillTint="33"/>
            <w:vAlign w:val="center"/>
          </w:tcPr>
          <w:p w14:paraId="265EFAB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 xml:space="preserve">IRB Court Pre-review 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– IRB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prereview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time in which any remaining issues or questions are clarified with the principal investigator (PI) prior to </w:t>
            </w:r>
            <w:r>
              <w:rPr>
                <w:rFonts w:asciiTheme="majorHAnsi" w:hAnsiTheme="majorHAnsi" w:cs="Arial"/>
                <w:szCs w:val="24"/>
              </w:rPr>
              <w:t>convened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IRB review</w:t>
            </w:r>
          </w:p>
        </w:tc>
      </w:tr>
      <w:tr w:rsidR="00E72B8D" w:rsidRPr="00A70F6E" w14:paraId="2E873020" w14:textId="77777777" w:rsidTr="00473E6F">
        <w:tc>
          <w:tcPr>
            <w:tcW w:w="9468" w:type="dxa"/>
            <w:vAlign w:val="center"/>
          </w:tcPr>
          <w:p w14:paraId="10BC9AB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>Non-Study Team Pre-review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– non-study team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prereview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time is composite time of IRB court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prereview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+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prereview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ancillary time + time for scientific review after review begins</w:t>
            </w:r>
          </w:p>
        </w:tc>
      </w:tr>
      <w:tr w:rsidR="00E72B8D" w:rsidRPr="00A70F6E" w14:paraId="31B4D4C8" w14:textId="77777777" w:rsidTr="00473E6F">
        <w:tc>
          <w:tcPr>
            <w:tcW w:w="9468" w:type="dxa"/>
            <w:shd w:val="clear" w:color="auto" w:fill="DBE5F1" w:themeFill="accent1" w:themeFillTint="33"/>
            <w:vAlign w:val="center"/>
          </w:tcPr>
          <w:p w14:paraId="134DFB78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t>Study Team Court Pre-review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– study team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prereview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time</w:t>
            </w:r>
          </w:p>
        </w:tc>
      </w:tr>
      <w:tr w:rsidR="00E72B8D" w:rsidRPr="00A70F6E" w14:paraId="041CE892" w14:textId="77777777" w:rsidTr="00473E6F">
        <w:tc>
          <w:tcPr>
            <w:tcW w:w="9468" w:type="dxa"/>
            <w:vAlign w:val="center"/>
          </w:tcPr>
          <w:p w14:paraId="0153BA40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b/>
                <w:szCs w:val="24"/>
              </w:rPr>
              <w:lastRenderedPageBreak/>
              <w:t xml:space="preserve">Number of Pre-review trips 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– number of trips to </w:t>
            </w:r>
            <w:proofErr w:type="spellStart"/>
            <w:r w:rsidRPr="00A70F6E">
              <w:rPr>
                <w:rFonts w:asciiTheme="majorHAnsi" w:hAnsiTheme="majorHAnsi" w:cs="Arial"/>
                <w:szCs w:val="24"/>
              </w:rPr>
              <w:t>prereview</w:t>
            </w:r>
            <w:proofErr w:type="spellEnd"/>
            <w:r w:rsidRPr="00A70F6E">
              <w:rPr>
                <w:rFonts w:asciiTheme="majorHAnsi" w:hAnsiTheme="majorHAnsi" w:cs="Arial"/>
                <w:szCs w:val="24"/>
              </w:rPr>
              <w:t xml:space="preserve"> team from PI </w:t>
            </w:r>
          </w:p>
        </w:tc>
      </w:tr>
    </w:tbl>
    <w:p w14:paraId="6412C8CF" w14:textId="77777777" w:rsidR="00E72B8D" w:rsidRDefault="00E72B8D" w:rsidP="00E72B8D">
      <w:pPr>
        <w:ind w:left="3240"/>
        <w:rPr>
          <w:rFonts w:asciiTheme="majorHAnsi" w:hAnsiTheme="majorHAnsi" w:cs="Times New Roman"/>
          <w:szCs w:val="24"/>
        </w:rPr>
      </w:pPr>
    </w:p>
    <w:p w14:paraId="3FAE9323" w14:textId="77777777" w:rsidR="00E72B8D" w:rsidRDefault="00E72B8D" w:rsidP="00E72B8D">
      <w:pPr>
        <w:ind w:left="3240"/>
        <w:rPr>
          <w:rFonts w:asciiTheme="majorHAnsi" w:hAnsiTheme="majorHAnsi" w:cs="Times New Roman"/>
          <w:szCs w:val="24"/>
        </w:rPr>
      </w:pPr>
    </w:p>
    <w:p w14:paraId="274F6974" w14:textId="77777777" w:rsidR="00E72B8D" w:rsidRDefault="00E72B8D" w:rsidP="00E72B8D">
      <w:pPr>
        <w:rPr>
          <w:rFonts w:asciiTheme="majorHAnsi" w:hAnsiTheme="majorHAnsi" w:cs="Arial"/>
          <w:b/>
          <w:szCs w:val="24"/>
        </w:rPr>
      </w:pPr>
    </w:p>
    <w:p w14:paraId="2C8D4269" w14:textId="77777777" w:rsidR="00E72B8D" w:rsidRPr="00A70F6E" w:rsidRDefault="00E72B8D" w:rsidP="00E72B8D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Appendix C</w:t>
      </w:r>
      <w:r w:rsidRPr="00A70F6E">
        <w:rPr>
          <w:rFonts w:asciiTheme="majorHAnsi" w:hAnsiTheme="majorHAnsi" w:cs="Arial"/>
          <w:b/>
          <w:szCs w:val="24"/>
        </w:rPr>
        <w:t xml:space="preserve">. Significant ANOVA Evaluations In Pooled Analysis </w:t>
      </w:r>
    </w:p>
    <w:p w14:paraId="4239839F" w14:textId="77777777" w:rsidR="00E72B8D" w:rsidRDefault="00E72B8D" w:rsidP="00E72B8D">
      <w:pPr>
        <w:ind w:left="3240"/>
        <w:rPr>
          <w:rFonts w:asciiTheme="majorHAnsi" w:hAnsiTheme="majorHAnsi" w:cs="Times New Roman"/>
          <w:szCs w:val="24"/>
        </w:rPr>
      </w:pPr>
    </w:p>
    <w:tbl>
      <w:tblPr>
        <w:tblStyle w:val="LightList"/>
        <w:tblpPr w:leftFromText="180" w:rightFromText="180" w:vertAnchor="text" w:horzAnchor="page" w:tblpX="1556" w:tblpY="110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72B8D" w:rsidRPr="00A70F6E" w14:paraId="19F565C7" w14:textId="77777777" w:rsidTr="0047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37B3D8F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color w:val="auto"/>
                <w:szCs w:val="24"/>
              </w:rPr>
            </w:pPr>
            <w:bookmarkStart w:id="0" w:name="_GoBack"/>
            <w:r w:rsidRPr="00A70F6E">
              <w:rPr>
                <w:rFonts w:asciiTheme="majorHAnsi" w:hAnsiTheme="majorHAnsi" w:cs="Arial"/>
                <w:color w:val="auto"/>
                <w:szCs w:val="24"/>
              </w:rPr>
              <w:t>ANOVA Evaluation Variables with Significant Differences</w:t>
            </w:r>
          </w:p>
        </w:tc>
      </w:tr>
      <w:tr w:rsidR="00E72B8D" w:rsidRPr="00A70F6E" w14:paraId="32166F8D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4E3A10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b w:val="0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Principal Investigator - Requested Application Type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–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type of IRB application (e.g., initial review, exempt) [NOTE: The UW electronic IRB system allows study teams to select different types of IRB applications that request varying information depending on the type of research study]</w:t>
            </w:r>
          </w:p>
        </w:tc>
      </w:tr>
      <w:tr w:rsidR="00E72B8D" w:rsidRPr="00A70F6E" w14:paraId="3200BE1D" w14:textId="77777777" w:rsidTr="00473E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left w:val="single" w:sz="18" w:space="0" w:color="auto"/>
              <w:right w:val="single" w:sz="18" w:space="0" w:color="auto"/>
            </w:tcBorders>
          </w:tcPr>
          <w:p w14:paraId="21C231E4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>Conducting Organization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– identifies whether the UW or an affiliated organization (Madison VA or UW Health) is conducting the study</w:t>
            </w:r>
          </w:p>
        </w:tc>
      </w:tr>
      <w:tr w:rsidR="00E72B8D" w:rsidRPr="00A70F6E" w14:paraId="0B0F75AD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A208C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IRB-Determined Review Type</w:t>
            </w:r>
            <w:r w:rsidRPr="00A70F6E">
              <w:rPr>
                <w:rFonts w:asciiTheme="majorHAnsi" w:hAnsiTheme="majorHAnsi" w:cs="Arial"/>
                <w:szCs w:val="24"/>
              </w:rPr>
              <w:t xml:space="preserve">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– the type of review that will be conducted (e.g., initial </w:t>
            </w:r>
            <w:r>
              <w:rPr>
                <w:rFonts w:asciiTheme="majorHAnsi" w:hAnsiTheme="majorHAnsi" w:cs="Arial"/>
                <w:b w:val="0"/>
                <w:szCs w:val="24"/>
              </w:rPr>
              <w:t>convened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 xml:space="preserve"> review, initial expedited review, change protocol expedited review)</w:t>
            </w:r>
          </w:p>
        </w:tc>
      </w:tr>
      <w:tr w:rsidR="00E72B8D" w:rsidRPr="00A70F6E" w14:paraId="183FB500" w14:textId="77777777" w:rsidTr="00473E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left w:val="single" w:sz="18" w:space="0" w:color="auto"/>
              <w:right w:val="single" w:sz="18" w:space="0" w:color="auto"/>
            </w:tcBorders>
          </w:tcPr>
          <w:p w14:paraId="6B222704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IRB Staff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the IRB staff member in charge of this protocol’s review</w:t>
            </w:r>
          </w:p>
        </w:tc>
      </w:tr>
      <w:tr w:rsidR="00E72B8D" w:rsidRPr="00A70F6E" w14:paraId="6DF7495F" w14:textId="77777777" w:rsidTr="0047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F6DE1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Month Received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the month the IRB received the protocol to begin review (NOTE: only 2011-2012 data showed significance with ANOVA testing)</w:t>
            </w:r>
          </w:p>
        </w:tc>
      </w:tr>
      <w:tr w:rsidR="00E72B8D" w:rsidRPr="00A70F6E" w14:paraId="5ACC4037" w14:textId="77777777" w:rsidTr="00473E6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6AC49" w14:textId="77777777" w:rsidR="00E72B8D" w:rsidRPr="00A70F6E" w:rsidRDefault="00E72B8D" w:rsidP="00473E6F">
            <w:pPr>
              <w:spacing w:line="360" w:lineRule="auto"/>
              <w:rPr>
                <w:rFonts w:asciiTheme="majorHAnsi" w:hAnsiTheme="majorHAnsi" w:cs="Arial"/>
                <w:szCs w:val="24"/>
              </w:rPr>
            </w:pPr>
            <w:r w:rsidRPr="00A70F6E">
              <w:rPr>
                <w:rFonts w:asciiTheme="majorHAnsi" w:hAnsiTheme="majorHAnsi" w:cs="Arial"/>
                <w:szCs w:val="24"/>
              </w:rPr>
              <w:t xml:space="preserve">Review Type </w:t>
            </w:r>
            <w:r w:rsidRPr="00A70F6E">
              <w:rPr>
                <w:rFonts w:asciiTheme="majorHAnsi" w:hAnsiTheme="majorHAnsi" w:cs="Arial"/>
                <w:b w:val="0"/>
                <w:szCs w:val="24"/>
              </w:rPr>
              <w:t>– the review type that is conducted (e.g., exempt, expedited, or convened)</w:t>
            </w:r>
          </w:p>
        </w:tc>
      </w:tr>
      <w:bookmarkEnd w:id="0"/>
    </w:tbl>
    <w:p w14:paraId="01211955" w14:textId="77777777" w:rsidR="006911D7" w:rsidRDefault="006911D7" w:rsidP="006911D7"/>
    <w:p w14:paraId="6DD586C7" w14:textId="77777777" w:rsidR="006911D7" w:rsidRDefault="006911D7" w:rsidP="006911D7">
      <w:pPr>
        <w:rPr>
          <w:rFonts w:asciiTheme="majorHAnsi" w:hAnsiTheme="majorHAnsi" w:cs="Arial"/>
          <w:b/>
          <w:szCs w:val="24"/>
        </w:rPr>
      </w:pPr>
    </w:p>
    <w:p w14:paraId="33A06347" w14:textId="77777777" w:rsidR="006911D7" w:rsidRDefault="006911D7" w:rsidP="006911D7">
      <w:pPr>
        <w:rPr>
          <w:rFonts w:asciiTheme="majorHAnsi" w:hAnsiTheme="majorHAnsi" w:cs="Arial"/>
          <w:b/>
          <w:szCs w:val="24"/>
        </w:rPr>
      </w:pPr>
    </w:p>
    <w:p w14:paraId="1505231F" w14:textId="5FF3B0A0" w:rsidR="006911D7" w:rsidRPr="00A70F6E" w:rsidRDefault="006911D7" w:rsidP="006911D7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Appendix D</w:t>
      </w:r>
      <w:r w:rsidRPr="00A70F6E">
        <w:rPr>
          <w:rFonts w:asciiTheme="majorHAnsi" w:hAnsiTheme="majorHAnsi" w:cs="Arial"/>
          <w:b/>
          <w:szCs w:val="24"/>
        </w:rPr>
        <w:t xml:space="preserve">. </w:t>
      </w:r>
      <w:r>
        <w:rPr>
          <w:rFonts w:asciiTheme="majorHAnsi" w:hAnsiTheme="majorHAnsi" w:cs="Arial"/>
          <w:b/>
          <w:szCs w:val="24"/>
        </w:rPr>
        <w:t>Glossary of Machine Learning Terms</w:t>
      </w:r>
      <w:r w:rsidRPr="00A70F6E">
        <w:rPr>
          <w:rFonts w:asciiTheme="majorHAnsi" w:hAnsiTheme="majorHAnsi" w:cs="Arial"/>
          <w:b/>
          <w:szCs w:val="24"/>
        </w:rPr>
        <w:t xml:space="preserve"> </w:t>
      </w:r>
    </w:p>
    <w:p w14:paraId="006C6CA9" w14:textId="77777777" w:rsidR="006911D7" w:rsidRDefault="006911D7"/>
    <w:tbl>
      <w:tblPr>
        <w:tblStyle w:val="MediumShading11"/>
        <w:tblW w:w="0" w:type="auto"/>
        <w:shd w:val="clear" w:color="auto" w:fill="B8CCE4" w:themeFill="accent1" w:themeFillTint="66"/>
        <w:tblLook w:val="0420" w:firstRow="1" w:lastRow="0" w:firstColumn="0" w:lastColumn="0" w:noHBand="0" w:noVBand="1"/>
      </w:tblPr>
      <w:tblGrid>
        <w:gridCol w:w="8856"/>
      </w:tblGrid>
      <w:tr w:rsidR="006911D7" w:rsidRPr="00615A50" w14:paraId="4029A64B" w14:textId="77777777" w:rsidTr="0067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shd w:val="clear" w:color="auto" w:fill="B8CCE4" w:themeFill="accent1" w:themeFillTint="66"/>
          </w:tcPr>
          <w:p w14:paraId="12FE4855" w14:textId="12D18D03" w:rsidR="006911D7" w:rsidRPr="00615A50" w:rsidRDefault="006911D7" w:rsidP="00670137">
            <w:pPr>
              <w:spacing w:line="276" w:lineRule="auto"/>
              <w:contextualSpacing w:val="0"/>
              <w:rPr>
                <w:rFonts w:ascii="Cambria" w:hAnsi="Cambria" w:cs="Arial"/>
                <w:color w:val="auto"/>
              </w:rPr>
            </w:pPr>
            <w:r w:rsidRPr="00615A50">
              <w:rPr>
                <w:rFonts w:ascii="Cambria" w:hAnsi="Cambria" w:cs="Arial"/>
                <w:color w:val="auto"/>
              </w:rPr>
              <w:t>Glossary of Machine Learning Terms</w:t>
            </w:r>
          </w:p>
        </w:tc>
      </w:tr>
      <w:tr w:rsidR="006911D7" w:rsidRPr="00615A50" w14:paraId="7E064AFC" w14:textId="77777777" w:rsidTr="0067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shd w:val="clear" w:color="auto" w:fill="auto"/>
          </w:tcPr>
          <w:p w14:paraId="18DD54AE" w14:textId="77777777" w:rsidR="006911D7" w:rsidRPr="00615A50" w:rsidRDefault="006911D7" w:rsidP="00670137">
            <w:pPr>
              <w:rPr>
                <w:rFonts w:ascii="Cambria" w:hAnsi="Cambria" w:cs="Arial"/>
              </w:rPr>
            </w:pPr>
            <w:r w:rsidRPr="00615A50">
              <w:rPr>
                <w:rFonts w:ascii="Cambria" w:hAnsi="Cambria" w:cs="Arial"/>
                <w:b/>
              </w:rPr>
              <w:t>Algorithm</w:t>
            </w:r>
            <w:r w:rsidRPr="00615A50">
              <w:rPr>
                <w:rFonts w:ascii="Cambria" w:hAnsi="Cambria" w:cs="Arial"/>
              </w:rPr>
              <w:t xml:space="preserve"> – a set of instructions to solve a problem or carry out a procedure</w:t>
            </w:r>
          </w:p>
        </w:tc>
      </w:tr>
      <w:tr w:rsidR="006911D7" w:rsidRPr="00615A50" w14:paraId="5052C8C6" w14:textId="77777777" w:rsidTr="00670137">
        <w:tc>
          <w:tcPr>
            <w:tcW w:w="9576" w:type="dxa"/>
            <w:shd w:val="clear" w:color="auto" w:fill="auto"/>
          </w:tcPr>
          <w:p w14:paraId="52779317" w14:textId="77777777" w:rsidR="006911D7" w:rsidRPr="00615A50" w:rsidRDefault="006911D7" w:rsidP="00670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</w:rPr>
            </w:pPr>
            <w:r w:rsidRPr="00615A50">
              <w:rPr>
                <w:rFonts w:ascii="Cambria" w:hAnsi="Cambria" w:cs="Arial"/>
                <w:b/>
              </w:rPr>
              <w:t>Class Variable</w:t>
            </w:r>
            <w:r w:rsidRPr="00615A50">
              <w:rPr>
                <w:rFonts w:ascii="Cambria" w:hAnsi="Cambria" w:cs="Arial"/>
              </w:rPr>
              <w:t xml:space="preserve"> – the target feature to be predicted in machine learning algorithms</w:t>
            </w:r>
          </w:p>
        </w:tc>
      </w:tr>
      <w:tr w:rsidR="006911D7" w:rsidRPr="00615A50" w14:paraId="309449A5" w14:textId="77777777" w:rsidTr="0067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shd w:val="clear" w:color="auto" w:fill="auto"/>
          </w:tcPr>
          <w:p w14:paraId="12ED3198" w14:textId="77777777" w:rsidR="006911D7" w:rsidRPr="00615A50" w:rsidRDefault="006911D7" w:rsidP="00670137">
            <w:pPr>
              <w:rPr>
                <w:rFonts w:ascii="Cambria" w:hAnsi="Cambria" w:cs="Arial"/>
              </w:rPr>
            </w:pPr>
            <w:r w:rsidRPr="00615A50">
              <w:rPr>
                <w:rFonts w:ascii="Cambria" w:hAnsi="Cambria" w:cs="Arial"/>
                <w:b/>
              </w:rPr>
              <w:t>Feature</w:t>
            </w:r>
            <w:r w:rsidRPr="00615A50">
              <w:rPr>
                <w:rFonts w:ascii="Cambria" w:hAnsi="Cambria" w:cs="Arial"/>
              </w:rPr>
              <w:t xml:space="preserve"> – a characteristic of an object</w:t>
            </w:r>
          </w:p>
        </w:tc>
      </w:tr>
      <w:tr w:rsidR="006911D7" w:rsidRPr="00615A50" w14:paraId="1E2402CB" w14:textId="77777777" w:rsidTr="00670137">
        <w:tc>
          <w:tcPr>
            <w:tcW w:w="9576" w:type="dxa"/>
            <w:shd w:val="clear" w:color="auto" w:fill="auto"/>
          </w:tcPr>
          <w:p w14:paraId="43DA05F9" w14:textId="77777777" w:rsidR="006911D7" w:rsidRPr="00615A50" w:rsidRDefault="006911D7" w:rsidP="00670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</w:rPr>
            </w:pPr>
            <w:r w:rsidRPr="00615A50">
              <w:rPr>
                <w:rFonts w:ascii="Cambria" w:hAnsi="Cambria" w:cs="Arial"/>
                <w:b/>
              </w:rPr>
              <w:t>Discretize</w:t>
            </w:r>
            <w:r w:rsidRPr="00615A50">
              <w:rPr>
                <w:rFonts w:ascii="Cambria" w:hAnsi="Cambria" w:cs="Arial"/>
              </w:rPr>
              <w:t xml:space="preserve"> – to divide a continuous variable into discrete intervals</w:t>
            </w:r>
          </w:p>
        </w:tc>
      </w:tr>
      <w:tr w:rsidR="006911D7" w:rsidRPr="00615A50" w14:paraId="1DD1549D" w14:textId="77777777" w:rsidTr="0067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shd w:val="clear" w:color="auto" w:fill="auto"/>
          </w:tcPr>
          <w:p w14:paraId="668BD759" w14:textId="77777777" w:rsidR="006911D7" w:rsidRPr="00615A50" w:rsidRDefault="006911D7" w:rsidP="00670137">
            <w:pPr>
              <w:rPr>
                <w:rFonts w:ascii="Cambria" w:hAnsi="Cambria" w:cs="Arial"/>
              </w:rPr>
            </w:pPr>
            <w:r w:rsidRPr="00615A50">
              <w:rPr>
                <w:rFonts w:ascii="Cambria" w:hAnsi="Cambria" w:cs="Arial"/>
                <w:b/>
              </w:rPr>
              <w:t>Information gain</w:t>
            </w:r>
            <w:r w:rsidRPr="00615A50">
              <w:rPr>
                <w:rFonts w:ascii="Cambria" w:hAnsi="Cambria" w:cs="Arial"/>
              </w:rPr>
              <w:t xml:space="preserve"> - a measure of the value of a proposed data split (on a feature value) based on how much more consistent class labels for objects in the subset are after the proposed data split is performed.</w:t>
            </w:r>
          </w:p>
        </w:tc>
      </w:tr>
      <w:tr w:rsidR="006911D7" w:rsidRPr="00615A50" w14:paraId="7C242CA4" w14:textId="77777777" w:rsidTr="00670137">
        <w:tc>
          <w:tcPr>
            <w:tcW w:w="9576" w:type="dxa"/>
            <w:shd w:val="clear" w:color="auto" w:fill="auto"/>
          </w:tcPr>
          <w:p w14:paraId="02A7D85D" w14:textId="77777777" w:rsidR="006911D7" w:rsidRPr="00615A50" w:rsidRDefault="006911D7" w:rsidP="00670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</w:rPr>
            </w:pPr>
            <w:r w:rsidRPr="00615A50">
              <w:rPr>
                <w:rFonts w:ascii="Cambria" w:hAnsi="Cambria" w:cs="Arial"/>
                <w:b/>
              </w:rPr>
              <w:t>Machine Learning</w:t>
            </w:r>
            <w:r w:rsidRPr="00615A50">
              <w:rPr>
                <w:rFonts w:ascii="Cambria" w:hAnsi="Cambria" w:cs="Arial"/>
              </w:rPr>
              <w:t xml:space="preserve"> – a branch of computer science that studies and develops methods for computers to learn (rules) from raw data</w:t>
            </w:r>
          </w:p>
        </w:tc>
      </w:tr>
    </w:tbl>
    <w:p w14:paraId="5A914B30" w14:textId="77777777" w:rsidR="006911D7" w:rsidRDefault="006911D7"/>
    <w:sectPr w:rsidR="006911D7" w:rsidSect="00147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4"/>
    <w:rsid w:val="0014706B"/>
    <w:rsid w:val="00446F01"/>
    <w:rsid w:val="005402F4"/>
    <w:rsid w:val="005C31F6"/>
    <w:rsid w:val="00615A50"/>
    <w:rsid w:val="006911D7"/>
    <w:rsid w:val="007F64A9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4CAC4"/>
  <w14:defaultImageDpi w14:val="300"/>
  <w15:docId w15:val="{2D8D4C99-4A51-4701-A748-4B0847B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8D"/>
    <w:pPr>
      <w:spacing w:after="200"/>
      <w:contextualSpacing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72B8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72B8D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72B8D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6911D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Mendonca</dc:creator>
  <cp:keywords/>
  <dc:description/>
  <cp:lastModifiedBy>emendonca</cp:lastModifiedBy>
  <cp:revision>6</cp:revision>
  <dcterms:created xsi:type="dcterms:W3CDTF">2016-08-10T04:06:00Z</dcterms:created>
  <dcterms:modified xsi:type="dcterms:W3CDTF">2016-08-10T19:54:00Z</dcterms:modified>
</cp:coreProperties>
</file>