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DC21" w14:textId="2AF90B6D" w:rsidR="00B84769" w:rsidRDefault="00B84769" w:rsidP="00B84769">
      <w:pPr>
        <w:pStyle w:val="H1"/>
        <w:spacing w:before="0" w:after="0"/>
        <w:rPr>
          <w:rFonts w:ascii="Minion-Pro" w:hAnsi="Minion-Pro"/>
        </w:rPr>
      </w:pPr>
      <w:r>
        <w:rPr>
          <w:rFonts w:ascii="Minion-Pro" w:hAnsi="Minion-Pro"/>
        </w:rPr>
        <w:t>supporting information</w:t>
      </w:r>
      <w:r w:rsidRPr="00FA79B6">
        <w:rPr>
          <w:rFonts w:ascii="Minion-Pro" w:hAnsi="Minion-Pro"/>
        </w:rPr>
        <w:t>:</w:t>
      </w:r>
    </w:p>
    <w:p w14:paraId="05921D0F" w14:textId="77777777" w:rsidR="00B84769" w:rsidRPr="00FA79B6" w:rsidRDefault="00B84769" w:rsidP="00B84769">
      <w:pPr>
        <w:pStyle w:val="ArticleTitle"/>
        <w:rPr>
          <w:szCs w:val="20"/>
        </w:rPr>
      </w:pPr>
      <w:r>
        <w:t>Electrospun Fibre Composite for Controlled Drug Release</w:t>
      </w:r>
    </w:p>
    <w:p w14:paraId="517183B7" w14:textId="77777777" w:rsidR="00B84769" w:rsidRPr="00FA79B6" w:rsidRDefault="00B84769" w:rsidP="00B84769">
      <w:pPr>
        <w:pStyle w:val="Author"/>
      </w:pPr>
      <w:proofErr w:type="spellStart"/>
      <w:r w:rsidRPr="00FA79B6">
        <w:t>Shad</w:t>
      </w:r>
      <w:r>
        <w:t>i</w:t>
      </w:r>
      <w:proofErr w:type="spellEnd"/>
      <w:r>
        <w:t xml:space="preserve"> </w:t>
      </w:r>
      <w:r w:rsidRPr="00FA79B6">
        <w:t>Houshyar</w:t>
      </w:r>
      <w:r w:rsidRPr="00FA79B6">
        <w:rPr>
          <w:vertAlign w:val="superscript"/>
        </w:rPr>
        <w:t>1</w:t>
      </w:r>
      <w:r>
        <w:t>*, Ryan G</w:t>
      </w:r>
      <w:r w:rsidRPr="00FA79B6">
        <w:t>o</w:t>
      </w:r>
      <w:r w:rsidRPr="00FA79B6">
        <w:rPr>
          <w:vertAlign w:val="superscript"/>
        </w:rPr>
        <w:t>1</w:t>
      </w:r>
      <w:r w:rsidRPr="00FA79B6">
        <w:t>, Kate Fox</w:t>
      </w:r>
      <w:r w:rsidRPr="00FA79B6">
        <w:rPr>
          <w:vertAlign w:val="superscript"/>
        </w:rPr>
        <w:t>1,2</w:t>
      </w:r>
      <w:r w:rsidRPr="00FA79B6">
        <w:t>, Yen Bach Truong</w:t>
      </w:r>
      <w:r w:rsidRPr="00FA79B6">
        <w:rPr>
          <w:vertAlign w:val="superscript"/>
        </w:rPr>
        <w:t>3</w:t>
      </w:r>
      <w:r w:rsidRPr="00FA79B6">
        <w:t xml:space="preserve">* </w:t>
      </w:r>
    </w:p>
    <w:p w14:paraId="0AD6F753" w14:textId="77777777" w:rsidR="00B84769" w:rsidRPr="00FA79B6" w:rsidRDefault="00B84769" w:rsidP="00B84769">
      <w:pPr>
        <w:pStyle w:val="Affiliation"/>
      </w:pPr>
      <w:r w:rsidRPr="00FA79B6">
        <w:rPr>
          <w:vertAlign w:val="superscript"/>
        </w:rPr>
        <w:t>1</w:t>
      </w:r>
      <w:r w:rsidRPr="00FA79B6">
        <w:t xml:space="preserve"> School of Engineering, RMIT University, Melbourne, Vic 3000, Australia</w:t>
      </w:r>
    </w:p>
    <w:p w14:paraId="6E54FD7D" w14:textId="77777777" w:rsidR="00B84769" w:rsidRDefault="00B84769" w:rsidP="00B84769">
      <w:pPr>
        <w:pStyle w:val="Affiliation"/>
      </w:pPr>
      <w:r w:rsidRPr="00FA79B6">
        <w:rPr>
          <w:vertAlign w:val="superscript"/>
        </w:rPr>
        <w:t>2</w:t>
      </w:r>
      <w:r w:rsidRPr="00FA79B6">
        <w:t xml:space="preserve"> </w:t>
      </w:r>
      <w:proofErr w:type="spellStart"/>
      <w:r w:rsidRPr="00FA79B6">
        <w:t>Center</w:t>
      </w:r>
      <w:proofErr w:type="spellEnd"/>
      <w:r w:rsidRPr="00FA79B6">
        <w:t xml:space="preserve"> for Additive Manufacturing, RMIT University, Melbourne, Vic 3000, Australia</w:t>
      </w:r>
    </w:p>
    <w:p w14:paraId="2D8D6451" w14:textId="18AADFB6" w:rsidR="00B84769" w:rsidRPr="00D82409" w:rsidRDefault="00B84769" w:rsidP="00B84769">
      <w:pPr>
        <w:pStyle w:val="Affiliation"/>
      </w:pPr>
      <w:r w:rsidRPr="00FA79B6">
        <w:rPr>
          <w:vertAlign w:val="superscript"/>
        </w:rPr>
        <w:t>3</w:t>
      </w:r>
      <w:r w:rsidRPr="00FA79B6">
        <w:t xml:space="preserve"> Manufacturing and Health division, Commonwealth Scientific Institute and Research Organization</w:t>
      </w:r>
      <w:r w:rsidRPr="00FA79B6">
        <w:br/>
        <w:t xml:space="preserve">E-mail: Yen.Truong@csiro.au and </w:t>
      </w:r>
      <w:r w:rsidRPr="00FA79B6">
        <w:rPr>
          <w:rStyle w:val="Hyperlink"/>
        </w:rPr>
        <w:t>Shadi.houshyar@rmit.edu.au</w:t>
      </w:r>
    </w:p>
    <w:p w14:paraId="26CC457A" w14:textId="77777777" w:rsidR="00B84769" w:rsidRPr="00FA79B6" w:rsidRDefault="00B84769" w:rsidP="00B84769">
      <w:pPr>
        <w:pStyle w:val="H1"/>
        <w:spacing w:before="0" w:after="0"/>
        <w:rPr>
          <w:rFonts w:ascii="Minion-Pro" w:hAnsi="Minion-Pro"/>
        </w:rPr>
      </w:pPr>
    </w:p>
    <w:p w14:paraId="68D40EA0" w14:textId="77777777" w:rsidR="00B84769" w:rsidRPr="00FA79B6" w:rsidRDefault="00B84769" w:rsidP="00B847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9B6">
        <w:rPr>
          <w:rFonts w:ascii="Times New Roman" w:hAnsi="Times New Roman" w:cs="Times New Roman"/>
          <w:sz w:val="24"/>
          <w:szCs w:val="24"/>
        </w:rPr>
        <w:t>Analysis of the PEI4, PEI5 and PEI6 under the optical microscope is conducted to investigate the quality and uniformity of the developed microfiber</w:t>
      </w:r>
      <w:r>
        <w:rPr>
          <w:rFonts w:ascii="Times New Roman" w:hAnsi="Times New Roman" w:cs="Times New Roman"/>
          <w:sz w:val="24"/>
          <w:szCs w:val="24"/>
        </w:rPr>
        <w:t xml:space="preserve"> (Fig. S1)</w:t>
      </w:r>
      <w:r w:rsidRPr="00FA79B6">
        <w:rPr>
          <w:rFonts w:ascii="Times New Roman" w:hAnsi="Times New Roman" w:cs="Times New Roman"/>
          <w:sz w:val="24"/>
          <w:szCs w:val="24"/>
        </w:rPr>
        <w:t xml:space="preserve">. </w:t>
      </w:r>
      <w:r w:rsidRPr="00FA79B6">
        <w:rPr>
          <w:rFonts w:ascii="Times New Roman" w:hAnsi="Times New Roman" w:cs="Times New Roman"/>
          <w:sz w:val="24"/>
          <w:szCs w:val="24"/>
          <w:lang w:val="en-US"/>
        </w:rPr>
        <w:t>Using UV spectrophotometry to analyze the drug release of the microfibers, a standard curve of the drug is created to use for comparison of drug concentration as well as show the relationship of absorption and concentration of a substance in solution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(Fig. S2)</w:t>
      </w:r>
      <w:r w:rsidRPr="00FA79B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79B6">
        <w:rPr>
          <w:rFonts w:ascii="Times New Roman" w:hAnsi="Times New Roman" w:cs="Times New Roman"/>
          <w:sz w:val="24"/>
          <w:szCs w:val="24"/>
          <w:lang w:val="en-US"/>
        </w:rPr>
        <w:t>Ibuprofen standard curve was developed by only measuring the absorption of 1ml buffer containing a certain amount of the ibuprofen in ethanol, 0.05, 0.05, 0.1, 0.25, 0.5 and 1wt%.</w:t>
      </w:r>
    </w:p>
    <w:p w14:paraId="2A420F6E" w14:textId="77777777" w:rsidR="00B84769" w:rsidRPr="00FA79B6" w:rsidRDefault="00B84769" w:rsidP="00B847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56B9BD" w14:textId="77777777" w:rsidR="00B84769" w:rsidRPr="00FA79B6" w:rsidRDefault="00B84769" w:rsidP="00B8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43"/>
        <w:gridCol w:w="2898"/>
        <w:gridCol w:w="3021"/>
      </w:tblGrid>
      <w:tr w:rsidR="00B84769" w:rsidRPr="00FA79B6" w14:paraId="08CF9FE6" w14:textId="77777777" w:rsidTr="00BD139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6C23" w14:textId="77777777" w:rsidR="00B84769" w:rsidRPr="00FA79B6" w:rsidRDefault="00B84769" w:rsidP="00BD139F">
            <w:pPr>
              <w:jc w:val="both"/>
              <w:rPr>
                <w:sz w:val="24"/>
                <w:szCs w:val="24"/>
              </w:rPr>
            </w:pPr>
            <w:r w:rsidRPr="00FA79B6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2F95D99" wp14:editId="13889705">
                  <wp:extent cx="1676400" cy="1257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AD0" w14:textId="77777777" w:rsidR="00B84769" w:rsidRPr="00FA79B6" w:rsidRDefault="00B84769" w:rsidP="00BD139F">
            <w:pPr>
              <w:jc w:val="both"/>
              <w:rPr>
                <w:sz w:val="24"/>
                <w:szCs w:val="24"/>
              </w:rPr>
            </w:pPr>
            <w:r w:rsidRPr="00FA79B6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A164586" wp14:editId="4376140D">
                  <wp:extent cx="1676400" cy="1257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56D8" w14:textId="77777777" w:rsidR="00B84769" w:rsidRPr="00FA79B6" w:rsidRDefault="00B84769" w:rsidP="00BD139F">
            <w:pPr>
              <w:jc w:val="both"/>
              <w:rPr>
                <w:noProof/>
                <w:sz w:val="24"/>
                <w:szCs w:val="24"/>
              </w:rPr>
            </w:pPr>
            <w:r w:rsidRPr="00FA79B6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3EBFFA1" wp14:editId="2FBA9337">
                  <wp:extent cx="1676400" cy="1257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769" w:rsidRPr="00FA79B6" w14:paraId="08F93865" w14:textId="77777777" w:rsidTr="00BD139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DEBF" w14:textId="77777777" w:rsidR="00B84769" w:rsidRPr="00FA79B6" w:rsidRDefault="00B84769" w:rsidP="00BD139F">
            <w:pPr>
              <w:jc w:val="both"/>
              <w:rPr>
                <w:sz w:val="24"/>
                <w:szCs w:val="24"/>
              </w:rPr>
            </w:pPr>
            <w:r w:rsidRPr="00FA79B6">
              <w:rPr>
                <w:sz w:val="24"/>
                <w:szCs w:val="24"/>
              </w:rPr>
              <w:t>PEI4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14F6" w14:textId="77777777" w:rsidR="00B84769" w:rsidRPr="00FA79B6" w:rsidRDefault="00B84769" w:rsidP="00BD139F">
            <w:pPr>
              <w:jc w:val="both"/>
              <w:rPr>
                <w:sz w:val="24"/>
                <w:szCs w:val="24"/>
              </w:rPr>
            </w:pPr>
            <w:r w:rsidRPr="00FA79B6">
              <w:rPr>
                <w:sz w:val="24"/>
                <w:szCs w:val="24"/>
              </w:rPr>
              <w:t>PEI5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776" w14:textId="77777777" w:rsidR="00B84769" w:rsidRPr="00FA79B6" w:rsidRDefault="00B84769" w:rsidP="00BD139F">
            <w:pPr>
              <w:jc w:val="both"/>
              <w:rPr>
                <w:sz w:val="24"/>
                <w:szCs w:val="24"/>
              </w:rPr>
            </w:pPr>
            <w:r w:rsidRPr="00FA79B6">
              <w:rPr>
                <w:sz w:val="24"/>
                <w:szCs w:val="24"/>
              </w:rPr>
              <w:t>PEI6</w:t>
            </w:r>
          </w:p>
        </w:tc>
      </w:tr>
    </w:tbl>
    <w:p w14:paraId="5BF53BF4" w14:textId="77777777" w:rsidR="00B84769" w:rsidRPr="00FA79B6" w:rsidRDefault="00B84769" w:rsidP="00B8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6A09E17F" w14:textId="77777777" w:rsidR="00B84769" w:rsidRPr="00FA79B6" w:rsidRDefault="00B84769" w:rsidP="00B8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9B6">
        <w:rPr>
          <w:rFonts w:ascii="Times New Roman" w:hAnsi="Times New Roman" w:cs="Times New Roman"/>
          <w:b/>
          <w:sz w:val="24"/>
          <w:szCs w:val="24"/>
          <w:lang w:val="en-US"/>
        </w:rPr>
        <w:t>Figure S1</w:t>
      </w:r>
      <w:r w:rsidRPr="00FA79B6">
        <w:rPr>
          <w:rFonts w:ascii="Times New Roman" w:hAnsi="Times New Roman" w:cs="Times New Roman"/>
          <w:sz w:val="24"/>
          <w:szCs w:val="24"/>
          <w:lang w:val="en-US"/>
        </w:rPr>
        <w:t>. Morphology of the developed microfiber scaffold under an optical microscope (1378.4 x 1037.84 µm)</w:t>
      </w:r>
    </w:p>
    <w:p w14:paraId="181CA785" w14:textId="77777777" w:rsidR="00B84769" w:rsidRPr="00FA79B6" w:rsidRDefault="00B84769" w:rsidP="00B8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535FC0" w14:textId="77777777" w:rsidR="00B84769" w:rsidRDefault="00B84769" w:rsidP="00B84769">
      <w:pPr>
        <w:spacing w:after="0" w:line="240" w:lineRule="auto"/>
        <w:jc w:val="both"/>
        <w:rPr>
          <w:lang w:val="en-US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23AE62A6" wp14:editId="740B4096">
            <wp:extent cx="4312920" cy="2743200"/>
            <wp:effectExtent l="0" t="0" r="1143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749973AB-CBA6-45B5-A996-6E67658104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F8D18B2" w14:textId="77777777" w:rsidR="00B84769" w:rsidRPr="008508AF" w:rsidRDefault="00B84769" w:rsidP="00B8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08AF">
        <w:rPr>
          <w:rFonts w:ascii="Times New Roman" w:hAnsi="Times New Roman" w:cs="Times New Roman"/>
          <w:b/>
          <w:sz w:val="24"/>
          <w:szCs w:val="24"/>
          <w:lang w:val="en-US"/>
        </w:rPr>
        <w:t>Figure S2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508AF">
        <w:rPr>
          <w:rFonts w:ascii="Times New Roman" w:hAnsi="Times New Roman" w:cs="Times New Roman"/>
          <w:sz w:val="24"/>
          <w:szCs w:val="24"/>
          <w:lang w:val="en-US"/>
        </w:rPr>
        <w:t xml:space="preserve"> Standard curve of Ibuprofen absorption vs concentration </w:t>
      </w:r>
    </w:p>
    <w:p w14:paraId="01DB5CC9" w14:textId="77777777" w:rsidR="00931771" w:rsidRDefault="00931771"/>
    <w:sectPr w:rsidR="0093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-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69"/>
    <w:rsid w:val="00931771"/>
    <w:rsid w:val="00B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27D4"/>
  <w15:chartTrackingRefBased/>
  <w15:docId w15:val="{D9BCBA41-E6C4-481D-BCB0-6FE32AD5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6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&lt;H1&gt;"/>
    <w:qFormat/>
    <w:rsid w:val="00B84769"/>
    <w:pPr>
      <w:spacing w:before="390" w:after="270" w:line="240" w:lineRule="auto"/>
    </w:pPr>
    <w:rPr>
      <w:rFonts w:ascii="Minion Pro" w:hAnsi="Minion Pro"/>
      <w:b/>
      <w:caps/>
      <w:color w:val="8B2F57"/>
      <w:sz w:val="19"/>
      <w:lang w:val="en-IN"/>
    </w:rPr>
  </w:style>
  <w:style w:type="table" w:styleId="TableGrid">
    <w:name w:val="Table Grid"/>
    <w:basedOn w:val="TableNormal"/>
    <w:uiPriority w:val="39"/>
    <w:rsid w:val="00B8476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&lt;Article_Title&gt;"/>
    <w:qFormat/>
    <w:rsid w:val="00B84769"/>
    <w:pPr>
      <w:spacing w:before="660" w:after="460" w:line="320" w:lineRule="exact"/>
    </w:pPr>
    <w:rPr>
      <w:rFonts w:ascii="Minion Pro" w:hAnsi="Minion Pro"/>
      <w:color w:val="8B2F57"/>
      <w:sz w:val="32"/>
      <w:lang w:val="en-IN"/>
    </w:rPr>
  </w:style>
  <w:style w:type="paragraph" w:customStyle="1" w:styleId="Author">
    <w:name w:val="&lt;Author&gt;"/>
    <w:qFormat/>
    <w:rsid w:val="00B84769"/>
    <w:pPr>
      <w:spacing w:before="460" w:after="340" w:line="220" w:lineRule="exact"/>
    </w:pPr>
    <w:rPr>
      <w:rFonts w:ascii="Minion Pro" w:hAnsi="Minion Pro"/>
      <w:sz w:val="18"/>
      <w:lang w:val="en-IN"/>
    </w:rPr>
  </w:style>
  <w:style w:type="paragraph" w:customStyle="1" w:styleId="Affiliation">
    <w:name w:val="&lt;Affiliation&gt;"/>
    <w:qFormat/>
    <w:rsid w:val="00B84769"/>
    <w:pPr>
      <w:spacing w:before="340" w:after="400" w:line="200" w:lineRule="exact"/>
    </w:pPr>
    <w:rPr>
      <w:rFonts w:ascii="Minion Pro" w:hAnsi="Minion Pro"/>
      <w:i/>
      <w:sz w:val="16"/>
      <w:lang w:val="en-IN"/>
    </w:rPr>
  </w:style>
  <w:style w:type="character" w:styleId="Hyperlink">
    <w:name w:val="Hyperlink"/>
    <w:basedOn w:val="DefaultParagraphFont"/>
    <w:uiPriority w:val="99"/>
    <w:unhideWhenUsed/>
    <w:rsid w:val="00B8476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mit.internal\USRHome\eh4\E58264\Configuration\Desktop\Files\HDR%20project\Ryan\Standard%20curve%20data%20ibuprofen%20ethanol-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121991597340084"/>
          <c:y val="0.19414019876728891"/>
          <c:w val="0.66129418197725287"/>
          <c:h val="0.5872065470982793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Ibuprofen Concentration (%)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3.6885914879014679E-2"/>
                  <c:y val="0.2833747659150394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Sheet1!$A$5:$A$10</c:f>
              <c:numCache>
                <c:formatCode>General</c:formatCode>
                <c:ptCount val="6"/>
                <c:pt idx="0">
                  <c:v>2.5000000000000001E-2</c:v>
                </c:pt>
                <c:pt idx="1">
                  <c:v>0.05</c:v>
                </c:pt>
                <c:pt idx="2">
                  <c:v>0.1</c:v>
                </c:pt>
                <c:pt idx="3">
                  <c:v>0.25</c:v>
                </c:pt>
                <c:pt idx="4">
                  <c:v>0.5</c:v>
                </c:pt>
                <c:pt idx="5">
                  <c:v>1</c:v>
                </c:pt>
              </c:numCache>
            </c:numRef>
          </c:xVal>
          <c:yVal>
            <c:numRef>
              <c:f>Sheet1!$B$5:$B$10</c:f>
              <c:numCache>
                <c:formatCode>General</c:formatCode>
                <c:ptCount val="6"/>
                <c:pt idx="0">
                  <c:v>0.16769753400000001</c:v>
                </c:pt>
                <c:pt idx="1">
                  <c:v>0.18356846299999999</c:v>
                </c:pt>
                <c:pt idx="2">
                  <c:v>0.28357183899999999</c:v>
                </c:pt>
                <c:pt idx="3">
                  <c:v>0.44372987800000002</c:v>
                </c:pt>
                <c:pt idx="4">
                  <c:v>0.67316979200000004</c:v>
                </c:pt>
                <c:pt idx="5">
                  <c:v>0.923151791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7E3-48D2-94F1-DDCB243B5E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2235552"/>
        <c:axId val="662233200"/>
      </c:scatterChart>
      <c:valAx>
        <c:axId val="662235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2233200"/>
        <c:crosses val="autoZero"/>
        <c:crossBetween val="midCat"/>
      </c:valAx>
      <c:valAx>
        <c:axId val="66223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22355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Weisbecker</dc:creator>
  <cp:keywords/>
  <dc:description/>
  <cp:lastModifiedBy>Harry Weisbecker</cp:lastModifiedBy>
  <cp:revision>1</cp:revision>
  <dcterms:created xsi:type="dcterms:W3CDTF">2020-05-20T19:26:00Z</dcterms:created>
  <dcterms:modified xsi:type="dcterms:W3CDTF">2020-05-20T19:27:00Z</dcterms:modified>
</cp:coreProperties>
</file>