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DB927" w14:textId="77777777" w:rsidR="00751098" w:rsidRDefault="00751098" w:rsidP="00751098">
      <w:pPr>
        <w:jc w:val="center"/>
        <w:rPr>
          <w:rFonts w:ascii="Garamond" w:hAnsi="Garamond"/>
          <w:b/>
          <w:bCs/>
          <w:sz w:val="36"/>
          <w:szCs w:val="36"/>
        </w:rPr>
      </w:pPr>
      <w:r>
        <w:rPr>
          <w:rFonts w:ascii="Garamond" w:hAnsi="Garamond"/>
          <w:b/>
          <w:bCs/>
          <w:sz w:val="36"/>
          <w:szCs w:val="36"/>
        </w:rPr>
        <w:t xml:space="preserve">Global environmental and social </w:t>
      </w:r>
      <w:proofErr w:type="spellStart"/>
      <w:r>
        <w:rPr>
          <w:rFonts w:ascii="Garamond" w:hAnsi="Garamond"/>
          <w:b/>
          <w:bCs/>
          <w:sz w:val="36"/>
          <w:szCs w:val="36"/>
        </w:rPr>
        <w:t>spillover</w:t>
      </w:r>
      <w:proofErr w:type="spellEnd"/>
      <w:r>
        <w:rPr>
          <w:rFonts w:ascii="Garamond" w:hAnsi="Garamond"/>
          <w:b/>
          <w:bCs/>
          <w:sz w:val="36"/>
          <w:szCs w:val="36"/>
        </w:rPr>
        <w:t xml:space="preserve"> effects of EU’s food trade</w:t>
      </w:r>
    </w:p>
    <w:p w14:paraId="45F110A3" w14:textId="77777777" w:rsidR="00751098" w:rsidRPr="00F16FC7" w:rsidRDefault="00751098" w:rsidP="00751098">
      <w:pPr>
        <w:pStyle w:val="Heading1"/>
        <w:numPr>
          <w:ilvl w:val="0"/>
          <w:numId w:val="0"/>
        </w:numPr>
        <w:jc w:val="center"/>
        <w:rPr>
          <w:rFonts w:ascii="Garamond" w:hAnsi="Garamond"/>
          <w:color w:val="C00000"/>
          <w:sz w:val="36"/>
          <w:szCs w:val="40"/>
          <w:u w:val="single"/>
        </w:rPr>
      </w:pPr>
      <w:r w:rsidRPr="00F16FC7">
        <w:rPr>
          <w:rFonts w:ascii="Garamond" w:hAnsi="Garamond"/>
          <w:color w:val="C00000"/>
          <w:sz w:val="36"/>
          <w:szCs w:val="40"/>
          <w:u w:val="single"/>
        </w:rPr>
        <w:t>SUPPLEMENTARY INFORMATION</w:t>
      </w:r>
    </w:p>
    <w:p w14:paraId="02A50163" w14:textId="77777777" w:rsidR="00751098" w:rsidRPr="0030539A" w:rsidRDefault="00751098" w:rsidP="00751098">
      <w:pPr>
        <w:jc w:val="center"/>
        <w:rPr>
          <w:rFonts w:ascii="Garamond" w:hAnsi="Garamond"/>
          <w:b/>
          <w:bCs/>
          <w:sz w:val="36"/>
          <w:szCs w:val="36"/>
        </w:rPr>
      </w:pPr>
    </w:p>
    <w:p w14:paraId="0F32DBF4" w14:textId="77777777" w:rsidR="00751098" w:rsidRPr="007B02C8" w:rsidRDefault="00751098" w:rsidP="00751098">
      <w:pPr>
        <w:spacing w:before="120"/>
        <w:rPr>
          <w:rFonts w:ascii="Garamond" w:hAnsi="Garamond"/>
          <w:sz w:val="28"/>
          <w:szCs w:val="28"/>
          <w:lang w:val="en-GB"/>
        </w:rPr>
      </w:pPr>
      <w:r w:rsidRPr="007B02C8">
        <w:rPr>
          <w:rFonts w:ascii="Garamond" w:hAnsi="Garamond"/>
          <w:sz w:val="28"/>
          <w:szCs w:val="28"/>
          <w:lang w:val="en-GB"/>
        </w:rPr>
        <w:t>Arunima Malik</w:t>
      </w:r>
      <w:r w:rsidRPr="007B02C8">
        <w:rPr>
          <w:rFonts w:ascii="Garamond" w:hAnsi="Garamond"/>
          <w:sz w:val="28"/>
          <w:szCs w:val="28"/>
          <w:vertAlign w:val="superscript"/>
          <w:lang w:val="en-GB"/>
        </w:rPr>
        <w:t>1,2*</w:t>
      </w:r>
      <w:r w:rsidRPr="007B02C8">
        <w:rPr>
          <w:rFonts w:ascii="Garamond" w:hAnsi="Garamond"/>
          <w:sz w:val="28"/>
          <w:szCs w:val="28"/>
          <w:lang w:val="en-GB"/>
        </w:rPr>
        <w:t>, Guillaume Lafortune</w:t>
      </w:r>
      <w:r w:rsidRPr="007B02C8">
        <w:rPr>
          <w:rFonts w:ascii="Garamond" w:hAnsi="Garamond"/>
          <w:sz w:val="28"/>
          <w:szCs w:val="28"/>
          <w:vertAlign w:val="superscript"/>
          <w:lang w:val="en-GB"/>
        </w:rPr>
        <w:t>3</w:t>
      </w:r>
      <w:r w:rsidRPr="007B02C8">
        <w:rPr>
          <w:rFonts w:ascii="Garamond" w:hAnsi="Garamond"/>
          <w:sz w:val="28"/>
          <w:szCs w:val="28"/>
          <w:lang w:val="en-GB"/>
        </w:rPr>
        <w:t>, Salma Dahir</w:t>
      </w:r>
      <w:r w:rsidRPr="007B02C8">
        <w:rPr>
          <w:rFonts w:ascii="Garamond" w:hAnsi="Garamond"/>
          <w:sz w:val="28"/>
          <w:szCs w:val="28"/>
          <w:vertAlign w:val="superscript"/>
          <w:lang w:val="en-GB"/>
        </w:rPr>
        <w:t>3</w:t>
      </w:r>
      <w:r w:rsidRPr="007B02C8">
        <w:rPr>
          <w:rFonts w:ascii="Garamond" w:hAnsi="Garamond"/>
          <w:sz w:val="28"/>
          <w:szCs w:val="28"/>
          <w:lang w:val="en-GB"/>
        </w:rPr>
        <w:t>, Zachary A. Wendling</w:t>
      </w:r>
      <w:r w:rsidRPr="007B02C8">
        <w:rPr>
          <w:rFonts w:ascii="Garamond" w:hAnsi="Garamond"/>
          <w:sz w:val="28"/>
          <w:szCs w:val="28"/>
          <w:vertAlign w:val="superscript"/>
          <w:lang w:val="en-GB"/>
        </w:rPr>
        <w:t>3</w:t>
      </w:r>
      <w:r w:rsidRPr="007B02C8">
        <w:rPr>
          <w:rFonts w:ascii="Garamond" w:hAnsi="Garamond"/>
          <w:sz w:val="28"/>
          <w:szCs w:val="28"/>
          <w:lang w:val="en-GB"/>
        </w:rPr>
        <w:t xml:space="preserve">, </w:t>
      </w:r>
      <w:r>
        <w:rPr>
          <w:rFonts w:ascii="Garamond" w:hAnsi="Garamond"/>
          <w:sz w:val="28"/>
          <w:szCs w:val="28"/>
          <w:lang w:val="en-GB"/>
        </w:rPr>
        <w:t>Christian Kroll</w:t>
      </w:r>
      <w:r>
        <w:rPr>
          <w:rFonts w:ascii="Garamond" w:hAnsi="Garamond"/>
          <w:sz w:val="28"/>
          <w:szCs w:val="28"/>
          <w:vertAlign w:val="superscript"/>
          <w:lang w:val="en-GB"/>
        </w:rPr>
        <w:t>4</w:t>
      </w:r>
      <w:r>
        <w:rPr>
          <w:rFonts w:ascii="Garamond" w:hAnsi="Garamond"/>
          <w:sz w:val="28"/>
          <w:szCs w:val="28"/>
          <w:lang w:val="en-GB"/>
        </w:rPr>
        <w:t xml:space="preserve">, </w:t>
      </w:r>
      <w:r w:rsidRPr="007B02C8">
        <w:rPr>
          <w:rFonts w:ascii="Garamond" w:hAnsi="Garamond"/>
          <w:sz w:val="28"/>
          <w:szCs w:val="28"/>
          <w:lang w:val="en-GB"/>
        </w:rPr>
        <w:t>Sarah Carter</w:t>
      </w:r>
      <w:r>
        <w:rPr>
          <w:rFonts w:ascii="Garamond" w:hAnsi="Garamond"/>
          <w:sz w:val="28"/>
          <w:szCs w:val="28"/>
          <w:vertAlign w:val="superscript"/>
          <w:lang w:val="en-GB"/>
        </w:rPr>
        <w:t>5</w:t>
      </w:r>
      <w:r w:rsidRPr="007B02C8">
        <w:rPr>
          <w:rFonts w:ascii="Garamond" w:hAnsi="Garamond"/>
          <w:sz w:val="28"/>
          <w:szCs w:val="28"/>
          <w:lang w:val="en-GB"/>
        </w:rPr>
        <w:t>, Mengyu Li</w:t>
      </w:r>
      <w:r w:rsidRPr="007B02C8">
        <w:rPr>
          <w:rFonts w:ascii="Garamond" w:hAnsi="Garamond"/>
          <w:sz w:val="28"/>
          <w:szCs w:val="28"/>
          <w:vertAlign w:val="superscript"/>
          <w:lang w:val="en-GB"/>
        </w:rPr>
        <w:t>1</w:t>
      </w:r>
      <w:r w:rsidRPr="007B02C8">
        <w:rPr>
          <w:rFonts w:ascii="Garamond" w:hAnsi="Garamond"/>
          <w:sz w:val="28"/>
          <w:szCs w:val="28"/>
          <w:lang w:val="en-GB"/>
        </w:rPr>
        <w:t>, Manfred Lenzen</w:t>
      </w:r>
      <w:r w:rsidRPr="007B02C8">
        <w:rPr>
          <w:rFonts w:ascii="Garamond" w:hAnsi="Garamond"/>
          <w:sz w:val="28"/>
          <w:szCs w:val="28"/>
          <w:vertAlign w:val="superscript"/>
          <w:lang w:val="en-GB"/>
        </w:rPr>
        <w:t>1</w:t>
      </w:r>
      <w:r w:rsidRPr="007B02C8">
        <w:rPr>
          <w:rFonts w:ascii="Garamond" w:hAnsi="Garamond"/>
          <w:sz w:val="28"/>
          <w:szCs w:val="28"/>
          <w:lang w:val="en-GB"/>
        </w:rPr>
        <w:t xml:space="preserve"> </w:t>
      </w:r>
    </w:p>
    <w:p w14:paraId="2D2CE0D5" w14:textId="77777777" w:rsidR="00751098" w:rsidRPr="00F57F6C" w:rsidRDefault="00751098" w:rsidP="00751098">
      <w:pPr>
        <w:pStyle w:val="NoSpacing"/>
        <w:rPr>
          <w:rFonts w:ascii="Cambria" w:hAnsi="Cambria"/>
          <w:i/>
          <w:iCs/>
          <w:sz w:val="24"/>
          <w:szCs w:val="24"/>
        </w:rPr>
      </w:pPr>
      <w:r w:rsidRPr="00F57F6C">
        <w:rPr>
          <w:rFonts w:ascii="Cambria" w:hAnsi="Cambria"/>
          <w:i/>
          <w:iCs/>
          <w:sz w:val="24"/>
          <w:szCs w:val="24"/>
          <w:vertAlign w:val="superscript"/>
        </w:rPr>
        <w:t>1</w:t>
      </w:r>
      <w:r w:rsidRPr="00F57F6C">
        <w:rPr>
          <w:rFonts w:ascii="Cambria" w:hAnsi="Cambria"/>
          <w:i/>
          <w:iCs/>
          <w:sz w:val="24"/>
          <w:szCs w:val="24"/>
        </w:rPr>
        <w:t xml:space="preserve">ISA, School of Physics, The University of Sydney, NSW, Australia </w:t>
      </w:r>
    </w:p>
    <w:p w14:paraId="2DBA16E8" w14:textId="77777777" w:rsidR="00751098" w:rsidRPr="00F57F6C" w:rsidRDefault="00751098" w:rsidP="00751098">
      <w:pPr>
        <w:pStyle w:val="NoSpacing"/>
        <w:rPr>
          <w:rFonts w:ascii="Cambria" w:hAnsi="Cambria"/>
          <w:i/>
          <w:iCs/>
          <w:sz w:val="24"/>
          <w:szCs w:val="24"/>
        </w:rPr>
      </w:pPr>
      <w:r w:rsidRPr="00F57F6C">
        <w:rPr>
          <w:rFonts w:ascii="Cambria" w:hAnsi="Cambria"/>
          <w:i/>
          <w:iCs/>
          <w:sz w:val="24"/>
          <w:szCs w:val="24"/>
          <w:vertAlign w:val="superscript"/>
        </w:rPr>
        <w:t>2</w:t>
      </w:r>
      <w:r w:rsidRPr="00F57F6C">
        <w:rPr>
          <w:rFonts w:ascii="Cambria" w:hAnsi="Cambria"/>
          <w:i/>
          <w:iCs/>
          <w:sz w:val="24"/>
          <w:szCs w:val="24"/>
        </w:rPr>
        <w:t>Discipline of Accounting, Sydney Business School, The University of Sydney, NSW, Australia</w:t>
      </w:r>
    </w:p>
    <w:p w14:paraId="570D9FB7" w14:textId="77777777" w:rsidR="00751098" w:rsidRPr="00F57F6C" w:rsidRDefault="00751098" w:rsidP="00751098">
      <w:pPr>
        <w:pStyle w:val="NoSpacing"/>
        <w:rPr>
          <w:rFonts w:ascii="Cambria" w:hAnsi="Cambria"/>
          <w:i/>
          <w:iCs/>
          <w:sz w:val="24"/>
          <w:szCs w:val="24"/>
        </w:rPr>
      </w:pPr>
      <w:r w:rsidRPr="00F57F6C">
        <w:rPr>
          <w:rFonts w:ascii="Cambria" w:hAnsi="Cambria"/>
          <w:i/>
          <w:iCs/>
          <w:sz w:val="24"/>
          <w:szCs w:val="24"/>
          <w:vertAlign w:val="superscript"/>
        </w:rPr>
        <w:t>3</w:t>
      </w:r>
      <w:r w:rsidRPr="00F57F6C">
        <w:rPr>
          <w:rFonts w:ascii="Cambria" w:hAnsi="Cambria"/>
          <w:i/>
          <w:iCs/>
          <w:sz w:val="24"/>
          <w:szCs w:val="24"/>
        </w:rPr>
        <w:t>Sustainable Development Solutions Network (SDSN), Paris Office, France</w:t>
      </w:r>
    </w:p>
    <w:p w14:paraId="40B51CBA" w14:textId="77777777" w:rsidR="00751098" w:rsidRPr="00F57F6C" w:rsidRDefault="00751098" w:rsidP="00751098">
      <w:pPr>
        <w:pStyle w:val="NoSpacing"/>
        <w:rPr>
          <w:rFonts w:ascii="Cambria" w:hAnsi="Cambria"/>
          <w:i/>
          <w:iCs/>
          <w:sz w:val="24"/>
          <w:szCs w:val="24"/>
        </w:rPr>
      </w:pPr>
      <w:r w:rsidRPr="00F57F6C">
        <w:rPr>
          <w:rFonts w:ascii="Cambria" w:hAnsi="Cambria"/>
          <w:i/>
          <w:iCs/>
          <w:sz w:val="24"/>
          <w:szCs w:val="24"/>
          <w:vertAlign w:val="superscript"/>
        </w:rPr>
        <w:t>4</w:t>
      </w:r>
      <w:r w:rsidRPr="00F57F6C">
        <w:rPr>
          <w:rFonts w:ascii="Cambria" w:hAnsi="Cambria"/>
          <w:i/>
          <w:iCs/>
          <w:sz w:val="24"/>
          <w:szCs w:val="24"/>
        </w:rPr>
        <w:t>IU International University of Applied Sciences, Germany</w:t>
      </w:r>
    </w:p>
    <w:p w14:paraId="7F1BDEF6" w14:textId="77777777" w:rsidR="00751098" w:rsidRPr="00F57F6C" w:rsidRDefault="00751098" w:rsidP="00751098">
      <w:pPr>
        <w:pStyle w:val="NoSpacing"/>
        <w:rPr>
          <w:rFonts w:ascii="Cambria" w:hAnsi="Cambria"/>
          <w:i/>
          <w:iCs/>
          <w:sz w:val="24"/>
          <w:szCs w:val="24"/>
        </w:rPr>
      </w:pPr>
      <w:r w:rsidRPr="00F57F6C">
        <w:rPr>
          <w:rFonts w:ascii="Cambria" w:hAnsi="Cambria"/>
          <w:i/>
          <w:iCs/>
          <w:sz w:val="24"/>
          <w:szCs w:val="24"/>
          <w:vertAlign w:val="superscript"/>
        </w:rPr>
        <w:t>5</w:t>
      </w:r>
      <w:r w:rsidRPr="00F57F6C">
        <w:rPr>
          <w:rFonts w:ascii="Cambria" w:hAnsi="Cambria"/>
          <w:i/>
          <w:iCs/>
          <w:sz w:val="24"/>
          <w:szCs w:val="24"/>
        </w:rPr>
        <w:t>Thermal Ergonomics Laboratory, Sydney School of Health Sciences, Faculty of Medicine and Health, NSW, Australia</w:t>
      </w:r>
    </w:p>
    <w:p w14:paraId="6B4589F0" w14:textId="77777777" w:rsidR="00751098" w:rsidRDefault="00751098" w:rsidP="00751098"/>
    <w:p w14:paraId="65C99EB7" w14:textId="77777777" w:rsidR="00751098" w:rsidRPr="00A3168C" w:rsidRDefault="00751098" w:rsidP="00751098">
      <w:pPr>
        <w:rPr>
          <w:rFonts w:ascii="Cambria" w:hAnsi="Cambria"/>
          <w:sz w:val="24"/>
          <w:szCs w:val="24"/>
        </w:rPr>
      </w:pPr>
      <w:r w:rsidRPr="00A3168C">
        <w:rPr>
          <w:rFonts w:ascii="Cambria" w:hAnsi="Cambria"/>
          <w:sz w:val="24"/>
          <w:szCs w:val="24"/>
        </w:rPr>
        <w:t>*Corresponding author: Dr Arunima Malik, arunima.malik@sydney.edu.au, +61 2 9351 5451</w:t>
      </w:r>
    </w:p>
    <w:p w14:paraId="20753221" w14:textId="0B4B849D" w:rsidR="004177DA" w:rsidRDefault="004177DA"/>
    <w:p w14:paraId="6B2B3541" w14:textId="73A6DD9F" w:rsidR="004A5787" w:rsidRDefault="004A5787"/>
    <w:p w14:paraId="639102E3" w14:textId="4C180F69" w:rsidR="004A5787" w:rsidRDefault="004A5787"/>
    <w:p w14:paraId="521412F3" w14:textId="05EFF37E" w:rsidR="00751098" w:rsidRDefault="00751098"/>
    <w:p w14:paraId="615CEC95" w14:textId="20CBD50E" w:rsidR="00751098" w:rsidRDefault="00751098"/>
    <w:p w14:paraId="46B94564" w14:textId="49DF3FE4" w:rsidR="00751098" w:rsidRDefault="00751098"/>
    <w:p w14:paraId="14A2F89B" w14:textId="61A927C3" w:rsidR="00751098" w:rsidRDefault="00751098"/>
    <w:p w14:paraId="31675FB3" w14:textId="4D219C0E" w:rsidR="00751098" w:rsidRDefault="00751098"/>
    <w:p w14:paraId="1D6C9D47" w14:textId="163D99D9" w:rsidR="00751098" w:rsidRDefault="00751098"/>
    <w:p w14:paraId="5443C6F0" w14:textId="47AC54E8" w:rsidR="00751098" w:rsidRDefault="00751098"/>
    <w:p w14:paraId="394232D4" w14:textId="1226FB6D" w:rsidR="00751098" w:rsidRDefault="00751098"/>
    <w:p w14:paraId="7C883E4A" w14:textId="5E0F0CAC" w:rsidR="00751098" w:rsidRDefault="00751098"/>
    <w:p w14:paraId="0265F8BB" w14:textId="4D660E7E" w:rsidR="00751098" w:rsidRDefault="00751098"/>
    <w:p w14:paraId="5F46CA0B" w14:textId="599D5730" w:rsidR="00751098" w:rsidRDefault="00751098"/>
    <w:p w14:paraId="0426A29C" w14:textId="5BBF990D" w:rsidR="00751098" w:rsidRDefault="00751098"/>
    <w:p w14:paraId="605F66A8" w14:textId="77777777" w:rsidR="00751098" w:rsidRDefault="00751098"/>
    <w:p w14:paraId="4058CFF2" w14:textId="77777777" w:rsidR="004A5787" w:rsidRDefault="004A5787" w:rsidP="004A5787">
      <w:pPr>
        <w:pStyle w:val="Heading1"/>
        <w:numPr>
          <w:ilvl w:val="0"/>
          <w:numId w:val="0"/>
        </w:numPr>
        <w:rPr>
          <w:rFonts w:ascii="Garamond" w:hAnsi="Garamond"/>
          <w:color w:val="C00000"/>
        </w:rPr>
      </w:pPr>
      <w:bookmarkStart w:id="0" w:name="_Toc89854067"/>
      <w:r>
        <w:rPr>
          <w:rFonts w:ascii="Garamond" w:hAnsi="Garamond"/>
          <w:color w:val="C00000"/>
        </w:rPr>
        <w:lastRenderedPageBreak/>
        <w:t xml:space="preserve">Mathematical formulation – measuring </w:t>
      </w:r>
      <w:proofErr w:type="spellStart"/>
      <w:proofErr w:type="gramStart"/>
      <w:r>
        <w:rPr>
          <w:rFonts w:ascii="Garamond" w:hAnsi="Garamond"/>
          <w:color w:val="C00000"/>
        </w:rPr>
        <w:t>spillovers</w:t>
      </w:r>
      <w:bookmarkEnd w:id="0"/>
      <w:proofErr w:type="spellEnd"/>
      <w:proofErr w:type="gramEnd"/>
    </w:p>
    <w:p w14:paraId="2A2E425E" w14:textId="688FBAE6" w:rsidR="004A5787" w:rsidRDefault="004A5787" w:rsidP="004A5787">
      <w:pPr>
        <w:spacing w:line="264" w:lineRule="auto"/>
        <w:jc w:val="both"/>
        <w:rPr>
          <w:rFonts w:ascii="Cambria" w:hAnsi="Cambria"/>
          <w:sz w:val="24"/>
          <w:szCs w:val="24"/>
          <w:lang w:eastAsia="en-AU"/>
        </w:rPr>
      </w:pPr>
      <w:r w:rsidRPr="00C8238A">
        <w:rPr>
          <w:rFonts w:ascii="Cambria" w:hAnsi="Cambria"/>
          <w:sz w:val="24"/>
          <w:szCs w:val="24"/>
          <w:lang w:eastAsia="en-AU"/>
        </w:rPr>
        <w:t xml:space="preserve">The starting point for quantification of </w:t>
      </w:r>
      <w:proofErr w:type="spellStart"/>
      <w:r>
        <w:rPr>
          <w:rFonts w:ascii="Cambria" w:hAnsi="Cambria"/>
          <w:sz w:val="24"/>
          <w:szCs w:val="24"/>
          <w:lang w:eastAsia="en-AU"/>
        </w:rPr>
        <w:t>spillover</w:t>
      </w:r>
      <w:proofErr w:type="spellEnd"/>
      <w:r>
        <w:rPr>
          <w:rFonts w:ascii="Cambria" w:hAnsi="Cambria"/>
          <w:sz w:val="24"/>
          <w:szCs w:val="24"/>
          <w:lang w:eastAsia="en-AU"/>
        </w:rPr>
        <w:t xml:space="preserve"> effect</w:t>
      </w:r>
      <w:r w:rsidRPr="00C8238A">
        <w:rPr>
          <w:rFonts w:ascii="Cambria" w:hAnsi="Cambria"/>
          <w:sz w:val="24"/>
          <w:szCs w:val="24"/>
          <w:lang w:eastAsia="en-AU"/>
        </w:rPr>
        <w:t>s is a set of MRIO matrices – inter</w:t>
      </w:r>
      <w:r>
        <w:rPr>
          <w:rFonts w:ascii="Cambria" w:hAnsi="Cambria"/>
          <w:sz w:val="24"/>
          <w:szCs w:val="24"/>
          <w:lang w:eastAsia="en-AU"/>
        </w:rPr>
        <w:softHyphen/>
      </w:r>
      <w:r w:rsidRPr="00C8238A">
        <w:rPr>
          <w:rFonts w:ascii="Cambria" w:hAnsi="Cambria"/>
          <w:sz w:val="24"/>
          <w:szCs w:val="24"/>
          <w:lang w:eastAsia="en-AU"/>
        </w:rPr>
        <w:t>mediate demand (</w:t>
      </w:r>
      <w:r w:rsidRPr="00C8238A">
        <w:rPr>
          <w:rFonts w:ascii="Cambria" w:hAnsi="Cambria"/>
          <w:b/>
          <w:bCs/>
          <w:sz w:val="24"/>
          <w:szCs w:val="24"/>
          <w:lang w:eastAsia="en-AU"/>
        </w:rPr>
        <w:t>T</w:t>
      </w:r>
      <w:r w:rsidRPr="00C8238A">
        <w:rPr>
          <w:rFonts w:ascii="Cambria" w:hAnsi="Cambria"/>
          <w:sz w:val="24"/>
          <w:szCs w:val="24"/>
          <w:lang w:eastAsia="en-AU"/>
        </w:rPr>
        <w:t>), final demand (</w:t>
      </w:r>
      <w:r w:rsidRPr="00C8238A">
        <w:rPr>
          <w:rFonts w:ascii="Cambria" w:hAnsi="Cambria"/>
          <w:b/>
          <w:bCs/>
          <w:sz w:val="24"/>
          <w:szCs w:val="24"/>
          <w:lang w:eastAsia="en-AU"/>
        </w:rPr>
        <w:t>Y</w:t>
      </w:r>
      <w:r w:rsidRPr="00C8238A">
        <w:rPr>
          <w:rFonts w:ascii="Cambria" w:hAnsi="Cambria"/>
          <w:sz w:val="24"/>
          <w:szCs w:val="24"/>
          <w:lang w:eastAsia="en-AU"/>
        </w:rPr>
        <w:t>) and value-added (</w:t>
      </w:r>
      <w:r w:rsidRPr="00C8238A">
        <w:rPr>
          <w:rFonts w:ascii="Cambria" w:hAnsi="Cambria"/>
          <w:b/>
          <w:bCs/>
          <w:sz w:val="24"/>
          <w:szCs w:val="24"/>
          <w:lang w:eastAsia="en-AU"/>
        </w:rPr>
        <w:t>v</w:t>
      </w:r>
      <w:r w:rsidRPr="00C8238A">
        <w:rPr>
          <w:rFonts w:ascii="Cambria" w:hAnsi="Cambria"/>
          <w:sz w:val="24"/>
          <w:szCs w:val="24"/>
          <w:lang w:eastAsia="en-AU"/>
        </w:rPr>
        <w:t xml:space="preserve">). </w:t>
      </w:r>
      <w:r>
        <w:rPr>
          <w:rFonts w:ascii="Cambria" w:hAnsi="Cambria"/>
          <w:sz w:val="24"/>
          <w:szCs w:val="24"/>
          <w:lang w:eastAsia="en-AU"/>
        </w:rPr>
        <w:t xml:space="preserve">These are monetary matrices that are based on data collected by statistical agencies. For example, each country has their own statistical agency. In Australia, the Australian Bureau of Statistics produces and makes available input-output tables for further use by government, academia and industry </w:t>
      </w:r>
      <w:r>
        <w:rPr>
          <w:rFonts w:ascii="Cambria" w:hAnsi="Cambria"/>
          <w:sz w:val="24"/>
          <w:szCs w:val="24"/>
          <w:lang w:eastAsia="en-AU"/>
        </w:rPr>
        <w:fldChar w:fldCharType="begin"/>
      </w:r>
      <w:r>
        <w:rPr>
          <w:rFonts w:ascii="Cambria" w:hAnsi="Cambria"/>
          <w:sz w:val="24"/>
          <w:szCs w:val="24"/>
          <w:lang w:eastAsia="en-AU"/>
        </w:rPr>
        <w:instrText xml:space="preserve"> ADDIN EN.CITE &lt;EndNote&gt;&lt;Cite&gt;&lt;Author&gt;ABS&lt;/Author&gt;&lt;Year&gt;2019&lt;/Year&gt;&lt;RecNum&gt;1741&lt;/RecNum&gt;&lt;DisplayText&gt;(ABS, 2019)&lt;/DisplayText&gt;&lt;record&gt;&lt;rec-number&gt;1741&lt;/rec-number&gt;&lt;foreign-keys&gt;&lt;key app="EN" db-id="rtrw0rse8z9zxie05fbpfsz9z2dfaawz99df" timestamp="1557810545"&gt;1741&lt;/key&gt;&lt;/foreign-keys&gt;&lt;ref-type name="Report"&gt;27&lt;/ref-type&gt;&lt;contributors&gt;&lt;authors&gt;&lt;author&gt;ABS,&lt;/author&gt;&lt;/authors&gt;&lt;/contributors&gt;&lt;titles&gt;&lt;title&gt;Australian National Accounts: Input-Output Tables&lt;/title&gt;&lt;/titles&gt;&lt;dates&gt;&lt;year&gt;2019&lt;/year&gt;&lt;/dates&gt;&lt;pub-location&gt;Canberra, Australia&lt;/pub-location&gt;&lt;publisher&gt;Australian Bureau of Statistics&lt;/publisher&gt;&lt;isbn&gt;5209.0&lt;/isbn&gt;&lt;work-type&gt;ABS Catalogue No.&lt;/work-type&gt;&lt;urls&gt;&lt;/urls&gt;&lt;/record&gt;&lt;/Cite&gt;&lt;/EndNote&gt;</w:instrText>
      </w:r>
      <w:r>
        <w:rPr>
          <w:rFonts w:ascii="Cambria" w:hAnsi="Cambria"/>
          <w:sz w:val="24"/>
          <w:szCs w:val="24"/>
          <w:lang w:eastAsia="en-AU"/>
        </w:rPr>
        <w:fldChar w:fldCharType="separate"/>
      </w:r>
      <w:r>
        <w:rPr>
          <w:rFonts w:ascii="Cambria" w:hAnsi="Cambria"/>
          <w:noProof/>
          <w:sz w:val="24"/>
          <w:szCs w:val="24"/>
          <w:lang w:eastAsia="en-AU"/>
        </w:rPr>
        <w:t>(ABS, 2019)</w:t>
      </w:r>
      <w:r>
        <w:rPr>
          <w:rFonts w:ascii="Cambria" w:hAnsi="Cambria"/>
          <w:sz w:val="24"/>
          <w:szCs w:val="24"/>
          <w:lang w:eastAsia="en-AU"/>
        </w:rPr>
        <w:fldChar w:fldCharType="end"/>
      </w:r>
      <w:r>
        <w:rPr>
          <w:rFonts w:ascii="Cambria" w:hAnsi="Cambria"/>
          <w:sz w:val="24"/>
          <w:szCs w:val="24"/>
          <w:lang w:eastAsia="en-AU"/>
        </w:rPr>
        <w:t xml:space="preserve">. An explanation of the fundamentals for input-output analysis are explained in detail elsewhere </w:t>
      </w:r>
      <w:r>
        <w:rPr>
          <w:rFonts w:ascii="Cambria" w:hAnsi="Cambria"/>
          <w:sz w:val="24"/>
          <w:szCs w:val="24"/>
          <w:lang w:eastAsia="en-AU"/>
        </w:rPr>
        <w:fldChar w:fldCharType="begin"/>
      </w:r>
      <w:r>
        <w:rPr>
          <w:rFonts w:ascii="Cambria" w:hAnsi="Cambria"/>
          <w:sz w:val="24"/>
          <w:szCs w:val="24"/>
          <w:lang w:eastAsia="en-AU"/>
        </w:rPr>
        <w:instrText xml:space="preserve"> ADDIN EN.CITE &lt;EndNote&gt;&lt;Cite&gt;&lt;Author&gt;Miller&lt;/Author&gt;&lt;Year&gt;2010&lt;/Year&gt;&lt;RecNum&gt;855&lt;/RecNum&gt;&lt;DisplayText&gt;(Miller &amp;amp; Blair, 2010)&lt;/DisplayText&gt;&lt;record&gt;&lt;rec-number&gt;855&lt;/rec-number&gt;&lt;foreign-keys&gt;&lt;key app="EN" db-id="rtrw0rse8z9zxie05fbpfsz9z2dfaawz99df" timestamp="1462011132"&gt;855&lt;/key&gt;&lt;/foreign-keys&gt;&lt;ref-type name="Book"&gt;6&lt;/ref-type&gt;&lt;contributors&gt;&lt;authors&gt;&lt;author&gt;Miller, R. E.&lt;/author&gt;&lt;author&gt;Blair, P. D.&lt;/author&gt;&lt;/authors&gt;&lt;/contributors&gt;&lt;titles&gt;&lt;title&gt;Input-Output Analysis: Foundations and Extensions&lt;/title&gt;&lt;/titles&gt;&lt;dates&gt;&lt;year&gt;2010&lt;/year&gt;&lt;/dates&gt;&lt;pub-location&gt;Englewood Cliffs, NJ, USA&lt;/pub-location&gt;&lt;publisher&gt;Prentice-Hall&lt;/publisher&gt;&lt;urls&gt;&lt;/urls&gt;&lt;/record&gt;&lt;/Cite&gt;&lt;/EndNote&gt;</w:instrText>
      </w:r>
      <w:r>
        <w:rPr>
          <w:rFonts w:ascii="Cambria" w:hAnsi="Cambria"/>
          <w:sz w:val="24"/>
          <w:szCs w:val="24"/>
          <w:lang w:eastAsia="en-AU"/>
        </w:rPr>
        <w:fldChar w:fldCharType="separate"/>
      </w:r>
      <w:r>
        <w:rPr>
          <w:rFonts w:ascii="Cambria" w:hAnsi="Cambria"/>
          <w:noProof/>
          <w:sz w:val="24"/>
          <w:szCs w:val="24"/>
          <w:lang w:eastAsia="en-AU"/>
        </w:rPr>
        <w:t>(Miller &amp; Blair, 2010)</w:t>
      </w:r>
      <w:r>
        <w:rPr>
          <w:rFonts w:ascii="Cambria" w:hAnsi="Cambria"/>
          <w:sz w:val="24"/>
          <w:szCs w:val="24"/>
          <w:lang w:eastAsia="en-AU"/>
        </w:rPr>
        <w:fldChar w:fldCharType="end"/>
      </w:r>
      <w:r>
        <w:rPr>
          <w:rFonts w:ascii="Cambria" w:hAnsi="Cambria"/>
          <w:sz w:val="24"/>
          <w:szCs w:val="24"/>
          <w:lang w:eastAsia="en-AU"/>
        </w:rPr>
        <w:t>. Here we briefly explain the three key matrices that feature in MRIO databases:</w:t>
      </w:r>
    </w:p>
    <w:p w14:paraId="4BB4E69E" w14:textId="6726DD7C" w:rsidR="004A5787" w:rsidRPr="00C8238A" w:rsidRDefault="004A5787" w:rsidP="004A5787">
      <w:pPr>
        <w:spacing w:line="264" w:lineRule="auto"/>
        <w:jc w:val="both"/>
        <w:rPr>
          <w:rFonts w:ascii="Cambria" w:hAnsi="Cambria"/>
          <w:sz w:val="24"/>
          <w:szCs w:val="24"/>
        </w:rPr>
      </w:pPr>
      <w:r w:rsidRPr="00C8238A">
        <w:rPr>
          <w:rFonts w:ascii="Cambria" w:hAnsi="Cambria"/>
          <w:sz w:val="24"/>
          <w:szCs w:val="24"/>
          <w:lang w:eastAsia="en-AU"/>
        </w:rPr>
        <w:t xml:space="preserve">The intermediate demand matrix captures intra-industry and inter-industry transactions between regions; the value-added matrix </w:t>
      </w:r>
      <w:r w:rsidRPr="00C8238A">
        <w:rPr>
          <w:rFonts w:ascii="Cambria" w:hAnsi="Cambria"/>
          <w:sz w:val="24"/>
          <w:szCs w:val="24"/>
        </w:rPr>
        <w:t xml:space="preserve">contains information on primary inputs needed </w:t>
      </w:r>
      <w:proofErr w:type="gramStart"/>
      <w:r w:rsidRPr="00C8238A">
        <w:rPr>
          <w:rFonts w:ascii="Cambria" w:hAnsi="Cambria"/>
          <w:sz w:val="24"/>
          <w:szCs w:val="24"/>
        </w:rPr>
        <w:t>for the production of</w:t>
      </w:r>
      <w:proofErr w:type="gramEnd"/>
      <w:r w:rsidRPr="00C8238A">
        <w:rPr>
          <w:rFonts w:ascii="Cambria" w:hAnsi="Cambria"/>
          <w:sz w:val="24"/>
          <w:szCs w:val="24"/>
        </w:rPr>
        <w:t xml:space="preserve"> goods and services (e.g.</w:t>
      </w:r>
      <w:r>
        <w:rPr>
          <w:rFonts w:ascii="Cambria" w:hAnsi="Cambria"/>
          <w:sz w:val="24"/>
          <w:szCs w:val="24"/>
        </w:rPr>
        <w:t>,</w:t>
      </w:r>
      <w:r w:rsidRPr="00C8238A">
        <w:rPr>
          <w:rFonts w:ascii="Cambria" w:hAnsi="Cambria"/>
          <w:sz w:val="24"/>
          <w:szCs w:val="24"/>
        </w:rPr>
        <w:t xml:space="preserve"> labour input); and the final demand matrix captures expenses related to the final consumption of goods and services. The </w:t>
      </w:r>
      <w:r w:rsidRPr="00C8238A">
        <w:rPr>
          <w:rFonts w:ascii="Cambria" w:hAnsi="Cambria"/>
          <w:b/>
          <w:bCs/>
          <w:sz w:val="24"/>
          <w:szCs w:val="24"/>
        </w:rPr>
        <w:t>T</w:t>
      </w:r>
      <w:r w:rsidRPr="00C8238A">
        <w:rPr>
          <w:rFonts w:ascii="Cambria" w:hAnsi="Cambria"/>
          <w:sz w:val="24"/>
          <w:szCs w:val="24"/>
        </w:rPr>
        <w:t xml:space="preserve"> and </w:t>
      </w:r>
      <w:r w:rsidRPr="00C8238A">
        <w:rPr>
          <w:rFonts w:ascii="Cambria" w:hAnsi="Cambria"/>
          <w:b/>
          <w:bCs/>
          <w:sz w:val="24"/>
          <w:szCs w:val="24"/>
        </w:rPr>
        <w:t>Y</w:t>
      </w:r>
      <w:r w:rsidRPr="00C8238A">
        <w:rPr>
          <w:rFonts w:ascii="Cambria" w:hAnsi="Cambria"/>
          <w:sz w:val="24"/>
          <w:szCs w:val="24"/>
        </w:rPr>
        <w:t xml:space="preserve"> matrices of a MRIO </w:t>
      </w:r>
      <w:r>
        <w:rPr>
          <w:rFonts w:ascii="Cambria" w:hAnsi="Cambria"/>
          <w:sz w:val="24"/>
          <w:szCs w:val="24"/>
        </w:rPr>
        <w:t>database</w:t>
      </w:r>
      <w:r w:rsidRPr="00C8238A">
        <w:rPr>
          <w:rFonts w:ascii="Cambria" w:hAnsi="Cambria"/>
          <w:sz w:val="24"/>
          <w:szCs w:val="24"/>
        </w:rPr>
        <w:t xml:space="preserve"> harbour data on imports and exports by region and sector, for example if any of the EU member states import food from an Asian economy for further processing, then this transaction is captured in the </w:t>
      </w:r>
      <w:r w:rsidRPr="00C8238A">
        <w:rPr>
          <w:rFonts w:ascii="Cambria" w:hAnsi="Cambria"/>
          <w:b/>
          <w:bCs/>
          <w:sz w:val="24"/>
          <w:szCs w:val="24"/>
        </w:rPr>
        <w:t>T</w:t>
      </w:r>
      <w:r w:rsidRPr="00C8238A">
        <w:rPr>
          <w:rFonts w:ascii="Cambria" w:hAnsi="Cambria"/>
          <w:sz w:val="24"/>
          <w:szCs w:val="24"/>
        </w:rPr>
        <w:t xml:space="preserve"> matrix; and final consumption of a processed food item imported from the USA is captured directly in the </w:t>
      </w:r>
      <w:r w:rsidRPr="00C8238A">
        <w:rPr>
          <w:rFonts w:ascii="Cambria" w:hAnsi="Cambria"/>
          <w:b/>
          <w:bCs/>
          <w:sz w:val="24"/>
          <w:szCs w:val="24"/>
        </w:rPr>
        <w:t>Y</w:t>
      </w:r>
      <w:r w:rsidRPr="00C8238A">
        <w:rPr>
          <w:rFonts w:ascii="Cambria" w:hAnsi="Cambria"/>
          <w:sz w:val="24"/>
          <w:szCs w:val="24"/>
        </w:rPr>
        <w:t xml:space="preserve"> matrix. MRIO </w:t>
      </w:r>
      <w:r>
        <w:rPr>
          <w:rFonts w:ascii="Cambria" w:hAnsi="Cambria"/>
          <w:sz w:val="24"/>
          <w:szCs w:val="24"/>
        </w:rPr>
        <w:t>databases</w:t>
      </w:r>
      <w:r w:rsidRPr="00C8238A">
        <w:rPr>
          <w:rFonts w:ascii="Cambria" w:hAnsi="Cambria"/>
          <w:sz w:val="24"/>
          <w:szCs w:val="24"/>
        </w:rPr>
        <w:t xml:space="preserve"> there</w:t>
      </w:r>
      <w:r>
        <w:rPr>
          <w:rFonts w:ascii="Cambria" w:hAnsi="Cambria"/>
          <w:sz w:val="24"/>
          <w:szCs w:val="24"/>
        </w:rPr>
        <w:softHyphen/>
      </w:r>
      <w:r w:rsidRPr="00C8238A">
        <w:rPr>
          <w:rFonts w:ascii="Cambria" w:hAnsi="Cambria"/>
          <w:sz w:val="24"/>
          <w:szCs w:val="24"/>
        </w:rPr>
        <w:t xml:space="preserve">fore capture supply chains that originate in the </w:t>
      </w:r>
      <w:proofErr w:type="spellStart"/>
      <w:r w:rsidRPr="00C8238A">
        <w:rPr>
          <w:rFonts w:ascii="Cambria" w:hAnsi="Cambria"/>
          <w:sz w:val="24"/>
          <w:szCs w:val="24"/>
        </w:rPr>
        <w:t>RoW</w:t>
      </w:r>
      <w:proofErr w:type="spellEnd"/>
      <w:r w:rsidRPr="00C8238A">
        <w:rPr>
          <w:rFonts w:ascii="Cambria" w:hAnsi="Cambria"/>
          <w:sz w:val="24"/>
          <w:szCs w:val="24"/>
        </w:rPr>
        <w:t xml:space="preserve"> and feed into supply chains in the EU, before finally ending up with final consumers in the EU; </w:t>
      </w:r>
      <w:proofErr w:type="gramStart"/>
      <w:r w:rsidRPr="00C8238A">
        <w:rPr>
          <w:rFonts w:ascii="Cambria" w:hAnsi="Cambria"/>
          <w:sz w:val="24"/>
          <w:szCs w:val="24"/>
        </w:rPr>
        <w:t>and also</w:t>
      </w:r>
      <w:proofErr w:type="gramEnd"/>
      <w:r w:rsidRPr="00C8238A">
        <w:rPr>
          <w:rFonts w:ascii="Cambria" w:hAnsi="Cambria"/>
          <w:sz w:val="24"/>
          <w:szCs w:val="24"/>
        </w:rPr>
        <w:t xml:space="preserve"> supply chains that originate and form part of further processing in the </w:t>
      </w:r>
      <w:proofErr w:type="spellStart"/>
      <w:r w:rsidRPr="00C8238A">
        <w:rPr>
          <w:rFonts w:ascii="Cambria" w:hAnsi="Cambria"/>
          <w:sz w:val="24"/>
          <w:szCs w:val="24"/>
        </w:rPr>
        <w:t>RoW</w:t>
      </w:r>
      <w:proofErr w:type="spellEnd"/>
      <w:r w:rsidRPr="00C8238A">
        <w:rPr>
          <w:rFonts w:ascii="Cambria" w:hAnsi="Cambria"/>
          <w:sz w:val="24"/>
          <w:szCs w:val="24"/>
        </w:rPr>
        <w:t xml:space="preserve"> and end up in the EU.</w:t>
      </w:r>
      <w:r>
        <w:rPr>
          <w:rFonts w:ascii="Cambria" w:hAnsi="Cambria"/>
          <w:sz w:val="24"/>
          <w:szCs w:val="24"/>
        </w:rPr>
        <w:t xml:space="preserve"> The MRIO database used for this study is obtained from </w:t>
      </w:r>
      <w:r>
        <w:rPr>
          <w:rFonts w:ascii="Cambria" w:hAnsi="Cambria"/>
          <w:sz w:val="24"/>
          <w:szCs w:val="24"/>
        </w:rPr>
        <w:fldChar w:fldCharType="begin"/>
      </w:r>
      <w:r w:rsidR="001933E6">
        <w:rPr>
          <w:rFonts w:ascii="Cambria" w:hAnsi="Cambria"/>
          <w:sz w:val="24"/>
          <w:szCs w:val="24"/>
        </w:rPr>
        <w:instrText xml:space="preserve"> ADDIN EN.CITE &lt;EndNote&gt;&lt;Cite&gt;&lt;Author&gt;Lenzen&lt;/Author&gt;&lt;Year&gt;2021&lt;/Year&gt;&lt;RecNum&gt;3284&lt;/RecNum&gt;&lt;DisplayText&gt;(Lenzen et al., 2021)&lt;/DisplayText&gt;&lt;record&gt;&lt;rec-number&gt;3284&lt;/rec-number&gt;&lt;foreign-keys&gt;&lt;key app="EN" db-id="rtrw0rse8z9zxie05fbpfsz9z2dfaawz99df" timestamp="1635730267"&gt;3284&lt;/key&gt;&lt;/foreign-keys&gt;&lt;ref-type name="Journal Article"&gt;17&lt;/ref-type&gt;&lt;contributors&gt;&lt;authors&gt;&lt;author&gt;Lenzen, M&lt;/author&gt;&lt;author&gt;Geschke, A&lt;/author&gt;&lt;author&gt;West, J.&lt;/author&gt;&lt;author&gt;Fry, J.&lt;/author&gt;&lt;author&gt;Malik, A.&lt;/author&gt;&lt;author&gt;Giljum, S.&lt;/author&gt;&lt;author&gt;Milà i Canals, L. &lt;/author&gt;&lt;author&gt;Pinero, P.&lt;/author&gt;&lt;author&gt;Lutter, S.&lt;/author&gt;&lt;author&gt;Wiedmann, T&lt;/author&gt;&lt;author&gt;Li, M.&lt;/author&gt;&lt;author&gt;Sevenster, M.&lt;/author&gt;&lt;author&gt;Nansai, K.&lt;/author&gt;&lt;author&gt;&lt;style face="normal" font="default" size="100%"&gt;Poto&lt;/style&gt;&lt;style face="normal" font="default" charset="238" size="100%"&gt;čnik, J&lt;/style&gt;&lt;style face="normal" font="default" size="100%"&gt;.&lt;/style&gt;&lt;/author&gt;&lt;author&gt;Teixeira, I.&lt;/author&gt;&lt;author&gt;Van Voore, M. &lt;/author&gt;&lt;author&gt;Schandl, H.&lt;/author&gt;&lt;/authors&gt;&lt;/contributors&gt;&lt;titles&gt;&lt;title&gt;Implementing the Material Footprint to measure progress towards SDGs 8 and 12&lt;/title&gt;&lt;secondary-title&gt;Nature Sustainability, accepted&lt;/secondary-title&gt;&lt;/titles&gt;&lt;periodical&gt;&lt;full-title&gt;Nature Sustainability, accepted&lt;/full-title&gt;&lt;/periodical&gt;&lt;dates&gt;&lt;year&gt;2021&lt;/year&gt;&lt;/dates&gt;&lt;urls&gt;&lt;/urls&gt;&lt;/record&gt;&lt;/Cite&gt;&lt;/EndNote&gt;</w:instrText>
      </w:r>
      <w:r>
        <w:rPr>
          <w:rFonts w:ascii="Cambria" w:hAnsi="Cambria"/>
          <w:sz w:val="24"/>
          <w:szCs w:val="24"/>
        </w:rPr>
        <w:fldChar w:fldCharType="separate"/>
      </w:r>
      <w:r w:rsidR="001933E6">
        <w:rPr>
          <w:rFonts w:ascii="Cambria" w:hAnsi="Cambria"/>
          <w:noProof/>
          <w:sz w:val="24"/>
          <w:szCs w:val="24"/>
        </w:rPr>
        <w:t>(Lenzen et al., 2021)</w:t>
      </w:r>
      <w:r>
        <w:rPr>
          <w:rFonts w:ascii="Cambria" w:hAnsi="Cambria"/>
          <w:sz w:val="24"/>
          <w:szCs w:val="24"/>
        </w:rPr>
        <w:fldChar w:fldCharType="end"/>
      </w:r>
      <w:r>
        <w:rPr>
          <w:rFonts w:ascii="Cambria" w:hAnsi="Cambria"/>
          <w:sz w:val="24"/>
          <w:szCs w:val="24"/>
        </w:rPr>
        <w:t xml:space="preserve">. </w:t>
      </w:r>
    </w:p>
    <w:p w14:paraId="76000666" w14:textId="37209182" w:rsidR="004A5787" w:rsidRDefault="004A5787" w:rsidP="004A5787">
      <w:pPr>
        <w:spacing w:line="264" w:lineRule="auto"/>
        <w:jc w:val="both"/>
        <w:rPr>
          <w:rFonts w:ascii="Cambria" w:hAnsi="Cambria"/>
          <w:sz w:val="24"/>
          <w:szCs w:val="24"/>
        </w:rPr>
      </w:pPr>
      <w:r w:rsidRPr="00C8238A">
        <w:rPr>
          <w:rFonts w:ascii="Cambria" w:hAnsi="Cambria"/>
          <w:sz w:val="24"/>
          <w:szCs w:val="24"/>
          <w:lang w:eastAsia="en-AU"/>
        </w:rPr>
        <w:t xml:space="preserve">Input-output calculations proceed by calculating the total output </w:t>
      </w:r>
      <w:r w:rsidRPr="00200DE2">
        <w:rPr>
          <w:rFonts w:ascii="Cambria" w:hAnsi="Cambria"/>
          <w:b/>
          <w:bCs/>
          <w:sz w:val="24"/>
          <w:szCs w:val="24"/>
          <w:lang w:eastAsia="en-AU"/>
        </w:rPr>
        <w:t>x</w:t>
      </w:r>
      <w:r w:rsidRPr="00C8238A">
        <w:rPr>
          <w:rFonts w:ascii="Cambria" w:hAnsi="Cambria"/>
          <w:sz w:val="24"/>
          <w:szCs w:val="24"/>
          <w:lang w:eastAsia="en-AU"/>
        </w:rPr>
        <w:t xml:space="preserve"> of a</w:t>
      </w:r>
      <w:r>
        <w:rPr>
          <w:rFonts w:ascii="Cambria" w:hAnsi="Cambria"/>
          <w:sz w:val="24"/>
          <w:szCs w:val="24"/>
          <w:lang w:eastAsia="en-AU"/>
        </w:rPr>
        <w:t>n</w:t>
      </w:r>
      <w:r w:rsidRPr="00C8238A">
        <w:rPr>
          <w:rFonts w:ascii="Cambria" w:hAnsi="Cambria"/>
          <w:sz w:val="24"/>
          <w:szCs w:val="24"/>
          <w:lang w:eastAsia="en-AU"/>
        </w:rPr>
        <w:t xml:space="preserve"> MRIO </w:t>
      </w:r>
      <w:r>
        <w:rPr>
          <w:rFonts w:ascii="Cambria" w:hAnsi="Cambria"/>
          <w:sz w:val="24"/>
          <w:szCs w:val="24"/>
          <w:lang w:eastAsia="en-AU"/>
        </w:rPr>
        <w:t>database</w:t>
      </w:r>
      <w:r w:rsidRPr="00C8238A">
        <w:rPr>
          <w:rFonts w:ascii="Cambria" w:hAnsi="Cambria"/>
          <w:sz w:val="24"/>
          <w:szCs w:val="24"/>
          <w:lang w:eastAsia="en-AU"/>
        </w:rPr>
        <w:t xml:space="preserve"> by using row summation operators (i.e.</w:t>
      </w:r>
      <w:r>
        <w:rPr>
          <w:rFonts w:ascii="Cambria" w:hAnsi="Cambria"/>
          <w:sz w:val="24"/>
          <w:szCs w:val="24"/>
          <w:lang w:eastAsia="en-AU"/>
        </w:rPr>
        <w:t>,</w:t>
      </w:r>
      <w:r w:rsidRPr="00C8238A">
        <w:rPr>
          <w:rFonts w:ascii="Cambria" w:hAnsi="Cambria"/>
          <w:sz w:val="24"/>
          <w:szCs w:val="24"/>
          <w:lang w:eastAsia="en-AU"/>
        </w:rPr>
        <w:t xml:space="preserve"> summing all elements in a row to obtain a column vector): </w:t>
      </w:r>
      <m:oMath>
        <m:r>
          <m:rPr>
            <m:sty m:val="p"/>
          </m:rPr>
          <w:rPr>
            <w:rFonts w:ascii="Cambria Math" w:hAnsi="Cambria Math"/>
            <w:sz w:val="24"/>
            <w:szCs w:val="24"/>
          </w:rPr>
          <m:t>=</m:t>
        </m:r>
        <m:r>
          <m:rPr>
            <m:sty m:val="b"/>
          </m:rPr>
          <w:rPr>
            <w:rFonts w:ascii="Cambria Math" w:hAnsi="Cambria Math"/>
            <w:sz w:val="24"/>
            <w:szCs w:val="24"/>
          </w:rPr>
          <m:t>T</m:t>
        </m:r>
        <m:sSup>
          <m:sSupPr>
            <m:ctrlPr>
              <w:rPr>
                <w:rFonts w:ascii="Cambria Math" w:hAnsi="Cambria Math"/>
                <w:sz w:val="24"/>
                <w:szCs w:val="24"/>
              </w:rPr>
            </m:ctrlPr>
          </m:sSupPr>
          <m:e>
            <m:r>
              <m:rPr>
                <m:sty m:val="b"/>
              </m:rPr>
              <w:rPr>
                <w:rFonts w:ascii="Cambria Math" w:hAnsi="Cambria Math"/>
                <w:sz w:val="24"/>
                <w:szCs w:val="24"/>
              </w:rPr>
              <m:t>1</m:t>
            </m:r>
          </m:e>
          <m:sup>
            <m:r>
              <m:rPr>
                <m:sty m:val="p"/>
              </m:rPr>
              <w:rPr>
                <w:rFonts w:ascii="Cambria Math" w:hAnsi="Cambria Math"/>
                <w:sz w:val="24"/>
                <w:szCs w:val="24"/>
              </w:rPr>
              <m:t>T</m:t>
            </m:r>
          </m:sup>
        </m:sSup>
        <m:r>
          <m:rPr>
            <m:sty m:val="p"/>
          </m:rPr>
          <w:rPr>
            <w:rFonts w:ascii="Cambria Math" w:hAnsi="Cambria Math"/>
            <w:sz w:val="24"/>
            <w:szCs w:val="24"/>
          </w:rPr>
          <m:t>+</m:t>
        </m:r>
        <m:r>
          <m:rPr>
            <m:sty m:val="b"/>
          </m:rPr>
          <w:rPr>
            <w:rFonts w:ascii="Cambria Math" w:hAnsi="Cambria Math"/>
            <w:sz w:val="24"/>
            <w:szCs w:val="24"/>
          </w:rPr>
          <m:t xml:space="preserve"> y</m:t>
        </m:r>
        <m:sSup>
          <m:sSupPr>
            <m:ctrlPr>
              <w:rPr>
                <w:rFonts w:ascii="Cambria Math" w:hAnsi="Cambria Math"/>
                <w:b/>
                <w:sz w:val="24"/>
                <w:szCs w:val="24"/>
              </w:rPr>
            </m:ctrlPr>
          </m:sSupPr>
          <m:e>
            <m:r>
              <m:rPr>
                <m:sty m:val="b"/>
              </m:rPr>
              <w:rPr>
                <w:rFonts w:ascii="Cambria Math" w:hAnsi="Cambria Math"/>
                <w:sz w:val="24"/>
                <w:szCs w:val="24"/>
              </w:rPr>
              <m:t>1</m:t>
            </m:r>
          </m:e>
          <m:sup>
            <m:r>
              <m:rPr>
                <m:sty m:val="b"/>
              </m:rPr>
              <w:rPr>
                <w:rFonts w:ascii="Cambria Math" w:hAnsi="Cambria Math"/>
                <w:sz w:val="24"/>
                <w:szCs w:val="24"/>
              </w:rPr>
              <m:t>y</m:t>
            </m:r>
          </m:sup>
        </m:sSup>
      </m:oMath>
      <w:r w:rsidRPr="00C8238A">
        <w:rPr>
          <w:rFonts w:ascii="Cambria" w:hAnsi="Cambria"/>
          <w:sz w:val="24"/>
          <w:szCs w:val="24"/>
        </w:rPr>
        <w:t xml:space="preserve"> , where </w:t>
      </w:r>
      <m:oMath>
        <m:sSup>
          <m:sSupPr>
            <m:ctrlPr>
              <w:rPr>
                <w:rFonts w:ascii="Cambria Math" w:hAnsi="Cambria Math"/>
                <w:sz w:val="24"/>
                <w:szCs w:val="24"/>
              </w:rPr>
            </m:ctrlPr>
          </m:sSupPr>
          <m:e>
            <m:r>
              <m:rPr>
                <m:sty m:val="b"/>
              </m:rPr>
              <w:rPr>
                <w:rFonts w:ascii="Cambria Math" w:hAnsi="Cambria Math"/>
                <w:sz w:val="24"/>
                <w:szCs w:val="24"/>
              </w:rPr>
              <m:t>1</m:t>
            </m:r>
          </m:e>
          <m:sup>
            <m:r>
              <m:rPr>
                <m:sty m:val="p"/>
              </m:rPr>
              <w:rPr>
                <w:rFonts w:ascii="Cambria Math" w:hAnsi="Cambria Math"/>
                <w:sz w:val="24"/>
                <w:szCs w:val="24"/>
              </w:rPr>
              <m:t>T</m:t>
            </m:r>
          </m:sup>
        </m:sSup>
      </m:oMath>
      <w:r w:rsidRPr="00C8238A">
        <w:rPr>
          <w:rFonts w:ascii="Cambria" w:hAnsi="Cambria"/>
          <w:sz w:val="24"/>
          <w:szCs w:val="24"/>
        </w:rPr>
        <w:t xml:space="preserve"> is the row summation operator for the matrix </w:t>
      </w:r>
      <w:r w:rsidRPr="00C8238A">
        <w:rPr>
          <w:rFonts w:ascii="Cambria" w:hAnsi="Cambria"/>
          <w:b/>
          <w:sz w:val="24"/>
          <w:szCs w:val="24"/>
        </w:rPr>
        <w:t>T</w:t>
      </w:r>
      <w:r w:rsidRPr="00C8238A">
        <w:rPr>
          <w:rFonts w:ascii="Cambria" w:hAnsi="Cambria"/>
          <w:sz w:val="24"/>
          <w:szCs w:val="24"/>
        </w:rPr>
        <w:t xml:space="preserve">, and </w:t>
      </w:r>
      <m:oMath>
        <m:sSup>
          <m:sSupPr>
            <m:ctrlPr>
              <w:rPr>
                <w:rFonts w:ascii="Cambria Math" w:hAnsi="Cambria Math"/>
                <w:sz w:val="24"/>
                <w:szCs w:val="24"/>
              </w:rPr>
            </m:ctrlPr>
          </m:sSupPr>
          <m:e>
            <m:r>
              <m:rPr>
                <m:sty m:val="b"/>
              </m:rPr>
              <w:rPr>
                <w:rFonts w:ascii="Cambria Math" w:hAnsi="Cambria Math"/>
                <w:sz w:val="24"/>
                <w:szCs w:val="24"/>
              </w:rPr>
              <m:t>1</m:t>
            </m:r>
          </m:e>
          <m:sup>
            <m:r>
              <m:rPr>
                <m:sty m:val="p"/>
              </m:rPr>
              <w:rPr>
                <w:rFonts w:ascii="Cambria Math" w:hAnsi="Cambria Math"/>
                <w:sz w:val="24"/>
                <w:szCs w:val="24"/>
              </w:rPr>
              <m:t>y</m:t>
            </m:r>
          </m:sup>
        </m:sSup>
      </m:oMath>
      <w:r w:rsidRPr="00C8238A">
        <w:rPr>
          <w:rFonts w:ascii="Cambria" w:hAnsi="Cambria"/>
          <w:sz w:val="24"/>
          <w:szCs w:val="24"/>
        </w:rPr>
        <w:t xml:space="preserve"> the row summation operator for matrix </w:t>
      </w:r>
      <w:r w:rsidRPr="00C8238A">
        <w:rPr>
          <w:rFonts w:ascii="Cambria" w:hAnsi="Cambria"/>
          <w:b/>
          <w:sz w:val="24"/>
          <w:szCs w:val="24"/>
        </w:rPr>
        <w:t>y</w:t>
      </w:r>
      <w:r w:rsidRPr="00C8238A">
        <w:rPr>
          <w:rFonts w:ascii="Cambria" w:hAnsi="Cambria"/>
          <w:sz w:val="24"/>
          <w:szCs w:val="24"/>
        </w:rPr>
        <w:t xml:space="preserve">. Next, the direct coefficients matrix </w:t>
      </w:r>
      <w:r w:rsidRPr="00C8238A">
        <w:rPr>
          <w:rFonts w:ascii="Cambria" w:hAnsi="Cambria"/>
          <w:b/>
          <w:sz w:val="24"/>
          <w:szCs w:val="24"/>
        </w:rPr>
        <w:t>A</w:t>
      </w:r>
      <w:r w:rsidRPr="00C8238A">
        <w:rPr>
          <w:rFonts w:ascii="Cambria" w:hAnsi="Cambria"/>
          <w:sz w:val="24"/>
          <w:szCs w:val="24"/>
        </w:rPr>
        <w:t xml:space="preserve"> (inputs needed to produce 1$ of output of a sector) is calculated using </w:t>
      </w:r>
      <m:oMath>
        <m:r>
          <m:rPr>
            <m:sty m:val="b"/>
          </m:rPr>
          <w:rPr>
            <w:rFonts w:ascii="Cambria Math" w:eastAsia="Times New Roman" w:hAnsi="Cambria Math"/>
            <w:sz w:val="24"/>
            <w:szCs w:val="24"/>
          </w:rPr>
          <m:t>A</m:t>
        </m:r>
        <m:r>
          <m:rPr>
            <m:sty m:val="p"/>
          </m:rPr>
          <w:rPr>
            <w:rFonts w:ascii="Cambria Math" w:eastAsia="Times New Roman" w:hAnsi="Cambria Math"/>
            <w:sz w:val="24"/>
            <w:szCs w:val="24"/>
          </w:rPr>
          <m:t>=</m:t>
        </m:r>
        <m:r>
          <m:rPr>
            <m:sty m:val="b"/>
          </m:rPr>
          <w:rPr>
            <w:rFonts w:ascii="Cambria Math" w:eastAsia="Times New Roman" w:hAnsi="Cambria Math"/>
            <w:sz w:val="24"/>
            <w:szCs w:val="24"/>
          </w:rPr>
          <m:t>T</m:t>
        </m:r>
        <m:sSup>
          <m:sSupPr>
            <m:ctrlPr>
              <w:rPr>
                <w:rFonts w:ascii="Cambria Math" w:eastAsia="Times New Roman" w:hAnsi="Cambria Math"/>
                <w:sz w:val="24"/>
                <w:szCs w:val="24"/>
              </w:rPr>
            </m:ctrlPr>
          </m:sSupPr>
          <m:e>
            <m:acc>
              <m:accPr>
                <m:ctrlPr>
                  <w:rPr>
                    <w:rFonts w:ascii="Cambria Math" w:eastAsia="Times New Roman" w:hAnsi="Cambria Math"/>
                    <w:sz w:val="24"/>
                    <w:szCs w:val="24"/>
                  </w:rPr>
                </m:ctrlPr>
              </m:accPr>
              <m:e>
                <m:r>
                  <m:rPr>
                    <m:sty m:val="b"/>
                  </m:rPr>
                  <w:rPr>
                    <w:rFonts w:ascii="Cambria Math" w:eastAsia="Times New Roman" w:hAnsi="Cambria Math"/>
                    <w:sz w:val="24"/>
                    <w:szCs w:val="24"/>
                  </w:rPr>
                  <m:t>x</m:t>
                </m:r>
              </m:e>
            </m:acc>
          </m:e>
          <m:sup>
            <m:r>
              <m:rPr>
                <m:sty m:val="p"/>
              </m:rPr>
              <w:rPr>
                <w:rFonts w:ascii="Cambria Math" w:eastAsia="Times New Roman" w:hAnsi="Cambria Math"/>
                <w:sz w:val="24"/>
                <w:szCs w:val="24"/>
              </w:rPr>
              <m:t>-1</m:t>
            </m:r>
          </m:sup>
        </m:sSup>
      </m:oMath>
      <w:r w:rsidRPr="00C8238A">
        <w:rPr>
          <w:rFonts w:ascii="Cambria" w:hAnsi="Cambria"/>
          <w:sz w:val="24"/>
          <w:szCs w:val="24"/>
        </w:rPr>
        <w:t xml:space="preserve">, where </w:t>
      </w:r>
      <m:oMath>
        <m:sSup>
          <m:sSupPr>
            <m:ctrlPr>
              <w:rPr>
                <w:rFonts w:ascii="Cambria Math" w:eastAsia="Times New Roman" w:hAnsi="Cambria Math"/>
                <w:sz w:val="24"/>
                <w:szCs w:val="24"/>
              </w:rPr>
            </m:ctrlPr>
          </m:sSupPr>
          <m:e>
            <m:acc>
              <m:accPr>
                <m:ctrlPr>
                  <w:rPr>
                    <w:rFonts w:ascii="Cambria Math" w:eastAsia="Times New Roman" w:hAnsi="Cambria Math"/>
                    <w:sz w:val="24"/>
                    <w:szCs w:val="24"/>
                  </w:rPr>
                </m:ctrlPr>
              </m:accPr>
              <m:e>
                <m:r>
                  <m:rPr>
                    <m:sty m:val="b"/>
                  </m:rPr>
                  <w:rPr>
                    <w:rFonts w:ascii="Cambria Math" w:eastAsia="Times New Roman" w:hAnsi="Cambria Math"/>
                    <w:sz w:val="24"/>
                    <w:szCs w:val="24"/>
                  </w:rPr>
                  <m:t>x</m:t>
                </m:r>
              </m:e>
            </m:acc>
          </m:e>
          <m:sup>
            <m:r>
              <m:rPr>
                <m:sty m:val="p"/>
              </m:rPr>
              <w:rPr>
                <w:rFonts w:ascii="Cambria Math" w:eastAsia="Times New Roman" w:hAnsi="Cambria Math"/>
                <w:sz w:val="24"/>
                <w:szCs w:val="24"/>
              </w:rPr>
              <m:t>-1</m:t>
            </m:r>
          </m:sup>
        </m:sSup>
      </m:oMath>
      <w:r w:rsidRPr="00C8238A">
        <w:rPr>
          <w:rFonts w:ascii="Cambria" w:hAnsi="Cambria"/>
          <w:sz w:val="24"/>
          <w:szCs w:val="24"/>
        </w:rPr>
        <w:t xml:space="preserve"> is the inverse of the diagonal total output vector </w:t>
      </w:r>
      <w:r w:rsidRPr="00C8238A">
        <w:rPr>
          <w:rFonts w:ascii="Cambria" w:hAnsi="Cambria"/>
          <w:b/>
          <w:sz w:val="24"/>
          <w:szCs w:val="24"/>
        </w:rPr>
        <w:t>x</w:t>
      </w:r>
      <w:r w:rsidRPr="00C8238A">
        <w:rPr>
          <w:rFonts w:ascii="Cambria" w:hAnsi="Cambria"/>
          <w:sz w:val="24"/>
          <w:szCs w:val="24"/>
        </w:rPr>
        <w:t xml:space="preserve">. We integrate a new matrix – </w:t>
      </w:r>
      <w:r w:rsidRPr="00C8238A">
        <w:rPr>
          <w:rFonts w:ascii="Cambria" w:hAnsi="Cambria"/>
          <w:b/>
          <w:bCs/>
          <w:sz w:val="24"/>
          <w:szCs w:val="24"/>
        </w:rPr>
        <w:t>Q</w:t>
      </w:r>
      <w:r w:rsidRPr="00C8238A">
        <w:rPr>
          <w:rFonts w:ascii="Cambria" w:hAnsi="Cambria"/>
          <w:sz w:val="24"/>
          <w:szCs w:val="24"/>
        </w:rPr>
        <w:t xml:space="preserve"> (physical ac</w:t>
      </w:r>
      <w:r>
        <w:rPr>
          <w:rFonts w:ascii="Cambria" w:hAnsi="Cambria"/>
          <w:sz w:val="24"/>
          <w:szCs w:val="24"/>
        </w:rPr>
        <w:softHyphen/>
      </w:r>
      <w:r w:rsidRPr="00C8238A">
        <w:rPr>
          <w:rFonts w:ascii="Cambria" w:hAnsi="Cambria"/>
          <w:sz w:val="24"/>
          <w:szCs w:val="24"/>
        </w:rPr>
        <w:t>counts)</w:t>
      </w:r>
      <w:r>
        <w:rPr>
          <w:rFonts w:ascii="Cambria" w:hAnsi="Cambria"/>
          <w:sz w:val="24"/>
          <w:szCs w:val="24"/>
        </w:rPr>
        <w:t xml:space="preserve"> </w:t>
      </w:r>
      <w:r w:rsidRPr="00C8238A">
        <w:rPr>
          <w:rFonts w:ascii="Cambria" w:hAnsi="Cambria"/>
          <w:sz w:val="24"/>
          <w:szCs w:val="24"/>
        </w:rPr>
        <w:t xml:space="preserve">– with the economic input system. This matrix is essential for </w:t>
      </w:r>
      <w:r>
        <w:rPr>
          <w:rFonts w:ascii="Cambria" w:hAnsi="Cambria"/>
          <w:sz w:val="24"/>
          <w:szCs w:val="24"/>
        </w:rPr>
        <w:t>featuring</w:t>
      </w:r>
      <w:r w:rsidRPr="00C8238A">
        <w:rPr>
          <w:rFonts w:ascii="Cambria" w:hAnsi="Cambria"/>
          <w:sz w:val="24"/>
          <w:szCs w:val="24"/>
        </w:rPr>
        <w:t xml:space="preserve"> data on environmental, </w:t>
      </w:r>
      <w:proofErr w:type="gramStart"/>
      <w:r w:rsidRPr="00C8238A">
        <w:rPr>
          <w:rFonts w:ascii="Cambria" w:hAnsi="Cambria"/>
          <w:sz w:val="24"/>
          <w:szCs w:val="24"/>
        </w:rPr>
        <w:t>social</w:t>
      </w:r>
      <w:proofErr w:type="gramEnd"/>
      <w:r w:rsidRPr="00C8238A">
        <w:rPr>
          <w:rFonts w:ascii="Cambria" w:hAnsi="Cambria"/>
          <w:sz w:val="24"/>
          <w:szCs w:val="24"/>
        </w:rPr>
        <w:t xml:space="preserve"> and economic indicators into an economic dataset. Each row of the </w:t>
      </w:r>
      <w:r w:rsidRPr="00C8238A">
        <w:rPr>
          <w:rFonts w:ascii="Cambria" w:hAnsi="Cambria"/>
          <w:b/>
          <w:bCs/>
          <w:sz w:val="24"/>
          <w:szCs w:val="24"/>
        </w:rPr>
        <w:t>Q</w:t>
      </w:r>
      <w:r w:rsidRPr="00C8238A">
        <w:rPr>
          <w:rFonts w:ascii="Cambria" w:hAnsi="Cambria"/>
          <w:sz w:val="24"/>
          <w:szCs w:val="24"/>
        </w:rPr>
        <w:t xml:space="preserve"> matrix holds data on a specific indicator. </w:t>
      </w:r>
      <w:r>
        <w:rPr>
          <w:rFonts w:ascii="Cambria" w:hAnsi="Cambria"/>
          <w:sz w:val="24"/>
          <w:szCs w:val="24"/>
        </w:rPr>
        <w:t xml:space="preserve">This study features data on </w:t>
      </w:r>
      <w:r w:rsidRPr="00C8238A">
        <w:rPr>
          <w:rFonts w:ascii="Cambria" w:hAnsi="Cambria"/>
          <w:sz w:val="24"/>
          <w:szCs w:val="24"/>
          <w:lang w:eastAsia="en-AU"/>
        </w:rPr>
        <w:t xml:space="preserve">seven distinct indicators: </w:t>
      </w:r>
      <w:r w:rsidRPr="00C8238A">
        <w:rPr>
          <w:rFonts w:ascii="Cambria" w:hAnsi="Cambria" w:cs="Times New Roman"/>
          <w:sz w:val="24"/>
          <w:szCs w:val="24"/>
        </w:rPr>
        <w:t>carbon dioxide (CO</w:t>
      </w:r>
      <w:r w:rsidRPr="00C8238A">
        <w:rPr>
          <w:rFonts w:ascii="Cambria" w:hAnsi="Cambria" w:cs="Times New Roman"/>
          <w:sz w:val="24"/>
          <w:szCs w:val="24"/>
          <w:vertAlign w:val="subscript"/>
        </w:rPr>
        <w:t>2</w:t>
      </w:r>
      <w:r w:rsidRPr="00C8238A">
        <w:rPr>
          <w:rFonts w:ascii="Cambria" w:hAnsi="Cambria" w:cs="Times New Roman"/>
          <w:sz w:val="24"/>
          <w:szCs w:val="24"/>
        </w:rPr>
        <w:t>), sulphur dioxide (SO</w:t>
      </w:r>
      <w:r w:rsidRPr="00C8238A">
        <w:rPr>
          <w:rFonts w:ascii="Cambria" w:hAnsi="Cambria" w:cs="Times New Roman"/>
          <w:sz w:val="24"/>
          <w:szCs w:val="24"/>
          <w:vertAlign w:val="subscript"/>
        </w:rPr>
        <w:t>2</w:t>
      </w:r>
      <w:r w:rsidRPr="00C8238A">
        <w:rPr>
          <w:rFonts w:ascii="Cambria" w:hAnsi="Cambria" w:cs="Times New Roman"/>
          <w:sz w:val="24"/>
          <w:szCs w:val="24"/>
        </w:rPr>
        <w:t>), nitrous oxide (NO</w:t>
      </w:r>
      <w:r>
        <w:rPr>
          <w:rFonts w:ascii="Cambria" w:hAnsi="Cambria" w:cs="Times New Roman"/>
          <w:sz w:val="24"/>
          <w:szCs w:val="24"/>
          <w:vertAlign w:val="subscript"/>
        </w:rPr>
        <w:t>X</w:t>
      </w:r>
      <w:r w:rsidRPr="00C8238A">
        <w:rPr>
          <w:rFonts w:ascii="Cambria" w:hAnsi="Cambria" w:cs="Times New Roman"/>
          <w:sz w:val="24"/>
          <w:szCs w:val="24"/>
        </w:rPr>
        <w:t>), particulate matter (PM), land, employment</w:t>
      </w:r>
      <w:r>
        <w:rPr>
          <w:rFonts w:ascii="Cambria" w:hAnsi="Cambria" w:cs="Times New Roman"/>
          <w:sz w:val="24"/>
          <w:szCs w:val="24"/>
        </w:rPr>
        <w:t>,</w:t>
      </w:r>
      <w:r w:rsidRPr="00C8238A">
        <w:rPr>
          <w:rFonts w:ascii="Cambria" w:hAnsi="Cambria" w:cs="Times New Roman"/>
          <w:sz w:val="24"/>
          <w:szCs w:val="24"/>
        </w:rPr>
        <w:t xml:space="preserve"> and income, taken from</w:t>
      </w:r>
      <w:r>
        <w:rPr>
          <w:rFonts w:ascii="Cambria" w:hAnsi="Cambria" w:cs="Times New Roman"/>
          <w:sz w:val="24"/>
          <w:szCs w:val="24"/>
        </w:rPr>
        <w:t xml:space="preserve"> the Hotspot Analysis Tool for Sustainable Consumption and Production (</w:t>
      </w:r>
      <w:r w:rsidRPr="00C8238A">
        <w:rPr>
          <w:rFonts w:ascii="Cambria" w:hAnsi="Cambria" w:cs="Times New Roman"/>
          <w:sz w:val="24"/>
          <w:szCs w:val="24"/>
        </w:rPr>
        <w:fldChar w:fldCharType="begin"/>
      </w:r>
      <w:r>
        <w:rPr>
          <w:rFonts w:ascii="Cambria" w:hAnsi="Cambria" w:cs="Times New Roman"/>
          <w:sz w:val="24"/>
          <w:szCs w:val="24"/>
        </w:rPr>
        <w:instrText xml:space="preserve"> ADDIN EN.CITE &lt;EndNote&gt;&lt;Cite AuthorYear="1"&gt;&lt;Author&gt;SCP-HAT&lt;/Author&gt;&lt;Year&gt;2021&lt;/Year&gt;&lt;RecNum&gt;3285&lt;/RecNum&gt;&lt;DisplayText&gt;SCP-HAT (2021)&lt;/DisplayText&gt;&lt;record&gt;&lt;rec-number&gt;3285&lt;/rec-number&gt;&lt;foreign-keys&gt;&lt;key app="EN" db-id="rtrw0rse8z9zxie05fbpfsz9z2dfaawz99df" timestamp="1635735905"&gt;3285&lt;/key&gt;&lt;/foreign-keys&gt;&lt;ref-type name="Book"&gt;6&lt;/ref-type&gt;&lt;contributors&gt;&lt;authors&gt;&lt;author&gt;SCP-HAT,&lt;/author&gt;&lt;/authors&gt;&lt;/contributors&gt;&lt;titles&gt;&lt;title&gt;Hotspot analysis tool for sustainable consumption and production: http://scp-hat.lifecycleinitiative.org/&lt;/title&gt;&lt;/titles&gt;&lt;dates&gt;&lt;year&gt;2021&lt;/year&gt;&lt;/dates&gt;&lt;urls&gt;&lt;related-urls&gt;&lt;url&gt;http://scp-hat.lifecycleinitiative.org/&lt;/url&gt;&lt;/related-urls&gt;&lt;/urls&gt;&lt;/record&gt;&lt;/Cite&gt;&lt;/EndNote&gt;</w:instrText>
      </w:r>
      <w:r w:rsidRPr="00C8238A">
        <w:rPr>
          <w:rFonts w:ascii="Cambria" w:hAnsi="Cambria" w:cs="Times New Roman"/>
          <w:sz w:val="24"/>
          <w:szCs w:val="24"/>
        </w:rPr>
        <w:fldChar w:fldCharType="separate"/>
      </w:r>
      <w:r w:rsidRPr="00C8238A">
        <w:rPr>
          <w:rFonts w:ascii="Cambria" w:hAnsi="Cambria" w:cs="Times New Roman"/>
          <w:noProof/>
          <w:sz w:val="24"/>
          <w:szCs w:val="24"/>
        </w:rPr>
        <w:t>SCP-HAT (2021)</w:t>
      </w:r>
      <w:r w:rsidRPr="00C8238A">
        <w:rPr>
          <w:rFonts w:ascii="Cambria" w:hAnsi="Cambria" w:cs="Times New Roman"/>
          <w:sz w:val="24"/>
          <w:szCs w:val="24"/>
        </w:rPr>
        <w:fldChar w:fldCharType="end"/>
      </w:r>
      <w:r>
        <w:rPr>
          <w:rFonts w:ascii="Cambria" w:hAnsi="Cambria" w:cs="Times New Roman"/>
          <w:sz w:val="24"/>
          <w:szCs w:val="24"/>
        </w:rPr>
        <w:t xml:space="preserve">). Further details on the construction of these indicators are provided in the “Measuring </w:t>
      </w:r>
      <w:proofErr w:type="spellStart"/>
      <w:r>
        <w:rPr>
          <w:rFonts w:ascii="Cambria" w:hAnsi="Cambria" w:cs="Times New Roman"/>
          <w:sz w:val="24"/>
          <w:szCs w:val="24"/>
        </w:rPr>
        <w:t>Spillovers</w:t>
      </w:r>
      <w:proofErr w:type="spellEnd"/>
      <w:r>
        <w:rPr>
          <w:rFonts w:ascii="Cambria" w:hAnsi="Cambria" w:cs="Times New Roman"/>
          <w:sz w:val="24"/>
          <w:szCs w:val="24"/>
        </w:rPr>
        <w:t>” section of the article.</w:t>
      </w:r>
    </w:p>
    <w:p w14:paraId="7A02706F" w14:textId="1DC695EB" w:rsidR="004A5787" w:rsidRDefault="004A5787" w:rsidP="004A5787">
      <w:pPr>
        <w:spacing w:line="264" w:lineRule="auto"/>
        <w:jc w:val="both"/>
        <w:rPr>
          <w:rFonts w:ascii="Cambria" w:hAnsi="Cambria"/>
          <w:bCs/>
          <w:sz w:val="24"/>
          <w:szCs w:val="24"/>
        </w:rPr>
      </w:pPr>
      <w:r w:rsidRPr="00C8238A">
        <w:rPr>
          <w:rFonts w:ascii="Cambria" w:hAnsi="Cambria"/>
          <w:sz w:val="24"/>
          <w:szCs w:val="24"/>
        </w:rPr>
        <w:t xml:space="preserve">The direct intensities matrix </w:t>
      </w:r>
      <w:r w:rsidRPr="00200DE2">
        <w:rPr>
          <w:rFonts w:ascii="Cambria" w:hAnsi="Cambria"/>
          <w:b/>
          <w:bCs/>
          <w:sz w:val="24"/>
          <w:szCs w:val="24"/>
        </w:rPr>
        <w:t>q</w:t>
      </w:r>
      <w:r w:rsidRPr="00C8238A">
        <w:rPr>
          <w:rFonts w:ascii="Cambria" w:hAnsi="Cambria"/>
          <w:sz w:val="24"/>
          <w:szCs w:val="24"/>
        </w:rPr>
        <w:t xml:space="preserve"> (impacts per dollar of output </w:t>
      </w:r>
      <w:r w:rsidRPr="00200DE2">
        <w:rPr>
          <w:rFonts w:ascii="Cambria" w:hAnsi="Cambria"/>
          <w:b/>
          <w:bCs/>
          <w:sz w:val="24"/>
          <w:szCs w:val="24"/>
        </w:rPr>
        <w:t>x</w:t>
      </w:r>
      <w:r w:rsidRPr="00C8238A">
        <w:rPr>
          <w:rFonts w:ascii="Cambria" w:hAnsi="Cambria"/>
          <w:sz w:val="24"/>
          <w:szCs w:val="24"/>
        </w:rPr>
        <w:t xml:space="preserve">) is calculated as: </w:t>
      </w:r>
      <m:oMath>
        <m:r>
          <m:rPr>
            <m:sty m:val="p"/>
          </m:rPr>
          <w:rPr>
            <w:rFonts w:ascii="Cambria Math" w:eastAsia="Times New Roman" w:hAnsi="Cambria Math"/>
            <w:sz w:val="24"/>
            <w:szCs w:val="24"/>
          </w:rPr>
          <m:t>=</m:t>
        </m:r>
        <m:r>
          <m:rPr>
            <m:sty m:val="b"/>
          </m:rPr>
          <w:rPr>
            <w:rFonts w:ascii="Cambria Math" w:eastAsia="Times New Roman" w:hAnsi="Cambria Math"/>
            <w:sz w:val="24"/>
            <w:szCs w:val="24"/>
          </w:rPr>
          <m:t>Q</m:t>
        </m:r>
        <m:sSup>
          <m:sSupPr>
            <m:ctrlPr>
              <w:rPr>
                <w:rFonts w:ascii="Cambria Math" w:eastAsia="Times New Roman" w:hAnsi="Cambria Math"/>
                <w:sz w:val="24"/>
                <w:szCs w:val="24"/>
              </w:rPr>
            </m:ctrlPr>
          </m:sSupPr>
          <m:e>
            <m:acc>
              <m:accPr>
                <m:ctrlPr>
                  <w:rPr>
                    <w:rFonts w:ascii="Cambria Math" w:eastAsia="Times New Roman" w:hAnsi="Cambria Math"/>
                    <w:sz w:val="24"/>
                    <w:szCs w:val="24"/>
                  </w:rPr>
                </m:ctrlPr>
              </m:accPr>
              <m:e>
                <m:r>
                  <m:rPr>
                    <m:sty m:val="b"/>
                  </m:rPr>
                  <w:rPr>
                    <w:rFonts w:ascii="Cambria Math" w:eastAsia="Times New Roman" w:hAnsi="Cambria Math"/>
                    <w:sz w:val="24"/>
                    <w:szCs w:val="24"/>
                  </w:rPr>
                  <m:t>x</m:t>
                </m:r>
              </m:e>
            </m:acc>
          </m:e>
          <m:sup>
            <m:r>
              <m:rPr>
                <m:sty m:val="p"/>
              </m:rPr>
              <w:rPr>
                <w:rFonts w:ascii="Cambria Math" w:eastAsia="Times New Roman" w:hAnsi="Cambria Math"/>
                <w:sz w:val="24"/>
                <w:szCs w:val="24"/>
              </w:rPr>
              <m:t>-1</m:t>
            </m:r>
          </m:sup>
        </m:sSup>
      </m:oMath>
      <w:r w:rsidRPr="00C8238A">
        <w:rPr>
          <w:rFonts w:ascii="Cambria" w:hAnsi="Cambria"/>
          <w:sz w:val="24"/>
          <w:szCs w:val="24"/>
        </w:rPr>
        <w:t xml:space="preserve"> . The power of input-output analysis lies in the ability to capture all upstream supply chains using a</w:t>
      </w:r>
      <w:r>
        <w:rPr>
          <w:rFonts w:ascii="Cambria" w:hAnsi="Cambria"/>
          <w:sz w:val="24"/>
          <w:szCs w:val="24"/>
        </w:rPr>
        <w:t xml:space="preserve"> total requirements</w:t>
      </w:r>
      <w:r w:rsidRPr="00C8238A">
        <w:rPr>
          <w:rFonts w:ascii="Cambria" w:hAnsi="Cambria"/>
          <w:sz w:val="24"/>
          <w:szCs w:val="24"/>
        </w:rPr>
        <w:t xml:space="preserve"> matrix </w:t>
      </w:r>
      <m:oMath>
        <m:r>
          <m:rPr>
            <m:sty m:val="b"/>
          </m:rPr>
          <w:rPr>
            <w:rFonts w:ascii="Cambria Math" w:eastAsia="Times New Roman" w:hAnsi="Cambria Math"/>
            <w:sz w:val="24"/>
            <w:szCs w:val="24"/>
          </w:rPr>
          <m:t>L</m:t>
        </m:r>
        <m:r>
          <m:rPr>
            <m:sty m:val="p"/>
          </m:rPr>
          <w:rPr>
            <w:rFonts w:ascii="Cambria Math" w:eastAsia="Times New Roman" w:hAnsi="Cambria Math"/>
            <w:sz w:val="24"/>
            <w:szCs w:val="24"/>
          </w:rPr>
          <m:t>=</m:t>
        </m:r>
        <m:sSup>
          <m:sSupPr>
            <m:ctrlPr>
              <w:rPr>
                <w:rFonts w:ascii="Cambria Math" w:eastAsia="Times New Roman" w:hAnsi="Cambria Math"/>
                <w:b/>
                <w:sz w:val="24"/>
                <w:szCs w:val="24"/>
              </w:rPr>
            </m:ctrlPr>
          </m:sSupPr>
          <m:e>
            <m:r>
              <m:rPr>
                <m:sty m:val="bi"/>
              </m:rPr>
              <w:rPr>
                <w:rFonts w:ascii="Cambria Math" w:eastAsia="Times New Roman" w:hAnsi="Cambria Math"/>
                <w:sz w:val="24"/>
                <w:szCs w:val="24"/>
              </w:rPr>
              <m:t>(</m:t>
            </m:r>
            <m:r>
              <m:rPr>
                <m:sty m:val="b"/>
              </m:rPr>
              <w:rPr>
                <w:rFonts w:ascii="Cambria Math" w:eastAsia="Times New Roman" w:hAnsi="Cambria Math"/>
                <w:sz w:val="24"/>
                <w:szCs w:val="24"/>
              </w:rPr>
              <m:t>I</m:t>
            </m:r>
            <m:r>
              <m:rPr>
                <m:sty m:val="bi"/>
              </m:rPr>
              <w:rPr>
                <w:rFonts w:ascii="Cambria Math" w:eastAsia="Times New Roman" w:hAnsi="Cambria Math"/>
                <w:sz w:val="24"/>
                <w:szCs w:val="24"/>
              </w:rPr>
              <m:t>-</m:t>
            </m:r>
            <m:r>
              <m:rPr>
                <m:sty m:val="b"/>
              </m:rPr>
              <w:rPr>
                <w:rFonts w:ascii="Cambria Math" w:eastAsia="Times New Roman" w:hAnsi="Cambria Math"/>
                <w:sz w:val="24"/>
                <w:szCs w:val="24"/>
              </w:rPr>
              <m:t>A</m:t>
            </m:r>
            <m:r>
              <m:rPr>
                <m:sty m:val="bi"/>
              </m:rPr>
              <w:rPr>
                <w:rFonts w:ascii="Cambria Math" w:eastAsia="Times New Roman" w:hAnsi="Cambria Math"/>
                <w:sz w:val="24"/>
                <w:szCs w:val="24"/>
              </w:rPr>
              <m:t>)</m:t>
            </m:r>
          </m:e>
          <m:sup>
            <m:r>
              <m:rPr>
                <m:sty m:val="p"/>
              </m:rPr>
              <w:rPr>
                <w:rFonts w:ascii="Cambria Math" w:eastAsia="Times New Roman" w:hAnsi="Cambria Math"/>
                <w:sz w:val="24"/>
                <w:szCs w:val="24"/>
              </w:rPr>
              <m:t>-1</m:t>
            </m:r>
          </m:sup>
        </m:sSup>
      </m:oMath>
      <w:r w:rsidRPr="00C8238A">
        <w:rPr>
          <w:rFonts w:ascii="Cambria" w:hAnsi="Cambria"/>
          <w:sz w:val="24"/>
          <w:szCs w:val="24"/>
        </w:rPr>
        <w:t xml:space="preserve">. The matrix </w:t>
      </w:r>
      <w:r w:rsidRPr="00C8238A">
        <w:rPr>
          <w:rFonts w:ascii="Cambria" w:hAnsi="Cambria"/>
          <w:b/>
          <w:sz w:val="24"/>
          <w:szCs w:val="24"/>
        </w:rPr>
        <w:t>L</w:t>
      </w:r>
      <w:r w:rsidRPr="00C8238A">
        <w:rPr>
          <w:rFonts w:ascii="Cambria" w:hAnsi="Cambria"/>
          <w:sz w:val="24"/>
          <w:szCs w:val="24"/>
        </w:rPr>
        <w:t xml:space="preserve"> can be used to calculate the total intensities </w:t>
      </w:r>
      <m:oMath>
        <m:r>
          <m:rPr>
            <m:sty m:val="b"/>
          </m:rPr>
          <w:rPr>
            <w:rFonts w:ascii="Cambria Math" w:eastAsia="Times New Roman" w:hAnsi="Cambria Math"/>
            <w:sz w:val="24"/>
            <w:szCs w:val="24"/>
          </w:rPr>
          <m:t>m</m:t>
        </m:r>
        <m:r>
          <m:rPr>
            <m:sty m:val="p"/>
          </m:rPr>
          <w:rPr>
            <w:rFonts w:ascii="Cambria Math" w:eastAsia="Times New Roman" w:hAnsi="Cambria Math"/>
            <w:sz w:val="24"/>
            <w:szCs w:val="24"/>
          </w:rPr>
          <m:t>=</m:t>
        </m:r>
        <m:r>
          <m:rPr>
            <m:sty m:val="b"/>
          </m:rPr>
          <w:rPr>
            <w:rFonts w:ascii="Cambria Math" w:eastAsia="Times New Roman" w:hAnsi="Cambria Math"/>
            <w:sz w:val="24"/>
            <w:szCs w:val="24"/>
          </w:rPr>
          <m:t>qL</m:t>
        </m:r>
      </m:oMath>
      <w:r w:rsidRPr="00C8238A">
        <w:rPr>
          <w:rFonts w:ascii="Cambria" w:hAnsi="Cambria"/>
          <w:sz w:val="24"/>
          <w:szCs w:val="24"/>
        </w:rPr>
        <w:t>. The total intensities hold information on b</w:t>
      </w:r>
      <w:proofErr w:type="spellStart"/>
      <w:r w:rsidRPr="00C8238A">
        <w:rPr>
          <w:rFonts w:ascii="Cambria" w:hAnsi="Cambria"/>
          <w:sz w:val="24"/>
          <w:szCs w:val="24"/>
        </w:rPr>
        <w:t>oth</w:t>
      </w:r>
      <w:proofErr w:type="spellEnd"/>
      <w:r w:rsidRPr="00C8238A">
        <w:rPr>
          <w:rFonts w:ascii="Cambria" w:hAnsi="Cambria"/>
          <w:sz w:val="24"/>
          <w:szCs w:val="24"/>
        </w:rPr>
        <w:t xml:space="preserve"> the direct and indirect impacts (e.g.</w:t>
      </w:r>
      <w:r>
        <w:rPr>
          <w:rFonts w:ascii="Cambria" w:hAnsi="Cambria"/>
          <w:sz w:val="24"/>
          <w:szCs w:val="24"/>
        </w:rPr>
        <w:t>,</w:t>
      </w:r>
      <w:r w:rsidRPr="00C8238A">
        <w:rPr>
          <w:rFonts w:ascii="Cambria" w:hAnsi="Cambria"/>
          <w:sz w:val="24"/>
          <w:szCs w:val="24"/>
        </w:rPr>
        <w:t xml:space="preserve"> in kg CO</w:t>
      </w:r>
      <w:r w:rsidRPr="00C8238A">
        <w:rPr>
          <w:rFonts w:ascii="Cambria" w:hAnsi="Cambria"/>
          <w:sz w:val="24"/>
          <w:szCs w:val="24"/>
          <w:vertAlign w:val="subscript"/>
        </w:rPr>
        <w:t>2</w:t>
      </w:r>
      <w:r w:rsidRPr="00C8238A">
        <w:rPr>
          <w:rFonts w:ascii="Cambria" w:hAnsi="Cambria"/>
          <w:sz w:val="24"/>
          <w:szCs w:val="24"/>
        </w:rPr>
        <w:t>e) em</w:t>
      </w:r>
      <w:r>
        <w:rPr>
          <w:rFonts w:ascii="Cambria" w:hAnsi="Cambria"/>
          <w:sz w:val="24"/>
          <w:szCs w:val="24"/>
        </w:rPr>
        <w:softHyphen/>
      </w:r>
      <w:r w:rsidRPr="00C8238A">
        <w:rPr>
          <w:rFonts w:ascii="Cambria" w:hAnsi="Cambria"/>
          <w:sz w:val="24"/>
          <w:szCs w:val="24"/>
        </w:rPr>
        <w:t xml:space="preserve">bodied in 1$ of final demand/final consumption of a commodity. The impacts embodied in the food products bought by the EU can be calculated by taking the final demand of crops, livestock, aquaculture, meat and fish </w:t>
      </w:r>
      <w:r w:rsidRPr="00C8238A">
        <w:rPr>
          <w:rFonts w:ascii="Cambria" w:hAnsi="Cambria"/>
          <w:sz w:val="24"/>
          <w:szCs w:val="24"/>
        </w:rPr>
        <w:lastRenderedPageBreak/>
        <w:t>products, cereal-based products, food crop products, cocoa, chocolate, sugar, oil and fats, dairy products, alcoholic and other bever</w:t>
      </w:r>
      <w:r>
        <w:rPr>
          <w:rFonts w:ascii="Cambria" w:hAnsi="Cambria"/>
          <w:sz w:val="24"/>
          <w:szCs w:val="24"/>
        </w:rPr>
        <w:softHyphen/>
      </w:r>
      <w:r w:rsidRPr="00C8238A">
        <w:rPr>
          <w:rFonts w:ascii="Cambria" w:hAnsi="Cambria"/>
          <w:sz w:val="24"/>
          <w:szCs w:val="24"/>
        </w:rPr>
        <w:t xml:space="preserve">ages and tobacco products by each of the 27 EU member states. This specific final demand vectors for each EU country </w:t>
      </w:r>
      <m:oMath>
        <m:sSub>
          <m:sSubPr>
            <m:ctrlPr>
              <w:rPr>
                <w:rFonts w:ascii="Cambria Math" w:eastAsia="Times New Roman" w:hAnsi="Cambria Math"/>
                <w:sz w:val="24"/>
                <w:szCs w:val="24"/>
              </w:rPr>
            </m:ctrlPr>
          </m:sSubPr>
          <m:e>
            <m:r>
              <m:rPr>
                <m:sty m:val="b"/>
              </m:rPr>
              <w:rPr>
                <w:rFonts w:ascii="Cambria Math" w:eastAsia="Times New Roman" w:hAnsi="Cambria Math"/>
                <w:sz w:val="24"/>
                <w:szCs w:val="24"/>
              </w:rPr>
              <m:t>y</m:t>
            </m:r>
          </m:e>
          <m:sub>
            <m:r>
              <m:rPr>
                <m:sty m:val="p"/>
              </m:rPr>
              <w:rPr>
                <w:rFonts w:ascii="Cambria Math" w:eastAsia="Times New Roman" w:hAnsi="Cambria Math"/>
                <w:sz w:val="24"/>
                <w:szCs w:val="24"/>
              </w:rPr>
              <m:t>EU_c_food</m:t>
            </m:r>
          </m:sub>
        </m:sSub>
      </m:oMath>
      <w:r w:rsidRPr="00C8238A">
        <w:rPr>
          <w:rFonts w:ascii="Cambria" w:eastAsiaTheme="minorEastAsia" w:hAnsi="Cambria"/>
          <w:sz w:val="24"/>
          <w:szCs w:val="24"/>
        </w:rPr>
        <w:t xml:space="preserve"> can be post-multiplied by the total intensities to calculate consumption-based footprints </w:t>
      </w:r>
      <w:r w:rsidRPr="00C8238A">
        <w:rPr>
          <w:rFonts w:ascii="Cambria" w:hAnsi="Cambria"/>
          <w:sz w:val="24"/>
          <w:szCs w:val="24"/>
        </w:rPr>
        <w:t xml:space="preserve">as </w:t>
      </w:r>
      <m:oMath>
        <m:sSub>
          <m:sSubPr>
            <m:ctrlPr>
              <w:rPr>
                <w:rFonts w:ascii="Cambria Math" w:eastAsia="Times New Roman" w:hAnsi="Cambria Math"/>
                <w:b/>
                <w:sz w:val="24"/>
                <w:szCs w:val="24"/>
              </w:rPr>
            </m:ctrlPr>
          </m:sSubPr>
          <m:e>
            <m:r>
              <m:rPr>
                <m:sty m:val="b"/>
              </m:rPr>
              <w:rPr>
                <w:rFonts w:ascii="Cambria Math" w:eastAsia="Times New Roman" w:hAnsi="Cambria Math"/>
                <w:sz w:val="24"/>
                <w:szCs w:val="24"/>
              </w:rPr>
              <m:t>f</m:t>
            </m:r>
          </m:e>
          <m:sub>
            <m:r>
              <w:rPr>
                <w:rFonts w:ascii="Cambria Math" w:eastAsia="Times New Roman" w:hAnsi="Cambria Math"/>
                <w:sz w:val="24"/>
                <w:szCs w:val="24"/>
              </w:rPr>
              <m:t>1</m:t>
            </m:r>
          </m:sub>
        </m:sSub>
        <m:r>
          <w:rPr>
            <w:rFonts w:ascii="Cambria Math" w:eastAsia="Times New Roman" w:hAnsi="Cambria Math"/>
            <w:sz w:val="24"/>
            <w:szCs w:val="24"/>
          </w:rPr>
          <m:t>=</m:t>
        </m:r>
        <m:r>
          <m:rPr>
            <m:sty m:val="b"/>
          </m:rPr>
          <w:rPr>
            <w:rFonts w:ascii="Cambria Math" w:eastAsia="Times New Roman" w:hAnsi="Cambria Math"/>
            <w:sz w:val="24"/>
            <w:szCs w:val="24"/>
          </w:rPr>
          <m:t>m</m:t>
        </m:r>
        <m:r>
          <m:rPr>
            <m:sty m:val="p"/>
          </m:rPr>
          <w:rPr>
            <w:rFonts w:ascii="Cambria Math" w:eastAsia="Times New Roman" w:hAnsi="Cambria Math"/>
            <w:sz w:val="24"/>
            <w:szCs w:val="24"/>
          </w:rPr>
          <w:sym w:font="Symbol" w:char="F0C4"/>
        </m:r>
        <m:sSub>
          <m:sSubPr>
            <m:ctrlPr>
              <w:rPr>
                <w:rFonts w:ascii="Cambria Math" w:eastAsia="Times New Roman" w:hAnsi="Cambria Math"/>
                <w:sz w:val="24"/>
                <w:szCs w:val="24"/>
              </w:rPr>
            </m:ctrlPr>
          </m:sSubPr>
          <m:e>
            <m:r>
              <m:rPr>
                <m:sty m:val="b"/>
              </m:rPr>
              <w:rPr>
                <w:rFonts w:ascii="Cambria Math" w:eastAsia="Times New Roman" w:hAnsi="Cambria Math"/>
                <w:sz w:val="24"/>
                <w:szCs w:val="24"/>
              </w:rPr>
              <m:t>y</m:t>
            </m:r>
          </m:e>
          <m:sub>
            <m:r>
              <m:rPr>
                <m:sty m:val="p"/>
              </m:rPr>
              <w:rPr>
                <w:rFonts w:ascii="Cambria Math" w:eastAsia="Times New Roman" w:hAnsi="Cambria Math"/>
                <w:sz w:val="24"/>
                <w:szCs w:val="24"/>
              </w:rPr>
              <m:t>EU_c_food</m:t>
            </m:r>
          </m:sub>
        </m:sSub>
      </m:oMath>
      <w:r w:rsidRPr="00C8238A">
        <w:rPr>
          <w:rFonts w:ascii="Cambria" w:hAnsi="Cambria"/>
          <w:b/>
          <w:sz w:val="24"/>
          <w:szCs w:val="24"/>
        </w:rPr>
        <w:t xml:space="preserve"> </w:t>
      </w:r>
      <w:r w:rsidRPr="00C8238A">
        <w:rPr>
          <w:rFonts w:ascii="Cambria" w:hAnsi="Cambria"/>
          <w:sz w:val="24"/>
          <w:szCs w:val="24"/>
        </w:rPr>
        <w:t>, where</w:t>
      </w:r>
      <w:r w:rsidRPr="00C8238A">
        <w:rPr>
          <w:rFonts w:ascii="Cambria" w:hAnsi="Cambria"/>
          <w:b/>
          <w:sz w:val="24"/>
          <w:szCs w:val="24"/>
        </w:rPr>
        <w:t xml:space="preserve"> </w:t>
      </w:r>
      <w:bookmarkStart w:id="1" w:name="_Hlk524122638"/>
      <w:r w:rsidRPr="00C8238A">
        <w:rPr>
          <w:rFonts w:ascii="Cambria" w:hAnsi="Cambria"/>
          <w:sz w:val="24"/>
          <w:szCs w:val="24"/>
        </w:rPr>
        <w:sym w:font="Symbol" w:char="F0C4"/>
      </w:r>
      <w:bookmarkEnd w:id="1"/>
      <w:r w:rsidRPr="00C8238A">
        <w:rPr>
          <w:rFonts w:ascii="Cambria" w:hAnsi="Cambria"/>
          <w:sz w:val="24"/>
          <w:szCs w:val="24"/>
        </w:rPr>
        <w:t xml:space="preserve"> denotes element-wise multiplication or impacts according to </w:t>
      </w:r>
      <w:r>
        <w:rPr>
          <w:rFonts w:ascii="Cambria" w:hAnsi="Cambria"/>
          <w:sz w:val="24"/>
          <w:szCs w:val="24"/>
        </w:rPr>
        <w:t xml:space="preserve">last point of sale and final consumption; and </w:t>
      </w:r>
      <m:oMath>
        <m:sSub>
          <m:sSubPr>
            <m:ctrlPr>
              <w:rPr>
                <w:rFonts w:ascii="Cambria Math" w:eastAsia="Times New Roman" w:hAnsi="Cambria Math"/>
                <w:b/>
                <w:sz w:val="24"/>
                <w:szCs w:val="24"/>
              </w:rPr>
            </m:ctrlPr>
          </m:sSubPr>
          <m:e>
            <m:r>
              <m:rPr>
                <m:sty m:val="b"/>
              </m:rPr>
              <w:rPr>
                <w:rFonts w:ascii="Cambria Math" w:eastAsia="Times New Roman" w:hAnsi="Cambria Math"/>
                <w:sz w:val="24"/>
                <w:szCs w:val="24"/>
              </w:rPr>
              <m:t>f</m:t>
            </m:r>
          </m:e>
          <m:sub>
            <m:r>
              <w:rPr>
                <w:rFonts w:ascii="Cambria Math" w:eastAsia="Times New Roman" w:hAnsi="Cambria Math"/>
                <w:sz w:val="24"/>
                <w:szCs w:val="24"/>
              </w:rPr>
              <m:t>2</m:t>
            </m:r>
          </m:sub>
        </m:sSub>
        <m:r>
          <w:rPr>
            <w:rFonts w:ascii="Cambria Math" w:eastAsia="Times New Roman" w:hAnsi="Cambria Math"/>
            <w:sz w:val="24"/>
            <w:szCs w:val="24"/>
          </w:rPr>
          <m:t>=</m:t>
        </m:r>
        <m:r>
          <m:rPr>
            <m:sty m:val="b"/>
          </m:rPr>
          <w:rPr>
            <w:rFonts w:ascii="Cambria Math" w:eastAsia="Times New Roman" w:hAnsi="Cambria Math"/>
            <w:sz w:val="24"/>
            <w:szCs w:val="24"/>
          </w:rPr>
          <m:t>q</m:t>
        </m:r>
        <m:r>
          <m:rPr>
            <m:sty m:val="p"/>
          </m:rPr>
          <w:rPr>
            <w:rFonts w:ascii="Cambria Math" w:eastAsia="Times New Roman" w:hAnsi="Cambria Math"/>
            <w:sz w:val="24"/>
            <w:szCs w:val="24"/>
          </w:rPr>
          <w:sym w:font="Symbol" w:char="F0C4"/>
        </m:r>
        <m:sSub>
          <m:sSubPr>
            <m:ctrlPr>
              <w:rPr>
                <w:rFonts w:ascii="Cambria Math" w:eastAsia="Times New Roman" w:hAnsi="Cambria Math"/>
                <w:sz w:val="24"/>
                <w:szCs w:val="24"/>
              </w:rPr>
            </m:ctrlPr>
          </m:sSubPr>
          <m:e>
            <m:r>
              <m:rPr>
                <m:sty m:val="b"/>
              </m:rPr>
              <w:rPr>
                <w:rFonts w:ascii="Cambria Math" w:eastAsia="Times New Roman" w:hAnsi="Cambria Math"/>
                <w:sz w:val="24"/>
                <w:szCs w:val="24"/>
              </w:rPr>
              <m:t>Ly</m:t>
            </m:r>
          </m:e>
          <m:sub>
            <m:r>
              <m:rPr>
                <m:sty m:val="p"/>
              </m:rPr>
              <w:rPr>
                <w:rFonts w:ascii="Cambria Math" w:eastAsia="Times New Roman" w:hAnsi="Cambria Math"/>
                <w:sz w:val="24"/>
                <w:szCs w:val="24"/>
              </w:rPr>
              <m:t>EU_c_food</m:t>
            </m:r>
          </m:sub>
        </m:sSub>
      </m:oMath>
      <w:r>
        <w:rPr>
          <w:rFonts w:ascii="Cambria" w:hAnsi="Cambria"/>
          <w:sz w:val="24"/>
          <w:szCs w:val="24"/>
        </w:rPr>
        <w:t xml:space="preserve"> as impacts from producing region/sector to final consumption</w:t>
      </w:r>
      <w:r w:rsidRPr="00C8238A">
        <w:rPr>
          <w:rFonts w:ascii="Cambria" w:hAnsi="Cambria"/>
          <w:sz w:val="24"/>
          <w:szCs w:val="24"/>
        </w:rPr>
        <w:t>.</w:t>
      </w:r>
      <w:r w:rsidRPr="00C8238A">
        <w:rPr>
          <w:rFonts w:ascii="Cambria" w:hAnsi="Cambria"/>
          <w:b/>
          <w:sz w:val="24"/>
          <w:szCs w:val="24"/>
        </w:rPr>
        <w:t xml:space="preserve"> </w:t>
      </w:r>
      <w:r w:rsidRPr="00C8238A">
        <w:rPr>
          <w:rFonts w:ascii="Cambria" w:hAnsi="Cambria"/>
          <w:bCs/>
          <w:sz w:val="24"/>
          <w:szCs w:val="24"/>
        </w:rPr>
        <w:t>We calculate both domestic impacts (i.e.</w:t>
      </w:r>
      <w:r>
        <w:rPr>
          <w:rFonts w:ascii="Cambria" w:hAnsi="Cambria"/>
          <w:bCs/>
          <w:sz w:val="24"/>
          <w:szCs w:val="24"/>
        </w:rPr>
        <w:t>,</w:t>
      </w:r>
      <w:r w:rsidRPr="00C8238A">
        <w:rPr>
          <w:rFonts w:ascii="Cambria" w:hAnsi="Cambria"/>
          <w:bCs/>
          <w:sz w:val="24"/>
          <w:szCs w:val="24"/>
        </w:rPr>
        <w:t xml:space="preserve"> impacts that happen within EU, or between EU coun</w:t>
      </w:r>
      <w:r>
        <w:rPr>
          <w:rFonts w:ascii="Cambria" w:hAnsi="Cambria"/>
          <w:bCs/>
          <w:sz w:val="24"/>
          <w:szCs w:val="24"/>
        </w:rPr>
        <w:softHyphen/>
      </w:r>
      <w:r w:rsidRPr="00C8238A">
        <w:rPr>
          <w:rFonts w:ascii="Cambria" w:hAnsi="Cambria"/>
          <w:bCs/>
          <w:sz w:val="24"/>
          <w:szCs w:val="24"/>
        </w:rPr>
        <w:t xml:space="preserve">tries) or </w:t>
      </w:r>
      <w:proofErr w:type="spellStart"/>
      <w:r>
        <w:rPr>
          <w:rFonts w:ascii="Cambria" w:hAnsi="Cambria"/>
          <w:bCs/>
          <w:sz w:val="24"/>
          <w:szCs w:val="24"/>
        </w:rPr>
        <w:t>spillover</w:t>
      </w:r>
      <w:proofErr w:type="spellEnd"/>
      <w:r>
        <w:rPr>
          <w:rFonts w:ascii="Cambria" w:hAnsi="Cambria"/>
          <w:bCs/>
          <w:sz w:val="24"/>
          <w:szCs w:val="24"/>
        </w:rPr>
        <w:t xml:space="preserve"> effect</w:t>
      </w:r>
      <w:r w:rsidRPr="00C8238A">
        <w:rPr>
          <w:rFonts w:ascii="Cambria" w:hAnsi="Cambria"/>
          <w:bCs/>
          <w:sz w:val="24"/>
          <w:szCs w:val="24"/>
        </w:rPr>
        <w:t>s (i.e.</w:t>
      </w:r>
      <w:r>
        <w:rPr>
          <w:rFonts w:ascii="Cambria" w:hAnsi="Cambria"/>
          <w:bCs/>
          <w:sz w:val="24"/>
          <w:szCs w:val="24"/>
        </w:rPr>
        <w:t>,</w:t>
      </w:r>
      <w:r w:rsidRPr="00C8238A">
        <w:rPr>
          <w:rFonts w:ascii="Cambria" w:hAnsi="Cambria"/>
          <w:bCs/>
          <w:sz w:val="24"/>
          <w:szCs w:val="24"/>
        </w:rPr>
        <w:t xml:space="preserve"> impacts that take place outside of EU’s borders). </w:t>
      </w:r>
    </w:p>
    <w:p w14:paraId="4AA05C6B" w14:textId="7CE05CC7" w:rsidR="004A5787" w:rsidRDefault="004920BD" w:rsidP="004A5787">
      <w:pPr>
        <w:spacing w:line="264" w:lineRule="auto"/>
        <w:jc w:val="both"/>
        <w:rPr>
          <w:rFonts w:ascii="Cambria" w:hAnsi="Cambria"/>
          <w:bCs/>
          <w:sz w:val="24"/>
          <w:szCs w:val="24"/>
        </w:rPr>
      </w:pPr>
      <w:r>
        <w:rPr>
          <w:rFonts w:ascii="Cambria" w:hAnsi="Cambria"/>
          <w:bCs/>
          <w:noProof/>
          <w:sz w:val="24"/>
          <w:szCs w:val="24"/>
        </w:rPr>
        <mc:AlternateContent>
          <mc:Choice Requires="wps">
            <w:drawing>
              <wp:anchor distT="0" distB="0" distL="114300" distR="114300" simplePos="0" relativeHeight="251666432" behindDoc="0" locked="0" layoutInCell="1" allowOverlap="1" wp14:anchorId="7A34F78A" wp14:editId="08C43707">
                <wp:simplePos x="0" y="0"/>
                <wp:positionH relativeFrom="margin">
                  <wp:align>left</wp:align>
                </wp:positionH>
                <wp:positionV relativeFrom="paragraph">
                  <wp:posOffset>264905</wp:posOffset>
                </wp:positionV>
                <wp:extent cx="4495800" cy="6844146"/>
                <wp:effectExtent l="0" t="0" r="19050" b="13970"/>
                <wp:wrapNone/>
                <wp:docPr id="6" name="Rectangle 6"/>
                <wp:cNvGraphicFramePr/>
                <a:graphic xmlns:a="http://schemas.openxmlformats.org/drawingml/2006/main">
                  <a:graphicData uri="http://schemas.microsoft.com/office/word/2010/wordprocessingShape">
                    <wps:wsp>
                      <wps:cNvSpPr/>
                      <wps:spPr>
                        <a:xfrm>
                          <a:off x="0" y="0"/>
                          <a:ext cx="4495800" cy="68441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AAFCA1" id="Rectangle 6" o:spid="_x0000_s1026" style="position:absolute;margin-left:0;margin-top:20.85pt;width:354pt;height:538.9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" filled="f" strokecolor="black [3213]" strokeweight="1pt">
                <w10:wrap anchorx="margin"/>
              </v:rect>
            </w:pict>
          </mc:Fallback>
        </mc:AlternateContent>
      </w:r>
      <w:r w:rsidR="004A5787">
        <w:rPr>
          <w:rFonts w:ascii="Cambria" w:hAnsi="Cambria"/>
          <w:bCs/>
          <w:sz w:val="24"/>
          <w:szCs w:val="24"/>
        </w:rPr>
        <w:t>A list of sectors considered in the assessment are mentioned below:</w:t>
      </w:r>
    </w:p>
    <w:p w14:paraId="050645B9" w14:textId="1376A30B"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Growing Wheat</w:t>
      </w:r>
    </w:p>
    <w:p w14:paraId="5CAD7D4F"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Growing Maize</w:t>
      </w:r>
    </w:p>
    <w:p w14:paraId="06AD14E6"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 xml:space="preserve">Growing cereals </w:t>
      </w:r>
      <w:proofErr w:type="spellStart"/>
      <w:r w:rsidRPr="00123831">
        <w:rPr>
          <w:rFonts w:ascii="Cambria" w:hAnsi="Cambria"/>
          <w:sz w:val="14"/>
          <w:szCs w:val="14"/>
        </w:rPr>
        <w:t>n.e.c</w:t>
      </w:r>
      <w:proofErr w:type="spellEnd"/>
    </w:p>
    <w:p w14:paraId="39075CD3"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Growing leguminous crops and oil seeds</w:t>
      </w:r>
    </w:p>
    <w:p w14:paraId="6A80D701"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growing rice (paddy)</w:t>
      </w:r>
    </w:p>
    <w:p w14:paraId="6BC51EB9"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Growing of vegetables melons, roots, tubers, non-perennial fruits</w:t>
      </w:r>
    </w:p>
    <w:p w14:paraId="0438857D"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Growing of sugar cane</w:t>
      </w:r>
    </w:p>
    <w:p w14:paraId="0765BDA4"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Growing of tobacco</w:t>
      </w:r>
    </w:p>
    <w:p w14:paraId="6528FD04"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Growing of fibre crops</w:t>
      </w:r>
    </w:p>
    <w:p w14:paraId="707F6462"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 xml:space="preserve">Growing of non-perennial crops </w:t>
      </w:r>
      <w:proofErr w:type="spellStart"/>
      <w:r w:rsidRPr="00123831">
        <w:rPr>
          <w:rFonts w:ascii="Cambria" w:hAnsi="Cambria"/>
          <w:sz w:val="14"/>
          <w:szCs w:val="14"/>
        </w:rPr>
        <w:t>n.e.c.</w:t>
      </w:r>
      <w:proofErr w:type="spellEnd"/>
    </w:p>
    <w:p w14:paraId="623AECF3"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Growing of grapes</w:t>
      </w:r>
    </w:p>
    <w:p w14:paraId="09A10F1B"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Growing of perennial /tree fruits</w:t>
      </w:r>
    </w:p>
    <w:p w14:paraId="02CD36B6"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Growing of beverage crops</w:t>
      </w:r>
    </w:p>
    <w:p w14:paraId="15B88490"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Growing of spices, aromatic, drug, and pharmaceutical crops</w:t>
      </w:r>
    </w:p>
    <w:p w14:paraId="62C254BD"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 xml:space="preserve">Growing perennial crops </w:t>
      </w:r>
      <w:proofErr w:type="spellStart"/>
      <w:r w:rsidRPr="00123831">
        <w:rPr>
          <w:rFonts w:ascii="Cambria" w:hAnsi="Cambria"/>
          <w:sz w:val="14"/>
          <w:szCs w:val="14"/>
        </w:rPr>
        <w:t>n.e.c.</w:t>
      </w:r>
      <w:proofErr w:type="spellEnd"/>
      <w:r w:rsidRPr="00123831">
        <w:rPr>
          <w:rFonts w:ascii="Cambria" w:hAnsi="Cambria"/>
          <w:sz w:val="14"/>
          <w:szCs w:val="14"/>
        </w:rPr>
        <w:t xml:space="preserve"> and plant propagation</w:t>
      </w:r>
    </w:p>
    <w:p w14:paraId="5439D1FE"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Raising of ruminant animals</w:t>
      </w:r>
    </w:p>
    <w:p w14:paraId="4939D65D"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Raising of swine/pigs</w:t>
      </w:r>
    </w:p>
    <w:p w14:paraId="4AE18680"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Raising of poultry</w:t>
      </w:r>
    </w:p>
    <w:p w14:paraId="48F1B8BD"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 xml:space="preserve">Raising of animals </w:t>
      </w:r>
      <w:proofErr w:type="spellStart"/>
      <w:r w:rsidRPr="00123831">
        <w:rPr>
          <w:rFonts w:ascii="Cambria" w:hAnsi="Cambria"/>
          <w:sz w:val="14"/>
          <w:szCs w:val="14"/>
        </w:rPr>
        <w:t>n.e.c.</w:t>
      </w:r>
      <w:proofErr w:type="spellEnd"/>
      <w:r w:rsidRPr="00123831">
        <w:rPr>
          <w:rFonts w:ascii="Cambria" w:hAnsi="Cambria"/>
          <w:sz w:val="14"/>
          <w:szCs w:val="14"/>
        </w:rPr>
        <w:t xml:space="preserve"> - support for animal production - mixed farming - Hunting gathering and related services</w:t>
      </w:r>
    </w:p>
    <w:p w14:paraId="7C48F523"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Post-harvest and support activities for crop production</w:t>
      </w:r>
    </w:p>
    <w:p w14:paraId="15F12EB0"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Wood production</w:t>
      </w:r>
    </w:p>
    <w:p w14:paraId="6098C9DC"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Wood production related services</w:t>
      </w:r>
    </w:p>
    <w:p w14:paraId="6084F867"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Wild fish capture</w:t>
      </w:r>
    </w:p>
    <w:p w14:paraId="683A6E71"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Aquaculture</w:t>
      </w:r>
    </w:p>
    <w:p w14:paraId="24ABDBE4"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Hard coal production</w:t>
      </w:r>
    </w:p>
    <w:p w14:paraId="701F7073"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Lignite and peat production</w:t>
      </w:r>
    </w:p>
    <w:p w14:paraId="0129D595"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Extraction of petroleum</w:t>
      </w:r>
    </w:p>
    <w:p w14:paraId="3CF35486"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Extraction of natural gas</w:t>
      </w:r>
    </w:p>
    <w:p w14:paraId="5DFE76A4"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Ferrous ores extraction</w:t>
      </w:r>
    </w:p>
    <w:p w14:paraId="061A4E58"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Mining of uranium ores</w:t>
      </w:r>
    </w:p>
    <w:p w14:paraId="3A3C3480"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Mining of Aluminium ore</w:t>
      </w:r>
    </w:p>
    <w:p w14:paraId="32B6E49F"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 xml:space="preserve">Mining of copper dominated </w:t>
      </w:r>
      <w:proofErr w:type="gramStart"/>
      <w:r w:rsidRPr="00123831">
        <w:rPr>
          <w:rFonts w:ascii="Cambria" w:hAnsi="Cambria"/>
          <w:sz w:val="14"/>
          <w:szCs w:val="14"/>
        </w:rPr>
        <w:t>ores</w:t>
      </w:r>
      <w:proofErr w:type="gramEnd"/>
    </w:p>
    <w:p w14:paraId="2D6D8499"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 xml:space="preserve">Mining of gold dominated </w:t>
      </w:r>
      <w:proofErr w:type="gramStart"/>
      <w:r w:rsidRPr="00123831">
        <w:rPr>
          <w:rFonts w:ascii="Cambria" w:hAnsi="Cambria"/>
          <w:sz w:val="14"/>
          <w:szCs w:val="14"/>
        </w:rPr>
        <w:t>ores</w:t>
      </w:r>
      <w:proofErr w:type="gramEnd"/>
    </w:p>
    <w:p w14:paraId="5D84BD71"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 xml:space="preserve">Mining of lead/zinc/silver dominated </w:t>
      </w:r>
      <w:proofErr w:type="gramStart"/>
      <w:r w:rsidRPr="00123831">
        <w:rPr>
          <w:rFonts w:ascii="Cambria" w:hAnsi="Cambria"/>
          <w:sz w:val="14"/>
          <w:szCs w:val="14"/>
        </w:rPr>
        <w:t>ores</w:t>
      </w:r>
      <w:proofErr w:type="gramEnd"/>
    </w:p>
    <w:p w14:paraId="48648C6A"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 xml:space="preserve">Mining of nickel dominated </w:t>
      </w:r>
      <w:proofErr w:type="gramStart"/>
      <w:r w:rsidRPr="00123831">
        <w:rPr>
          <w:rFonts w:ascii="Cambria" w:hAnsi="Cambria"/>
          <w:sz w:val="14"/>
          <w:szCs w:val="14"/>
        </w:rPr>
        <w:t>ores</w:t>
      </w:r>
      <w:proofErr w:type="gramEnd"/>
    </w:p>
    <w:p w14:paraId="546B9BB8"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 xml:space="preserve">Mining of tin dominated </w:t>
      </w:r>
      <w:proofErr w:type="gramStart"/>
      <w:r w:rsidRPr="00123831">
        <w:rPr>
          <w:rFonts w:ascii="Cambria" w:hAnsi="Cambria"/>
          <w:sz w:val="14"/>
          <w:szCs w:val="14"/>
        </w:rPr>
        <w:t>ores</w:t>
      </w:r>
      <w:proofErr w:type="gramEnd"/>
    </w:p>
    <w:p w14:paraId="3F41BA2F"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 xml:space="preserve">Mining of other non-ferrous ores </w:t>
      </w:r>
      <w:proofErr w:type="spellStart"/>
      <w:r w:rsidRPr="00123831">
        <w:rPr>
          <w:rFonts w:ascii="Cambria" w:hAnsi="Cambria"/>
          <w:sz w:val="14"/>
          <w:szCs w:val="14"/>
        </w:rPr>
        <w:t>n.e.c.</w:t>
      </w:r>
      <w:proofErr w:type="spellEnd"/>
    </w:p>
    <w:p w14:paraId="57907CD5"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 xml:space="preserve">Quarrying of stone, </w:t>
      </w:r>
      <w:proofErr w:type="gramStart"/>
      <w:r w:rsidRPr="00123831">
        <w:rPr>
          <w:rFonts w:ascii="Cambria" w:hAnsi="Cambria"/>
          <w:sz w:val="14"/>
          <w:szCs w:val="14"/>
        </w:rPr>
        <w:t>sand</w:t>
      </w:r>
      <w:proofErr w:type="gramEnd"/>
      <w:r w:rsidRPr="00123831">
        <w:rPr>
          <w:rFonts w:ascii="Cambria" w:hAnsi="Cambria"/>
          <w:sz w:val="14"/>
          <w:szCs w:val="14"/>
        </w:rPr>
        <w:t xml:space="preserve"> and clay</w:t>
      </w:r>
    </w:p>
    <w:p w14:paraId="5D11D676"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Mining of chemical and fertilizer minerals</w:t>
      </w:r>
    </w:p>
    <w:p w14:paraId="105D59F7"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Extraction of salt</w:t>
      </w:r>
    </w:p>
    <w:p w14:paraId="68511E30"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 xml:space="preserve">Mining and quarrying </w:t>
      </w:r>
      <w:proofErr w:type="spellStart"/>
      <w:r w:rsidRPr="00123831">
        <w:rPr>
          <w:rFonts w:ascii="Cambria" w:hAnsi="Cambria"/>
          <w:sz w:val="14"/>
          <w:szCs w:val="14"/>
        </w:rPr>
        <w:t>n.e.c.</w:t>
      </w:r>
      <w:proofErr w:type="spellEnd"/>
      <w:r w:rsidRPr="00123831">
        <w:rPr>
          <w:rFonts w:ascii="Cambria" w:hAnsi="Cambria"/>
          <w:sz w:val="14"/>
          <w:szCs w:val="14"/>
        </w:rPr>
        <w:t xml:space="preserve"> and support for petroleum natural gas and mining</w:t>
      </w:r>
    </w:p>
    <w:p w14:paraId="0AFFFFE4"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 xml:space="preserve">Processing, preserving, and manufacture of meat and fish-based </w:t>
      </w:r>
      <w:proofErr w:type="gramStart"/>
      <w:r w:rsidRPr="00123831">
        <w:rPr>
          <w:rFonts w:ascii="Cambria" w:hAnsi="Cambria"/>
          <w:sz w:val="14"/>
          <w:szCs w:val="14"/>
        </w:rPr>
        <w:t>products</w:t>
      </w:r>
      <w:proofErr w:type="gramEnd"/>
    </w:p>
    <w:p w14:paraId="1A088940"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 xml:space="preserve">Processing and manufacture of cereal based </w:t>
      </w:r>
      <w:proofErr w:type="gramStart"/>
      <w:r w:rsidRPr="00123831">
        <w:rPr>
          <w:rFonts w:ascii="Cambria" w:hAnsi="Cambria"/>
          <w:sz w:val="14"/>
          <w:szCs w:val="14"/>
        </w:rPr>
        <w:t>products</w:t>
      </w:r>
      <w:proofErr w:type="gramEnd"/>
    </w:p>
    <w:p w14:paraId="5486114C"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 xml:space="preserve">Processing, preserving, and manufacture of food crop products </w:t>
      </w:r>
      <w:proofErr w:type="spellStart"/>
      <w:r w:rsidRPr="00123831">
        <w:rPr>
          <w:rFonts w:ascii="Cambria" w:hAnsi="Cambria"/>
          <w:sz w:val="14"/>
          <w:szCs w:val="14"/>
        </w:rPr>
        <w:t>n.e.c</w:t>
      </w:r>
      <w:proofErr w:type="spellEnd"/>
      <w:r w:rsidRPr="00123831">
        <w:rPr>
          <w:rFonts w:ascii="Cambria" w:hAnsi="Cambria"/>
          <w:sz w:val="14"/>
          <w:szCs w:val="14"/>
        </w:rPr>
        <w:t xml:space="preserve"> - mixed food and feeds </w:t>
      </w:r>
      <w:proofErr w:type="spellStart"/>
      <w:r w:rsidRPr="00123831">
        <w:rPr>
          <w:rFonts w:ascii="Cambria" w:hAnsi="Cambria"/>
          <w:sz w:val="14"/>
          <w:szCs w:val="14"/>
        </w:rPr>
        <w:t>n.e.c</w:t>
      </w:r>
      <w:proofErr w:type="spellEnd"/>
    </w:p>
    <w:p w14:paraId="36528187"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Sugar refining and Manufacture of cocoa, chocolate, and sugar confectionery</w:t>
      </w:r>
    </w:p>
    <w:p w14:paraId="163FE79F"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 xml:space="preserve">Processing and manufacture of fibre-based products and hide (natural or other) based </w:t>
      </w:r>
      <w:proofErr w:type="gramStart"/>
      <w:r w:rsidRPr="00123831">
        <w:rPr>
          <w:rFonts w:ascii="Cambria" w:hAnsi="Cambria"/>
          <w:sz w:val="14"/>
          <w:szCs w:val="14"/>
        </w:rPr>
        <w:t>products</w:t>
      </w:r>
      <w:proofErr w:type="gramEnd"/>
    </w:p>
    <w:p w14:paraId="2CA56E7E"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Manufacture of vegetable and animal oils and fats</w:t>
      </w:r>
    </w:p>
    <w:p w14:paraId="618CA64C"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Manufacture of dairy products</w:t>
      </w:r>
    </w:p>
    <w:p w14:paraId="6BD4993C" w14:textId="4EA7E6C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Manufacture of Alcoholic and other beverages</w:t>
      </w:r>
    </w:p>
    <w:p w14:paraId="560774A7"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Manufacture of tobacco products</w:t>
      </w:r>
    </w:p>
    <w:p w14:paraId="77130D32" w14:textId="4B79BD65"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 xml:space="preserve">Sawmilling and planning of wood - Wood based manufacturing excl. pulp and </w:t>
      </w:r>
      <w:proofErr w:type="gramStart"/>
      <w:r w:rsidRPr="00123831">
        <w:rPr>
          <w:rFonts w:ascii="Cambria" w:hAnsi="Cambria"/>
          <w:sz w:val="14"/>
          <w:szCs w:val="14"/>
        </w:rPr>
        <w:t>paper</w:t>
      </w:r>
      <w:proofErr w:type="gramEnd"/>
    </w:p>
    <w:p w14:paraId="30EE31E6" w14:textId="1A2F7C28"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Wood pulp and paper production and printing</w:t>
      </w:r>
    </w:p>
    <w:p w14:paraId="3CFD0C69" w14:textId="1D28EB3F"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Manufacture of coke oven products</w:t>
      </w:r>
    </w:p>
    <w:p w14:paraId="52D1F967"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Manufacture of refined petroleum products</w:t>
      </w:r>
    </w:p>
    <w:p w14:paraId="5C59B56A" w14:textId="6D6F7DBB"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Manufacture of nitrogenous fertilizers</w:t>
      </w:r>
    </w:p>
    <w:p w14:paraId="78918AE8" w14:textId="286784AE"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Manufacture of non-nitrogenous and mixed fertilizers</w:t>
      </w:r>
    </w:p>
    <w:p w14:paraId="028AD99A" w14:textId="46CCB65C"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 xml:space="preserve">Manufacture of basic petrochemical products </w:t>
      </w:r>
      <w:proofErr w:type="spellStart"/>
      <w:r w:rsidRPr="00123831">
        <w:rPr>
          <w:rFonts w:ascii="Cambria" w:hAnsi="Cambria"/>
          <w:sz w:val="14"/>
          <w:szCs w:val="14"/>
        </w:rPr>
        <w:t>n.e.c.</w:t>
      </w:r>
      <w:proofErr w:type="spellEnd"/>
    </w:p>
    <w:p w14:paraId="23CA8B0A" w14:textId="679652AF"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 xml:space="preserve">Manufacture of basic inorganic chemicals </w:t>
      </w:r>
      <w:proofErr w:type="spellStart"/>
      <w:r w:rsidRPr="00123831">
        <w:rPr>
          <w:rFonts w:ascii="Cambria" w:hAnsi="Cambria"/>
          <w:sz w:val="14"/>
          <w:szCs w:val="14"/>
        </w:rPr>
        <w:t>n.e.c.</w:t>
      </w:r>
      <w:proofErr w:type="spellEnd"/>
    </w:p>
    <w:p w14:paraId="2C44CAEA"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 xml:space="preserve">Manufacture of pharmaceuticals, medicinal </w:t>
      </w:r>
      <w:proofErr w:type="gramStart"/>
      <w:r w:rsidRPr="00123831">
        <w:rPr>
          <w:rFonts w:ascii="Cambria" w:hAnsi="Cambria"/>
          <w:sz w:val="14"/>
          <w:szCs w:val="14"/>
        </w:rPr>
        <w:t>chemical</w:t>
      </w:r>
      <w:proofErr w:type="gramEnd"/>
      <w:r w:rsidRPr="00123831">
        <w:rPr>
          <w:rFonts w:ascii="Cambria" w:hAnsi="Cambria"/>
          <w:sz w:val="14"/>
          <w:szCs w:val="14"/>
        </w:rPr>
        <w:t xml:space="preserve"> and botanical products</w:t>
      </w:r>
    </w:p>
    <w:p w14:paraId="66293A0A" w14:textId="2ADF73E0"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 xml:space="preserve">Manufacture of rubber and plastic products </w:t>
      </w:r>
      <w:proofErr w:type="spellStart"/>
      <w:r w:rsidRPr="00123831">
        <w:rPr>
          <w:rFonts w:ascii="Cambria" w:hAnsi="Cambria"/>
          <w:sz w:val="14"/>
          <w:szCs w:val="14"/>
        </w:rPr>
        <w:t>n.e.c.</w:t>
      </w:r>
      <w:proofErr w:type="spellEnd"/>
    </w:p>
    <w:p w14:paraId="56A472F7" w14:textId="62C9091D"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Manufacture of clay building materials</w:t>
      </w:r>
    </w:p>
    <w:p w14:paraId="7DDB45B1"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 xml:space="preserve">Manufacture of other ceramics </w:t>
      </w:r>
      <w:proofErr w:type="spellStart"/>
      <w:r w:rsidRPr="00123831">
        <w:rPr>
          <w:rFonts w:ascii="Cambria" w:hAnsi="Cambria"/>
          <w:sz w:val="14"/>
          <w:szCs w:val="14"/>
        </w:rPr>
        <w:t>n.e.c.</w:t>
      </w:r>
      <w:proofErr w:type="spellEnd"/>
    </w:p>
    <w:p w14:paraId="600DA0F1"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Manufacture of cement, lime and plaster and articles made there-of</w:t>
      </w:r>
    </w:p>
    <w:p w14:paraId="05E43152"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 xml:space="preserve">Manufacture of other non-metallic mineral products </w:t>
      </w:r>
      <w:proofErr w:type="spellStart"/>
      <w:r w:rsidRPr="00123831">
        <w:rPr>
          <w:rFonts w:ascii="Cambria" w:hAnsi="Cambria"/>
          <w:sz w:val="14"/>
          <w:szCs w:val="14"/>
        </w:rPr>
        <w:t>n.e.c.</w:t>
      </w:r>
      <w:proofErr w:type="spellEnd"/>
    </w:p>
    <w:p w14:paraId="1E44BC41" w14:textId="1863BAF6" w:rsidR="004A5787" w:rsidRPr="00123831" w:rsidRDefault="00B068BB" w:rsidP="004A5787">
      <w:pPr>
        <w:spacing w:after="0" w:line="240" w:lineRule="auto"/>
        <w:ind w:left="66"/>
        <w:rPr>
          <w:rFonts w:ascii="Cambria" w:hAnsi="Cambria"/>
          <w:sz w:val="14"/>
          <w:szCs w:val="14"/>
        </w:rPr>
      </w:pPr>
      <w:r>
        <w:rPr>
          <w:rFonts w:ascii="Cambria" w:hAnsi="Cambria"/>
          <w:bCs/>
          <w:noProof/>
          <w:sz w:val="24"/>
          <w:szCs w:val="24"/>
        </w:rPr>
        <w:lastRenderedPageBreak/>
        <mc:AlternateContent>
          <mc:Choice Requires="wps">
            <w:drawing>
              <wp:anchor distT="0" distB="0" distL="114300" distR="114300" simplePos="0" relativeHeight="251667456" behindDoc="0" locked="0" layoutInCell="1" allowOverlap="1" wp14:anchorId="4CB35EA5" wp14:editId="0FD43C01">
                <wp:simplePos x="0" y="0"/>
                <wp:positionH relativeFrom="margin">
                  <wp:posOffset>-27594</wp:posOffset>
                </wp:positionH>
                <wp:positionV relativeFrom="paragraph">
                  <wp:posOffset>-360103</wp:posOffset>
                </wp:positionV>
                <wp:extent cx="5514975" cy="4045528"/>
                <wp:effectExtent l="0" t="0" r="28575" b="12700"/>
                <wp:wrapNone/>
                <wp:docPr id="8" name="Rectangle 8"/>
                <wp:cNvGraphicFramePr/>
                <a:graphic xmlns:a="http://schemas.openxmlformats.org/drawingml/2006/main">
                  <a:graphicData uri="http://schemas.microsoft.com/office/word/2010/wordprocessingShape">
                    <wps:wsp>
                      <wps:cNvSpPr/>
                      <wps:spPr>
                        <a:xfrm>
                          <a:off x="0" y="0"/>
                          <a:ext cx="5514975" cy="404552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D6E7D" id="Rectangle 8" o:spid="_x0000_s1026" style="position:absolute;margin-left:-2.15pt;margin-top:-28.35pt;width:434.25pt;height:318.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" filled="f" strokecolor="black [3213]" strokeweight="1pt">
                <w10:wrap anchorx="margin"/>
              </v:rect>
            </w:pict>
          </mc:Fallback>
        </mc:AlternateContent>
      </w:r>
      <w:r w:rsidR="004A5787" w:rsidRPr="00123831">
        <w:rPr>
          <w:rFonts w:ascii="Cambria" w:hAnsi="Cambria"/>
          <w:sz w:val="14"/>
          <w:szCs w:val="14"/>
        </w:rPr>
        <w:t>Manufacture and casting of basic iron and steel</w:t>
      </w:r>
    </w:p>
    <w:p w14:paraId="4DF6DC8F"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Manufacture and casting of basic Aluminium</w:t>
      </w:r>
    </w:p>
    <w:p w14:paraId="127836B7"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Manufacture and casting of basic Copper</w:t>
      </w:r>
    </w:p>
    <w:p w14:paraId="28D7B903"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Manufacture and casting of basic Gold</w:t>
      </w:r>
    </w:p>
    <w:p w14:paraId="76E17A35"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Manufacture and casting of basic Lead/Zinc/Silver</w:t>
      </w:r>
    </w:p>
    <w:p w14:paraId="431A4674"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Manufacture and casting of basic nickel</w:t>
      </w:r>
    </w:p>
    <w:p w14:paraId="620DAC13"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Manufacture and casting of basic tin</w:t>
      </w:r>
    </w:p>
    <w:p w14:paraId="418F503C"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 xml:space="preserve">Manufacture of basic non-ferrous metals </w:t>
      </w:r>
      <w:proofErr w:type="spellStart"/>
      <w:r w:rsidRPr="00123831">
        <w:rPr>
          <w:rFonts w:ascii="Cambria" w:hAnsi="Cambria"/>
          <w:sz w:val="14"/>
          <w:szCs w:val="14"/>
        </w:rPr>
        <w:t>n.e.c.</w:t>
      </w:r>
      <w:proofErr w:type="spellEnd"/>
    </w:p>
    <w:p w14:paraId="3205E6E3"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 xml:space="preserve">Manufacturing of fabricated metal products, </w:t>
      </w:r>
      <w:proofErr w:type="gramStart"/>
      <w:r w:rsidRPr="00123831">
        <w:rPr>
          <w:rFonts w:ascii="Cambria" w:hAnsi="Cambria"/>
          <w:sz w:val="14"/>
          <w:szCs w:val="14"/>
        </w:rPr>
        <w:t>machinery</w:t>
      </w:r>
      <w:proofErr w:type="gramEnd"/>
      <w:r w:rsidRPr="00123831">
        <w:rPr>
          <w:rFonts w:ascii="Cambria" w:hAnsi="Cambria"/>
          <w:sz w:val="14"/>
          <w:szCs w:val="14"/>
        </w:rPr>
        <w:t xml:space="preserve"> and transport equipment </w:t>
      </w:r>
      <w:proofErr w:type="spellStart"/>
      <w:r w:rsidRPr="00123831">
        <w:rPr>
          <w:rFonts w:ascii="Cambria" w:hAnsi="Cambria"/>
          <w:sz w:val="14"/>
          <w:szCs w:val="14"/>
        </w:rPr>
        <w:t>n.e.c.</w:t>
      </w:r>
      <w:proofErr w:type="spellEnd"/>
      <w:r w:rsidRPr="00123831">
        <w:rPr>
          <w:rFonts w:ascii="Cambria" w:hAnsi="Cambria"/>
          <w:sz w:val="14"/>
          <w:szCs w:val="14"/>
        </w:rPr>
        <w:t>, and repair and installation of machinery and equipment</w:t>
      </w:r>
    </w:p>
    <w:p w14:paraId="27776B2F"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Manufacture of computer, electronic, and optical products</w:t>
      </w:r>
    </w:p>
    <w:p w14:paraId="2B579FF3"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Manufacture of electrical equipment including metal wiring and cables</w:t>
      </w:r>
    </w:p>
    <w:p w14:paraId="5B9FF7C1"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Manufacture of motor vehicles, trailers, and semi-trailers</w:t>
      </w:r>
    </w:p>
    <w:p w14:paraId="22F09616"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 xml:space="preserve">Manufacture of furniture and other manufacturing </w:t>
      </w:r>
      <w:proofErr w:type="spellStart"/>
      <w:r w:rsidRPr="00123831">
        <w:rPr>
          <w:rFonts w:ascii="Cambria" w:hAnsi="Cambria"/>
          <w:sz w:val="14"/>
          <w:szCs w:val="14"/>
        </w:rPr>
        <w:t>n.e.c</w:t>
      </w:r>
      <w:proofErr w:type="spellEnd"/>
    </w:p>
    <w:p w14:paraId="02BA7DD9"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Electric power generation, transmission, and distribution</w:t>
      </w:r>
    </w:p>
    <w:p w14:paraId="477A959E"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Manufacture of gas; distribution of gaseous fuels through mains</w:t>
      </w:r>
    </w:p>
    <w:p w14:paraId="44CAB98C"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Water collection, treatment and supply, Sewerage, and Steam and air conditioning supply</w:t>
      </w:r>
    </w:p>
    <w:p w14:paraId="303D16F6"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Waste collection, treatment, and disposal</w:t>
      </w:r>
    </w:p>
    <w:p w14:paraId="32A6B2CF"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Materials recovery</w:t>
      </w:r>
    </w:p>
    <w:p w14:paraId="40268811"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Construction of all buildings</w:t>
      </w:r>
    </w:p>
    <w:p w14:paraId="213EB7FD"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Construction of roads and railways, utilities, and other civ. engineering inc. demolition and site preparation</w:t>
      </w:r>
    </w:p>
    <w:p w14:paraId="7E252725"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All Wholesale and retail trade, plus repair of motor vehicles and motorcycles</w:t>
      </w:r>
    </w:p>
    <w:p w14:paraId="725BA628"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Land transport and transport except via pipelines</w:t>
      </w:r>
    </w:p>
    <w:p w14:paraId="41024624"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 xml:space="preserve">Transport via pipeline and </w:t>
      </w:r>
      <w:proofErr w:type="spellStart"/>
      <w:r w:rsidRPr="00123831">
        <w:rPr>
          <w:rFonts w:ascii="Cambria" w:hAnsi="Cambria"/>
          <w:sz w:val="14"/>
          <w:szCs w:val="14"/>
        </w:rPr>
        <w:t>n.e.c</w:t>
      </w:r>
      <w:proofErr w:type="spellEnd"/>
      <w:r w:rsidRPr="00123831">
        <w:rPr>
          <w:rFonts w:ascii="Cambria" w:hAnsi="Cambria"/>
          <w:sz w:val="14"/>
          <w:szCs w:val="14"/>
        </w:rPr>
        <w:t>, Warehousing, and support activities for transportation</w:t>
      </w:r>
    </w:p>
    <w:p w14:paraId="0F49A56D"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Water transport</w:t>
      </w:r>
    </w:p>
    <w:p w14:paraId="175C11FA"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Air transport</w:t>
      </w:r>
    </w:p>
    <w:p w14:paraId="422A7352"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Accommodation and food service activities</w:t>
      </w:r>
    </w:p>
    <w:p w14:paraId="7196DFE9"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 xml:space="preserve">Publishing activities, Telecommunications, Information, and communication </w:t>
      </w:r>
      <w:proofErr w:type="spellStart"/>
      <w:r w:rsidRPr="00123831">
        <w:rPr>
          <w:rFonts w:ascii="Cambria" w:hAnsi="Cambria"/>
          <w:sz w:val="14"/>
          <w:szCs w:val="14"/>
        </w:rPr>
        <w:t>n.e.c.</w:t>
      </w:r>
      <w:proofErr w:type="spellEnd"/>
    </w:p>
    <w:p w14:paraId="4418E6A7"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Financial, Insurance, and Real estate activities</w:t>
      </w:r>
    </w:p>
    <w:p w14:paraId="0A557BFF"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Professional, scientific, and technical activities</w:t>
      </w:r>
    </w:p>
    <w:p w14:paraId="0C82ABA0"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 xml:space="preserve">Public administration, </w:t>
      </w:r>
      <w:proofErr w:type="gramStart"/>
      <w:r w:rsidRPr="00123831">
        <w:rPr>
          <w:rFonts w:ascii="Cambria" w:hAnsi="Cambria"/>
          <w:sz w:val="14"/>
          <w:szCs w:val="14"/>
        </w:rPr>
        <w:t>Social</w:t>
      </w:r>
      <w:proofErr w:type="gramEnd"/>
      <w:r w:rsidRPr="00123831">
        <w:rPr>
          <w:rFonts w:ascii="Cambria" w:hAnsi="Cambria"/>
          <w:sz w:val="14"/>
          <w:szCs w:val="14"/>
        </w:rPr>
        <w:t xml:space="preserve"> security, Defence and public order, and Administrative and support service activities </w:t>
      </w:r>
      <w:proofErr w:type="spellStart"/>
      <w:r w:rsidRPr="00123831">
        <w:rPr>
          <w:rFonts w:ascii="Cambria" w:hAnsi="Cambria"/>
          <w:sz w:val="14"/>
          <w:szCs w:val="14"/>
        </w:rPr>
        <w:t>n.e.c.</w:t>
      </w:r>
      <w:proofErr w:type="spellEnd"/>
    </w:p>
    <w:p w14:paraId="0BFEBF44"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Education</w:t>
      </w:r>
    </w:p>
    <w:p w14:paraId="46FC58A3"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Human health and social work activities</w:t>
      </w:r>
    </w:p>
    <w:p w14:paraId="59E14340" w14:textId="77777777" w:rsidR="004A5787" w:rsidRPr="00123831" w:rsidRDefault="004A5787" w:rsidP="004A5787">
      <w:pPr>
        <w:spacing w:after="0" w:line="240" w:lineRule="auto"/>
        <w:ind w:left="66"/>
        <w:rPr>
          <w:rFonts w:ascii="Cambria" w:hAnsi="Cambria"/>
          <w:sz w:val="14"/>
          <w:szCs w:val="14"/>
        </w:rPr>
      </w:pPr>
      <w:r w:rsidRPr="00123831">
        <w:rPr>
          <w:rFonts w:ascii="Cambria" w:hAnsi="Cambria"/>
          <w:sz w:val="14"/>
          <w:szCs w:val="14"/>
        </w:rPr>
        <w:t xml:space="preserve">Arts, entertainment and recreation, Repair of computers, personal and household goods, and </w:t>
      </w:r>
      <w:proofErr w:type="gramStart"/>
      <w:r w:rsidRPr="00123831">
        <w:rPr>
          <w:rFonts w:ascii="Cambria" w:hAnsi="Cambria"/>
          <w:sz w:val="14"/>
          <w:szCs w:val="14"/>
        </w:rPr>
        <w:t>Other</w:t>
      </w:r>
      <w:proofErr w:type="gramEnd"/>
      <w:r w:rsidRPr="00123831">
        <w:rPr>
          <w:rFonts w:ascii="Cambria" w:hAnsi="Cambria"/>
          <w:sz w:val="14"/>
          <w:szCs w:val="14"/>
        </w:rPr>
        <w:t xml:space="preserve"> service activities </w:t>
      </w:r>
      <w:proofErr w:type="spellStart"/>
      <w:r w:rsidRPr="00123831">
        <w:rPr>
          <w:rFonts w:ascii="Cambria" w:hAnsi="Cambria"/>
          <w:sz w:val="14"/>
          <w:szCs w:val="14"/>
        </w:rPr>
        <w:t>n.e.c.</w:t>
      </w:r>
      <w:proofErr w:type="spellEnd"/>
    </w:p>
    <w:p w14:paraId="31DDC684" w14:textId="77777777" w:rsidR="004A5787" w:rsidRPr="00335AD4" w:rsidRDefault="004A5787" w:rsidP="004A5787">
      <w:pPr>
        <w:spacing w:line="264" w:lineRule="auto"/>
        <w:jc w:val="both"/>
        <w:rPr>
          <w:rFonts w:ascii="Garamond" w:hAnsi="Garamond" w:cs="Times New Roman"/>
          <w:b/>
          <w:bCs/>
          <w:color w:val="C00000"/>
          <w:u w:val="single"/>
        </w:rPr>
      </w:pPr>
    </w:p>
    <w:p w14:paraId="24158EBF" w14:textId="77777777" w:rsidR="004A5787" w:rsidRDefault="004A5787" w:rsidP="004A5787">
      <w:pPr>
        <w:jc w:val="center"/>
        <w:rPr>
          <w:rFonts w:ascii="Garamond" w:hAnsi="Garamond" w:cs="Times New Roman"/>
          <w:b/>
          <w:bCs/>
          <w:color w:val="C00000"/>
          <w:sz w:val="44"/>
          <w:szCs w:val="44"/>
          <w:u w:val="single"/>
        </w:rPr>
        <w:sectPr w:rsidR="004A5787" w:rsidSect="009B434E">
          <w:footerReference w:type="even" r:id="rId5"/>
          <w:footerReference w:type="default" r:id="rId6"/>
          <w:pgSz w:w="11906" w:h="16838"/>
          <w:pgMar w:top="1418" w:right="1418" w:bottom="1418" w:left="1418" w:header="709" w:footer="709" w:gutter="0"/>
          <w:cols w:space="708"/>
          <w:docGrid w:linePitch="360"/>
        </w:sectPr>
      </w:pPr>
    </w:p>
    <w:p w14:paraId="6A11F23A" w14:textId="77777777" w:rsidR="004A5787" w:rsidRDefault="004A5787" w:rsidP="004A5787">
      <w:pPr>
        <w:jc w:val="center"/>
        <w:rPr>
          <w:rFonts w:ascii="Garamond" w:hAnsi="Garamond" w:cs="Times New Roman"/>
          <w:b/>
          <w:bCs/>
          <w:color w:val="C00000"/>
          <w:sz w:val="44"/>
          <w:szCs w:val="44"/>
          <w:u w:val="single"/>
        </w:rPr>
      </w:pPr>
      <w:r>
        <w:rPr>
          <w:rFonts w:ascii="Cambria" w:hAnsi="Cambria"/>
          <w:b/>
          <w:bCs/>
          <w:noProof/>
          <w:lang w:val="de-DE" w:eastAsia="de-DE"/>
        </w:rPr>
        <w:lastRenderedPageBreak/>
        <w:drawing>
          <wp:inline distT="0" distB="0" distL="0" distR="0" wp14:anchorId="53149CDF" wp14:editId="58D2EED4">
            <wp:extent cx="9658735" cy="4356847"/>
            <wp:effectExtent l="0" t="0" r="0" b="5715"/>
            <wp:docPr id="52" name="Picture 5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Chart, bar ch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82914" cy="4367754"/>
                    </a:xfrm>
                    <a:prstGeom prst="rect">
                      <a:avLst/>
                    </a:prstGeom>
                  </pic:spPr>
                </pic:pic>
              </a:graphicData>
            </a:graphic>
          </wp:inline>
        </w:drawing>
      </w:r>
      <w:r>
        <w:rPr>
          <w:rFonts w:ascii="Cambria" w:hAnsi="Cambria"/>
          <w:b/>
          <w:bCs/>
          <w:lang w:eastAsia="en-AU"/>
        </w:rPr>
        <w:t>Figure</w:t>
      </w:r>
      <w:r w:rsidRPr="005943B5">
        <w:rPr>
          <w:rFonts w:ascii="Cambria" w:hAnsi="Cambria"/>
          <w:b/>
          <w:bCs/>
          <w:lang w:eastAsia="en-AU"/>
        </w:rPr>
        <w:t xml:space="preserve"> </w:t>
      </w:r>
      <w:r>
        <w:rPr>
          <w:rFonts w:ascii="Cambria" w:hAnsi="Cambria"/>
          <w:b/>
          <w:bCs/>
          <w:lang w:eastAsia="en-AU"/>
        </w:rPr>
        <w:t>S1</w:t>
      </w:r>
      <w:r w:rsidRPr="005943B5">
        <w:rPr>
          <w:rFonts w:ascii="Cambria" w:hAnsi="Cambria"/>
          <w:b/>
          <w:bCs/>
          <w:lang w:eastAsia="en-AU"/>
        </w:rPr>
        <w:t xml:space="preserve"> Environmental impacts embodied in the final demand of key agricultural and food manufacturing commodities</w:t>
      </w:r>
      <w:r>
        <w:rPr>
          <w:rFonts w:ascii="Cambria" w:hAnsi="Cambria"/>
          <w:lang w:eastAsia="en-AU"/>
        </w:rPr>
        <w:t xml:space="preserve">. The values shown in the bar graphs capture all direct and indirect supply chain impacts for the final demand of food, e, g., energy, fuel, and transportation-related carbon dioxide emissions embodied in ‘Meat and Fish product’ manufacturing are captured in the bar for this category. </w:t>
      </w:r>
    </w:p>
    <w:p w14:paraId="4D8687CA" w14:textId="77777777" w:rsidR="004A5787" w:rsidRDefault="004A5787" w:rsidP="004A5787">
      <w:pPr>
        <w:jc w:val="center"/>
        <w:rPr>
          <w:rFonts w:ascii="Garamond" w:hAnsi="Garamond" w:cs="Times New Roman"/>
          <w:b/>
          <w:bCs/>
          <w:color w:val="C00000"/>
          <w:sz w:val="44"/>
          <w:szCs w:val="44"/>
          <w:u w:val="single"/>
        </w:rPr>
        <w:sectPr w:rsidR="004A5787" w:rsidSect="00BA548A">
          <w:pgSz w:w="16838" w:h="11906" w:orient="landscape"/>
          <w:pgMar w:top="1418" w:right="1418" w:bottom="1418" w:left="1418" w:header="709" w:footer="709" w:gutter="0"/>
          <w:cols w:space="708"/>
          <w:docGrid w:linePitch="360"/>
        </w:sectPr>
      </w:pPr>
    </w:p>
    <w:p w14:paraId="3D143FBA" w14:textId="77777777" w:rsidR="004A5787" w:rsidRDefault="004A5787" w:rsidP="004A5787">
      <w:pPr>
        <w:jc w:val="center"/>
        <w:rPr>
          <w:rFonts w:ascii="Garamond" w:hAnsi="Garamond" w:cs="Times New Roman"/>
          <w:b/>
          <w:bCs/>
          <w:color w:val="C00000"/>
          <w:sz w:val="44"/>
          <w:szCs w:val="44"/>
          <w:u w:val="single"/>
        </w:rPr>
      </w:pPr>
      <w:r>
        <w:rPr>
          <w:rFonts w:ascii="Garamond" w:hAnsi="Garamond" w:cs="Times New Roman"/>
          <w:b/>
          <w:bCs/>
          <w:noProof/>
          <w:color w:val="C00000"/>
          <w:sz w:val="44"/>
          <w:szCs w:val="44"/>
          <w:u w:val="single"/>
          <w:lang w:val="de-DE" w:eastAsia="de-DE"/>
        </w:rPr>
        <w:lastRenderedPageBreak/>
        <w:drawing>
          <wp:anchor distT="0" distB="0" distL="114300" distR="114300" simplePos="0" relativeHeight="251659264" behindDoc="0" locked="0" layoutInCell="1" allowOverlap="1" wp14:anchorId="2F21105C" wp14:editId="227D6EFE">
            <wp:simplePos x="0" y="0"/>
            <wp:positionH relativeFrom="margin">
              <wp:posOffset>407035</wp:posOffset>
            </wp:positionH>
            <wp:positionV relativeFrom="paragraph">
              <wp:posOffset>60694</wp:posOffset>
            </wp:positionV>
            <wp:extent cx="4848225" cy="3582670"/>
            <wp:effectExtent l="0" t="0" r="9525" b="0"/>
            <wp:wrapSquare wrapText="bothSides"/>
            <wp:docPr id="54" name="Picture 5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Chart, line chart&#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l="1698" t="1436" r="1479" b="1842"/>
                    <a:stretch/>
                  </pic:blipFill>
                  <pic:spPr bwMode="auto">
                    <a:xfrm>
                      <a:off x="0" y="0"/>
                      <a:ext cx="4848225" cy="3582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DD9943" w14:textId="77777777" w:rsidR="004A5787" w:rsidRDefault="004A5787" w:rsidP="004A5787">
      <w:pPr>
        <w:jc w:val="center"/>
        <w:rPr>
          <w:rFonts w:ascii="Garamond" w:hAnsi="Garamond" w:cs="Times New Roman"/>
          <w:b/>
          <w:bCs/>
          <w:color w:val="C00000"/>
          <w:sz w:val="44"/>
          <w:szCs w:val="44"/>
          <w:u w:val="single"/>
        </w:rPr>
      </w:pPr>
    </w:p>
    <w:p w14:paraId="6C4D7F3F" w14:textId="77777777" w:rsidR="004A5787" w:rsidRDefault="004A5787" w:rsidP="004A5787">
      <w:pPr>
        <w:jc w:val="center"/>
        <w:rPr>
          <w:rFonts w:ascii="Garamond" w:hAnsi="Garamond" w:cs="Times New Roman"/>
          <w:b/>
          <w:bCs/>
          <w:color w:val="C00000"/>
          <w:sz w:val="44"/>
          <w:szCs w:val="44"/>
          <w:u w:val="single"/>
        </w:rPr>
      </w:pPr>
    </w:p>
    <w:p w14:paraId="741780E8" w14:textId="77777777" w:rsidR="004A5787" w:rsidRDefault="004A5787" w:rsidP="004A5787">
      <w:pPr>
        <w:jc w:val="center"/>
        <w:rPr>
          <w:rFonts w:ascii="Garamond" w:hAnsi="Garamond" w:cs="Times New Roman"/>
          <w:b/>
          <w:bCs/>
          <w:color w:val="C00000"/>
          <w:sz w:val="44"/>
          <w:szCs w:val="44"/>
          <w:u w:val="single"/>
        </w:rPr>
      </w:pPr>
    </w:p>
    <w:p w14:paraId="44B92936" w14:textId="77777777" w:rsidR="004A5787" w:rsidRDefault="004A5787" w:rsidP="004A5787">
      <w:pPr>
        <w:jc w:val="center"/>
        <w:rPr>
          <w:rFonts w:ascii="Garamond" w:hAnsi="Garamond" w:cs="Times New Roman"/>
          <w:b/>
          <w:bCs/>
          <w:color w:val="C00000"/>
          <w:sz w:val="44"/>
          <w:szCs w:val="44"/>
          <w:u w:val="single"/>
        </w:rPr>
      </w:pPr>
    </w:p>
    <w:p w14:paraId="0E6EC9DF" w14:textId="77777777" w:rsidR="004A5787" w:rsidRDefault="004A5787" w:rsidP="004A5787">
      <w:pPr>
        <w:jc w:val="center"/>
        <w:rPr>
          <w:rFonts w:ascii="Garamond" w:hAnsi="Garamond" w:cs="Times New Roman"/>
          <w:b/>
          <w:bCs/>
          <w:color w:val="C00000"/>
          <w:sz w:val="44"/>
          <w:szCs w:val="44"/>
          <w:u w:val="single"/>
        </w:rPr>
      </w:pPr>
    </w:p>
    <w:p w14:paraId="4B432DE7" w14:textId="77777777" w:rsidR="004A5787" w:rsidRDefault="004A5787" w:rsidP="004A5787">
      <w:pPr>
        <w:jc w:val="center"/>
        <w:rPr>
          <w:rFonts w:ascii="Garamond" w:hAnsi="Garamond" w:cs="Times New Roman"/>
          <w:b/>
          <w:bCs/>
          <w:color w:val="C00000"/>
          <w:sz w:val="44"/>
          <w:szCs w:val="44"/>
          <w:u w:val="single"/>
        </w:rPr>
      </w:pPr>
    </w:p>
    <w:p w14:paraId="6B44D21A" w14:textId="77777777" w:rsidR="004A5787" w:rsidRDefault="004A5787" w:rsidP="004A5787">
      <w:pPr>
        <w:jc w:val="center"/>
        <w:rPr>
          <w:rFonts w:ascii="Garamond" w:hAnsi="Garamond" w:cs="Times New Roman"/>
          <w:b/>
          <w:bCs/>
          <w:color w:val="C00000"/>
          <w:sz w:val="44"/>
          <w:szCs w:val="44"/>
          <w:u w:val="single"/>
        </w:rPr>
      </w:pPr>
    </w:p>
    <w:p w14:paraId="4A3D31D2" w14:textId="77777777" w:rsidR="004A5787" w:rsidRDefault="004A5787" w:rsidP="004A5787">
      <w:pPr>
        <w:jc w:val="both"/>
        <w:rPr>
          <w:rFonts w:ascii="Cambria" w:hAnsi="Cambria"/>
          <w:b/>
          <w:bCs/>
          <w:lang w:eastAsia="en-AU"/>
        </w:rPr>
      </w:pPr>
    </w:p>
    <w:p w14:paraId="28AD213A" w14:textId="77777777" w:rsidR="004A5787" w:rsidRDefault="004A5787" w:rsidP="004A5787">
      <w:pPr>
        <w:jc w:val="both"/>
        <w:rPr>
          <w:rFonts w:ascii="Cambria" w:hAnsi="Cambria"/>
          <w:lang w:eastAsia="en-AU"/>
        </w:rPr>
      </w:pPr>
      <w:r>
        <w:rPr>
          <w:rFonts w:ascii="Cambria" w:hAnsi="Cambria"/>
          <w:b/>
          <w:bCs/>
          <w:lang w:eastAsia="en-AU"/>
        </w:rPr>
        <w:t>Figure</w:t>
      </w:r>
      <w:r w:rsidRPr="005943B5">
        <w:rPr>
          <w:rFonts w:ascii="Cambria" w:hAnsi="Cambria"/>
          <w:b/>
          <w:bCs/>
          <w:lang w:eastAsia="en-AU"/>
        </w:rPr>
        <w:t xml:space="preserve"> </w:t>
      </w:r>
      <w:r>
        <w:rPr>
          <w:rFonts w:ascii="Cambria" w:hAnsi="Cambria"/>
          <w:b/>
          <w:bCs/>
          <w:lang w:eastAsia="en-AU"/>
        </w:rPr>
        <w:t>S2</w:t>
      </w:r>
      <w:r w:rsidRPr="005943B5">
        <w:rPr>
          <w:rFonts w:ascii="Cambria" w:hAnsi="Cambria"/>
          <w:b/>
          <w:bCs/>
          <w:lang w:eastAsia="en-AU"/>
        </w:rPr>
        <w:t xml:space="preserve"> </w:t>
      </w:r>
      <w:r>
        <w:rPr>
          <w:rFonts w:ascii="Cambria" w:hAnsi="Cambria"/>
          <w:b/>
          <w:bCs/>
          <w:lang w:eastAsia="en-AU"/>
        </w:rPr>
        <w:t xml:space="preserve">Trends in consumption-based impacts, both domestic and imports. </w:t>
      </w:r>
      <w:r w:rsidRPr="00AA68EE">
        <w:rPr>
          <w:rFonts w:ascii="Cambria" w:hAnsi="Cambria"/>
          <w:lang w:eastAsia="en-AU"/>
        </w:rPr>
        <w:t>Impacts taking place outside of the EU (from imports</w:t>
      </w:r>
      <w:r>
        <w:rPr>
          <w:rFonts w:ascii="Cambria" w:hAnsi="Cambria"/>
          <w:lang w:eastAsia="en-AU"/>
        </w:rPr>
        <w:t>, excluding exports</w:t>
      </w:r>
      <w:r w:rsidRPr="00AA68EE">
        <w:rPr>
          <w:rFonts w:ascii="Cambria" w:hAnsi="Cambria"/>
          <w:lang w:eastAsia="en-AU"/>
        </w:rPr>
        <w:t>) are called ‘</w:t>
      </w:r>
      <w:proofErr w:type="spellStart"/>
      <w:r w:rsidRPr="00AA68EE">
        <w:rPr>
          <w:rFonts w:ascii="Cambria" w:hAnsi="Cambria"/>
          <w:lang w:eastAsia="en-AU"/>
        </w:rPr>
        <w:t>Spillovers</w:t>
      </w:r>
      <w:proofErr w:type="spellEnd"/>
      <w:r w:rsidRPr="00AA68EE">
        <w:rPr>
          <w:rFonts w:ascii="Cambria" w:hAnsi="Cambria"/>
          <w:lang w:eastAsia="en-AU"/>
        </w:rPr>
        <w:t>’ in this study.</w:t>
      </w:r>
    </w:p>
    <w:p w14:paraId="14E0830B" w14:textId="77777777" w:rsidR="004A5787" w:rsidRDefault="004A5787" w:rsidP="004A5787">
      <w:pPr>
        <w:jc w:val="center"/>
        <w:rPr>
          <w:rFonts w:ascii="Garamond" w:hAnsi="Garamond" w:cs="Times New Roman"/>
          <w:sz w:val="44"/>
          <w:szCs w:val="44"/>
        </w:rPr>
      </w:pPr>
    </w:p>
    <w:p w14:paraId="040FEFBA" w14:textId="77777777" w:rsidR="004A5787" w:rsidRDefault="004A5787" w:rsidP="004A5787">
      <w:pPr>
        <w:jc w:val="center"/>
        <w:rPr>
          <w:rFonts w:ascii="Garamond" w:hAnsi="Garamond" w:cs="Times New Roman"/>
          <w:sz w:val="44"/>
          <w:szCs w:val="44"/>
        </w:rPr>
      </w:pPr>
      <w:r>
        <w:rPr>
          <w:rFonts w:ascii="Cambria" w:hAnsi="Cambria"/>
          <w:b/>
          <w:bCs/>
          <w:lang w:eastAsia="en-AU"/>
        </w:rPr>
        <w:t>Table S1</w:t>
      </w:r>
      <w:r w:rsidRPr="005943B5">
        <w:rPr>
          <w:rFonts w:ascii="Cambria" w:hAnsi="Cambria"/>
          <w:b/>
          <w:bCs/>
          <w:lang w:eastAsia="en-AU"/>
        </w:rPr>
        <w:t xml:space="preserve"> </w:t>
      </w:r>
      <w:r>
        <w:rPr>
          <w:rFonts w:ascii="Cambria" w:hAnsi="Cambria"/>
          <w:b/>
          <w:bCs/>
          <w:lang w:eastAsia="en-AU"/>
        </w:rPr>
        <w:t xml:space="preserve">Comparison of per-capita </w:t>
      </w:r>
      <w:proofErr w:type="spellStart"/>
      <w:r>
        <w:rPr>
          <w:rFonts w:ascii="Cambria" w:hAnsi="Cambria"/>
          <w:b/>
          <w:bCs/>
          <w:lang w:eastAsia="en-AU"/>
        </w:rPr>
        <w:t>spillover</w:t>
      </w:r>
      <w:proofErr w:type="spellEnd"/>
      <w:r>
        <w:rPr>
          <w:rFonts w:ascii="Cambria" w:hAnsi="Cambria"/>
          <w:b/>
          <w:bCs/>
          <w:lang w:eastAsia="en-AU"/>
        </w:rPr>
        <w:t xml:space="preserve"> effects for the European Union with two economies (USA and Russia) across all seven indicators.</w:t>
      </w:r>
    </w:p>
    <w:tbl>
      <w:tblPr>
        <w:tblStyle w:val="GridTable5Dark-Accent11"/>
        <w:tblW w:w="9351" w:type="dxa"/>
        <w:jc w:val="center"/>
        <w:tblLook w:val="04A0" w:firstRow="1" w:lastRow="0" w:firstColumn="1" w:lastColumn="0" w:noHBand="0" w:noVBand="1"/>
      </w:tblPr>
      <w:tblGrid>
        <w:gridCol w:w="1737"/>
        <w:gridCol w:w="925"/>
        <w:gridCol w:w="966"/>
        <w:gridCol w:w="925"/>
        <w:gridCol w:w="1236"/>
        <w:gridCol w:w="963"/>
        <w:gridCol w:w="1389"/>
        <w:gridCol w:w="1210"/>
      </w:tblGrid>
      <w:tr w:rsidR="004A5787" w:rsidRPr="00A00C82" w14:paraId="08845EA8" w14:textId="77777777" w:rsidTr="0010456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37" w:type="dxa"/>
          </w:tcPr>
          <w:p w14:paraId="726C64EB" w14:textId="77777777" w:rsidR="004A5787" w:rsidRDefault="004A5787" w:rsidP="0010456E">
            <w:pPr>
              <w:jc w:val="center"/>
              <w:rPr>
                <w:rFonts w:ascii="Cambria" w:hAnsi="Cambria" w:cs="Times New Roman"/>
                <w:b w:val="0"/>
                <w:bCs w:val="0"/>
                <w:sz w:val="20"/>
                <w:szCs w:val="20"/>
              </w:rPr>
            </w:pPr>
          </w:p>
          <w:p w14:paraId="43688DF9" w14:textId="77777777" w:rsidR="004A5787" w:rsidRPr="00A00C82" w:rsidRDefault="004A5787" w:rsidP="0010456E">
            <w:pPr>
              <w:rPr>
                <w:rFonts w:ascii="Cambria" w:hAnsi="Cambria" w:cs="Times New Roman"/>
                <w:sz w:val="20"/>
                <w:szCs w:val="20"/>
              </w:rPr>
            </w:pPr>
            <w:r w:rsidRPr="00A00C82">
              <w:rPr>
                <w:rFonts w:ascii="Cambria" w:hAnsi="Cambria" w:cs="Times New Roman"/>
                <w:sz w:val="20"/>
                <w:szCs w:val="20"/>
              </w:rPr>
              <w:t>Region/Country</w:t>
            </w:r>
          </w:p>
        </w:tc>
        <w:tc>
          <w:tcPr>
            <w:tcW w:w="925" w:type="dxa"/>
          </w:tcPr>
          <w:p w14:paraId="1D1B5403" w14:textId="77777777" w:rsidR="004A5787" w:rsidRDefault="004A5787" w:rsidP="0010456E">
            <w:pPr>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sz w:val="20"/>
                <w:szCs w:val="20"/>
              </w:rPr>
            </w:pPr>
            <w:r w:rsidRPr="00A00C82">
              <w:rPr>
                <w:rFonts w:ascii="Cambria" w:hAnsi="Cambria" w:cs="Times New Roman"/>
                <w:sz w:val="20"/>
                <w:szCs w:val="20"/>
              </w:rPr>
              <w:t>Carbon dioxide</w:t>
            </w:r>
          </w:p>
          <w:p w14:paraId="3C72C6AA" w14:textId="77777777" w:rsidR="004A5787" w:rsidRPr="00A00C82" w:rsidRDefault="004A5787" w:rsidP="0010456E">
            <w:pPr>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sz w:val="20"/>
                <w:szCs w:val="20"/>
              </w:rPr>
            </w:pPr>
            <w:r w:rsidRPr="00A00C82">
              <w:rPr>
                <w:rFonts w:ascii="Cambria" w:hAnsi="Cambria" w:cs="Times New Roman"/>
                <w:b w:val="0"/>
                <w:bCs w:val="0"/>
                <w:sz w:val="20"/>
                <w:szCs w:val="20"/>
              </w:rPr>
              <w:t>(Kg per capita)</w:t>
            </w:r>
          </w:p>
        </w:tc>
        <w:tc>
          <w:tcPr>
            <w:tcW w:w="966" w:type="dxa"/>
          </w:tcPr>
          <w:p w14:paraId="1A3C3DDA" w14:textId="77777777" w:rsidR="004A5787" w:rsidRDefault="004A5787" w:rsidP="0010456E">
            <w:pPr>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sz w:val="20"/>
                <w:szCs w:val="20"/>
              </w:rPr>
            </w:pPr>
            <w:r w:rsidRPr="00A00C82">
              <w:rPr>
                <w:rFonts w:ascii="Cambria" w:hAnsi="Cambria" w:cs="Times New Roman"/>
                <w:sz w:val="20"/>
                <w:szCs w:val="20"/>
              </w:rPr>
              <w:t>Sulphur dioxide</w:t>
            </w:r>
          </w:p>
          <w:p w14:paraId="141DA2B9" w14:textId="77777777" w:rsidR="004A5787" w:rsidRPr="00A00C82" w:rsidRDefault="004A5787" w:rsidP="0010456E">
            <w:pPr>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sz w:val="20"/>
                <w:szCs w:val="20"/>
              </w:rPr>
            </w:pPr>
            <w:r w:rsidRPr="00A00C82">
              <w:rPr>
                <w:rFonts w:ascii="Cambria" w:hAnsi="Cambria" w:cs="Times New Roman"/>
                <w:b w:val="0"/>
                <w:bCs w:val="0"/>
                <w:sz w:val="20"/>
                <w:szCs w:val="20"/>
              </w:rPr>
              <w:t>(Kg per capita)</w:t>
            </w:r>
          </w:p>
        </w:tc>
        <w:tc>
          <w:tcPr>
            <w:tcW w:w="925" w:type="dxa"/>
          </w:tcPr>
          <w:p w14:paraId="4FF85478" w14:textId="77777777" w:rsidR="004A5787" w:rsidRDefault="004A5787" w:rsidP="0010456E">
            <w:pPr>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sz w:val="20"/>
                <w:szCs w:val="20"/>
              </w:rPr>
            </w:pPr>
            <w:r w:rsidRPr="00A00C82">
              <w:rPr>
                <w:rFonts w:ascii="Cambria" w:hAnsi="Cambria" w:cs="Times New Roman"/>
                <w:sz w:val="20"/>
                <w:szCs w:val="20"/>
              </w:rPr>
              <w:t>Nitrous oxide</w:t>
            </w:r>
          </w:p>
          <w:p w14:paraId="04CD6174" w14:textId="77777777" w:rsidR="004A5787" w:rsidRPr="00A00C82" w:rsidRDefault="004A5787" w:rsidP="0010456E">
            <w:pPr>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sz w:val="20"/>
                <w:szCs w:val="20"/>
              </w:rPr>
            </w:pPr>
            <w:r w:rsidRPr="00A00C82">
              <w:rPr>
                <w:rFonts w:ascii="Cambria" w:hAnsi="Cambria" w:cs="Times New Roman"/>
                <w:b w:val="0"/>
                <w:bCs w:val="0"/>
                <w:sz w:val="20"/>
                <w:szCs w:val="20"/>
              </w:rPr>
              <w:t>(Kg per capita)</w:t>
            </w:r>
          </w:p>
        </w:tc>
        <w:tc>
          <w:tcPr>
            <w:tcW w:w="1236" w:type="dxa"/>
          </w:tcPr>
          <w:p w14:paraId="56205B28" w14:textId="77777777" w:rsidR="004A5787" w:rsidRDefault="004A5787" w:rsidP="0010456E">
            <w:pPr>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sz w:val="20"/>
                <w:szCs w:val="20"/>
              </w:rPr>
            </w:pPr>
            <w:r w:rsidRPr="00A00C82">
              <w:rPr>
                <w:rFonts w:ascii="Cambria" w:hAnsi="Cambria" w:cs="Times New Roman"/>
                <w:sz w:val="20"/>
                <w:szCs w:val="20"/>
              </w:rPr>
              <w:t>Particulate Matter</w:t>
            </w:r>
          </w:p>
          <w:p w14:paraId="3255FA54" w14:textId="77777777" w:rsidR="004A5787" w:rsidRPr="00A00C82" w:rsidRDefault="004A5787" w:rsidP="0010456E">
            <w:pPr>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sz w:val="20"/>
                <w:szCs w:val="20"/>
              </w:rPr>
            </w:pPr>
            <w:r w:rsidRPr="00A00C82">
              <w:rPr>
                <w:rFonts w:ascii="Cambria" w:hAnsi="Cambria" w:cs="Times New Roman"/>
                <w:b w:val="0"/>
                <w:bCs w:val="0"/>
                <w:sz w:val="20"/>
                <w:szCs w:val="20"/>
              </w:rPr>
              <w:t>(Kg per capita)</w:t>
            </w:r>
          </w:p>
        </w:tc>
        <w:tc>
          <w:tcPr>
            <w:tcW w:w="963" w:type="dxa"/>
          </w:tcPr>
          <w:p w14:paraId="27713877" w14:textId="77777777" w:rsidR="004A5787" w:rsidRDefault="004A5787" w:rsidP="0010456E">
            <w:pPr>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sz w:val="20"/>
                <w:szCs w:val="20"/>
              </w:rPr>
            </w:pPr>
            <w:r w:rsidRPr="00A00C82">
              <w:rPr>
                <w:rFonts w:ascii="Cambria" w:hAnsi="Cambria" w:cs="Times New Roman"/>
                <w:sz w:val="20"/>
                <w:szCs w:val="20"/>
              </w:rPr>
              <w:t>Land</w:t>
            </w:r>
          </w:p>
          <w:p w14:paraId="3D8FFFCD" w14:textId="77777777" w:rsidR="004A5787" w:rsidRDefault="004A5787" w:rsidP="0010456E">
            <w:pPr>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sz w:val="20"/>
                <w:szCs w:val="20"/>
              </w:rPr>
            </w:pPr>
          </w:p>
          <w:p w14:paraId="58553BC1" w14:textId="77777777" w:rsidR="004A5787" w:rsidRPr="00A00C82" w:rsidRDefault="004A5787" w:rsidP="0010456E">
            <w:pPr>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sz w:val="20"/>
                <w:szCs w:val="20"/>
              </w:rPr>
            </w:pPr>
            <w:r w:rsidRPr="00A00C82">
              <w:rPr>
                <w:rFonts w:ascii="Cambria" w:hAnsi="Cambria" w:cs="Times New Roman"/>
                <w:b w:val="0"/>
                <w:bCs w:val="0"/>
                <w:sz w:val="20"/>
                <w:szCs w:val="20"/>
              </w:rPr>
              <w:t>(</w:t>
            </w:r>
            <w:proofErr w:type="gramStart"/>
            <w:r w:rsidRPr="00A00C82">
              <w:rPr>
                <w:rFonts w:ascii="Cambria" w:hAnsi="Cambria" w:cs="Times New Roman"/>
                <w:b w:val="0"/>
                <w:bCs w:val="0"/>
                <w:sz w:val="20"/>
                <w:szCs w:val="20"/>
              </w:rPr>
              <w:t>ha</w:t>
            </w:r>
            <w:proofErr w:type="gramEnd"/>
            <w:r>
              <w:rPr>
                <w:rFonts w:ascii="Cambria" w:hAnsi="Cambria" w:cs="Times New Roman"/>
                <w:b w:val="0"/>
                <w:bCs w:val="0"/>
                <w:sz w:val="20"/>
                <w:szCs w:val="20"/>
              </w:rPr>
              <w:t xml:space="preserve"> </w:t>
            </w:r>
            <w:r w:rsidRPr="00A00C82">
              <w:rPr>
                <w:rFonts w:ascii="Cambria" w:hAnsi="Cambria" w:cs="Times New Roman"/>
                <w:b w:val="0"/>
                <w:bCs w:val="0"/>
                <w:sz w:val="20"/>
                <w:szCs w:val="20"/>
              </w:rPr>
              <w:t>per capita)</w:t>
            </w:r>
          </w:p>
        </w:tc>
        <w:tc>
          <w:tcPr>
            <w:tcW w:w="1389" w:type="dxa"/>
          </w:tcPr>
          <w:p w14:paraId="58E2449C" w14:textId="77777777" w:rsidR="004A5787" w:rsidRDefault="004A5787" w:rsidP="0010456E">
            <w:pPr>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sz w:val="20"/>
                <w:szCs w:val="20"/>
              </w:rPr>
            </w:pPr>
            <w:r w:rsidRPr="00A00C82">
              <w:rPr>
                <w:rFonts w:ascii="Cambria" w:hAnsi="Cambria" w:cs="Times New Roman"/>
                <w:sz w:val="20"/>
                <w:szCs w:val="20"/>
              </w:rPr>
              <w:t>Employment</w:t>
            </w:r>
          </w:p>
          <w:p w14:paraId="7B6F0B48" w14:textId="77777777" w:rsidR="004A5787" w:rsidRDefault="004A5787" w:rsidP="0010456E">
            <w:pPr>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sz w:val="20"/>
                <w:szCs w:val="20"/>
              </w:rPr>
            </w:pPr>
          </w:p>
          <w:p w14:paraId="6E10B799" w14:textId="77777777" w:rsidR="004A5787" w:rsidRPr="00A00C82" w:rsidRDefault="004A5787" w:rsidP="0010456E">
            <w:pPr>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sz w:val="20"/>
                <w:szCs w:val="20"/>
              </w:rPr>
            </w:pPr>
            <w:r w:rsidRPr="00A00C82">
              <w:rPr>
                <w:rFonts w:ascii="Cambria" w:hAnsi="Cambria" w:cs="Times New Roman"/>
                <w:b w:val="0"/>
                <w:bCs w:val="0"/>
                <w:sz w:val="20"/>
                <w:szCs w:val="20"/>
              </w:rPr>
              <w:t>(</w:t>
            </w:r>
            <w:proofErr w:type="gramStart"/>
            <w:r w:rsidRPr="00A00C82">
              <w:rPr>
                <w:rFonts w:ascii="Cambria" w:hAnsi="Cambria" w:cs="Times New Roman"/>
                <w:b w:val="0"/>
                <w:bCs w:val="0"/>
                <w:sz w:val="20"/>
                <w:szCs w:val="20"/>
              </w:rPr>
              <w:t>people</w:t>
            </w:r>
            <w:proofErr w:type="gramEnd"/>
            <w:r w:rsidRPr="00A00C82">
              <w:rPr>
                <w:rFonts w:ascii="Cambria" w:hAnsi="Cambria" w:cs="Times New Roman"/>
                <w:b w:val="0"/>
                <w:bCs w:val="0"/>
                <w:sz w:val="20"/>
                <w:szCs w:val="20"/>
              </w:rPr>
              <w:t xml:space="preserve"> per capita)</w:t>
            </w:r>
          </w:p>
        </w:tc>
        <w:tc>
          <w:tcPr>
            <w:tcW w:w="1210" w:type="dxa"/>
          </w:tcPr>
          <w:p w14:paraId="12605EE6" w14:textId="77777777" w:rsidR="004A5787" w:rsidRDefault="004A5787" w:rsidP="0010456E">
            <w:pPr>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sz w:val="20"/>
                <w:szCs w:val="20"/>
              </w:rPr>
            </w:pPr>
            <w:r w:rsidRPr="00A00C82">
              <w:rPr>
                <w:rFonts w:ascii="Cambria" w:hAnsi="Cambria" w:cs="Times New Roman"/>
                <w:sz w:val="20"/>
                <w:szCs w:val="20"/>
              </w:rPr>
              <w:t>Income</w:t>
            </w:r>
          </w:p>
          <w:p w14:paraId="162549D7" w14:textId="77777777" w:rsidR="004A5787" w:rsidRDefault="004A5787" w:rsidP="0010456E">
            <w:pPr>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sz w:val="20"/>
                <w:szCs w:val="20"/>
              </w:rPr>
            </w:pPr>
          </w:p>
          <w:p w14:paraId="2F8E7DFF" w14:textId="77777777" w:rsidR="004A5787" w:rsidRPr="00A00C82" w:rsidRDefault="004A5787" w:rsidP="0010456E">
            <w:pPr>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sz w:val="20"/>
                <w:szCs w:val="20"/>
              </w:rPr>
            </w:pPr>
            <w:r w:rsidRPr="00A00C82">
              <w:rPr>
                <w:rFonts w:ascii="Cambria" w:hAnsi="Cambria" w:cs="Times New Roman"/>
                <w:b w:val="0"/>
                <w:bCs w:val="0"/>
                <w:sz w:val="20"/>
                <w:szCs w:val="20"/>
              </w:rPr>
              <w:t>(USD per capita)</w:t>
            </w:r>
          </w:p>
        </w:tc>
      </w:tr>
      <w:tr w:rsidR="004A5787" w:rsidRPr="00A00C82" w14:paraId="2E75B77F" w14:textId="77777777" w:rsidTr="001045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37" w:type="dxa"/>
          </w:tcPr>
          <w:p w14:paraId="592FFD4A" w14:textId="77777777" w:rsidR="004A5787" w:rsidRDefault="004A5787" w:rsidP="0010456E">
            <w:pPr>
              <w:jc w:val="center"/>
              <w:rPr>
                <w:rFonts w:ascii="Cambria" w:hAnsi="Cambria" w:cs="Times New Roman"/>
                <w:b w:val="0"/>
                <w:bCs w:val="0"/>
                <w:sz w:val="20"/>
                <w:szCs w:val="20"/>
              </w:rPr>
            </w:pPr>
          </w:p>
          <w:p w14:paraId="2114EACF" w14:textId="77777777" w:rsidR="004A5787" w:rsidRDefault="004A5787" w:rsidP="0010456E">
            <w:pPr>
              <w:jc w:val="center"/>
              <w:rPr>
                <w:rFonts w:ascii="Cambria" w:hAnsi="Cambria" w:cs="Times New Roman"/>
                <w:b w:val="0"/>
                <w:bCs w:val="0"/>
                <w:sz w:val="20"/>
                <w:szCs w:val="20"/>
              </w:rPr>
            </w:pPr>
            <w:r>
              <w:rPr>
                <w:rFonts w:ascii="Cambria" w:hAnsi="Cambria" w:cs="Times New Roman"/>
                <w:sz w:val="20"/>
                <w:szCs w:val="20"/>
              </w:rPr>
              <w:t>European Union</w:t>
            </w:r>
          </w:p>
          <w:p w14:paraId="3A80C265" w14:textId="77777777" w:rsidR="004A5787" w:rsidRPr="00A00C82" w:rsidRDefault="004A5787" w:rsidP="0010456E">
            <w:pPr>
              <w:jc w:val="center"/>
              <w:rPr>
                <w:rFonts w:ascii="Cambria" w:hAnsi="Cambria" w:cs="Times New Roman"/>
                <w:sz w:val="20"/>
                <w:szCs w:val="20"/>
              </w:rPr>
            </w:pPr>
          </w:p>
        </w:tc>
        <w:tc>
          <w:tcPr>
            <w:tcW w:w="925" w:type="dxa"/>
          </w:tcPr>
          <w:p w14:paraId="78AE6332" w14:textId="77777777" w:rsidR="004A5787" w:rsidRDefault="004A5787" w:rsidP="0010456E">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p>
          <w:p w14:paraId="55207271" w14:textId="77777777" w:rsidR="004A5787" w:rsidRPr="00A00C82" w:rsidRDefault="004A5787" w:rsidP="0010456E">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r>
              <w:rPr>
                <w:rFonts w:ascii="Cambria" w:hAnsi="Cambria" w:cs="Times New Roman"/>
                <w:sz w:val="20"/>
                <w:szCs w:val="20"/>
              </w:rPr>
              <w:t>168</w:t>
            </w:r>
          </w:p>
        </w:tc>
        <w:tc>
          <w:tcPr>
            <w:tcW w:w="966" w:type="dxa"/>
          </w:tcPr>
          <w:p w14:paraId="58D34DDD" w14:textId="77777777" w:rsidR="004A5787" w:rsidRDefault="004A5787" w:rsidP="0010456E">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p>
          <w:p w14:paraId="3D5EF7F1" w14:textId="77777777" w:rsidR="004A5787" w:rsidRPr="00A00C82" w:rsidRDefault="004A5787" w:rsidP="0010456E">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r>
              <w:rPr>
                <w:rFonts w:ascii="Cambria" w:hAnsi="Cambria" w:cs="Times New Roman"/>
                <w:sz w:val="20"/>
                <w:szCs w:val="20"/>
              </w:rPr>
              <w:t>0.5</w:t>
            </w:r>
          </w:p>
        </w:tc>
        <w:tc>
          <w:tcPr>
            <w:tcW w:w="925" w:type="dxa"/>
          </w:tcPr>
          <w:p w14:paraId="7F5ABE86" w14:textId="77777777" w:rsidR="004A5787" w:rsidRDefault="004A5787" w:rsidP="0010456E">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p>
          <w:p w14:paraId="574C230C" w14:textId="77777777" w:rsidR="004A5787" w:rsidRPr="00A00C82" w:rsidRDefault="004A5787" w:rsidP="0010456E">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r>
              <w:rPr>
                <w:rFonts w:ascii="Cambria" w:hAnsi="Cambria" w:cs="Times New Roman"/>
                <w:sz w:val="20"/>
                <w:szCs w:val="20"/>
              </w:rPr>
              <w:t>0.6</w:t>
            </w:r>
          </w:p>
        </w:tc>
        <w:tc>
          <w:tcPr>
            <w:tcW w:w="1236" w:type="dxa"/>
          </w:tcPr>
          <w:p w14:paraId="1EE973AE" w14:textId="77777777" w:rsidR="004A5787" w:rsidRDefault="004A5787" w:rsidP="0010456E">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p>
          <w:p w14:paraId="7D079866" w14:textId="77777777" w:rsidR="004A5787" w:rsidRPr="00A00C82" w:rsidRDefault="004A5787" w:rsidP="0010456E">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r>
              <w:rPr>
                <w:rFonts w:ascii="Cambria" w:hAnsi="Cambria" w:cs="Times New Roman"/>
                <w:sz w:val="20"/>
                <w:szCs w:val="20"/>
              </w:rPr>
              <w:t>0.3</w:t>
            </w:r>
          </w:p>
        </w:tc>
        <w:tc>
          <w:tcPr>
            <w:tcW w:w="963" w:type="dxa"/>
          </w:tcPr>
          <w:p w14:paraId="276E781E" w14:textId="77777777" w:rsidR="004A5787" w:rsidRDefault="004A5787" w:rsidP="0010456E">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p>
          <w:p w14:paraId="5402E280" w14:textId="77777777" w:rsidR="004A5787" w:rsidRPr="00A00C82" w:rsidRDefault="004A5787" w:rsidP="0010456E">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r>
              <w:rPr>
                <w:rFonts w:ascii="Cambria" w:hAnsi="Cambria" w:cs="Times New Roman"/>
                <w:sz w:val="20"/>
                <w:szCs w:val="20"/>
              </w:rPr>
              <w:t>0.2</w:t>
            </w:r>
          </w:p>
        </w:tc>
        <w:tc>
          <w:tcPr>
            <w:tcW w:w="1389" w:type="dxa"/>
          </w:tcPr>
          <w:p w14:paraId="0DB82CE8" w14:textId="77777777" w:rsidR="004A5787" w:rsidRDefault="004A5787" w:rsidP="0010456E">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p>
          <w:p w14:paraId="6D9F830A" w14:textId="77777777" w:rsidR="004A5787" w:rsidRPr="00A00C82" w:rsidRDefault="004A5787" w:rsidP="0010456E">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r>
              <w:rPr>
                <w:rFonts w:ascii="Cambria" w:hAnsi="Cambria" w:cs="Times New Roman"/>
                <w:sz w:val="20"/>
                <w:szCs w:val="20"/>
              </w:rPr>
              <w:t xml:space="preserve">0.04 </w:t>
            </w:r>
          </w:p>
        </w:tc>
        <w:tc>
          <w:tcPr>
            <w:tcW w:w="1210" w:type="dxa"/>
          </w:tcPr>
          <w:p w14:paraId="1B7310C5" w14:textId="77777777" w:rsidR="004A5787" w:rsidRDefault="004A5787" w:rsidP="0010456E">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p>
          <w:p w14:paraId="28570C0B" w14:textId="77777777" w:rsidR="004A5787" w:rsidRPr="00A00C82" w:rsidRDefault="004A5787" w:rsidP="0010456E">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r>
              <w:rPr>
                <w:rFonts w:ascii="Cambria" w:hAnsi="Cambria" w:cs="Times New Roman"/>
                <w:sz w:val="20"/>
                <w:szCs w:val="20"/>
              </w:rPr>
              <w:t>156</w:t>
            </w:r>
          </w:p>
        </w:tc>
      </w:tr>
      <w:tr w:rsidR="004A5787" w:rsidRPr="00A00C82" w14:paraId="4AC22D05" w14:textId="77777777" w:rsidTr="0010456E">
        <w:trPr>
          <w:jc w:val="center"/>
        </w:trPr>
        <w:tc>
          <w:tcPr>
            <w:cnfStyle w:val="001000000000" w:firstRow="0" w:lastRow="0" w:firstColumn="1" w:lastColumn="0" w:oddVBand="0" w:evenVBand="0" w:oddHBand="0" w:evenHBand="0" w:firstRowFirstColumn="0" w:firstRowLastColumn="0" w:lastRowFirstColumn="0" w:lastRowLastColumn="0"/>
            <w:tcW w:w="1737" w:type="dxa"/>
          </w:tcPr>
          <w:p w14:paraId="750D5122" w14:textId="77777777" w:rsidR="004A5787" w:rsidRDefault="004A5787" w:rsidP="0010456E">
            <w:pPr>
              <w:jc w:val="center"/>
              <w:rPr>
                <w:rFonts w:ascii="Cambria" w:hAnsi="Cambria" w:cs="Times New Roman"/>
                <w:b w:val="0"/>
                <w:bCs w:val="0"/>
                <w:sz w:val="20"/>
                <w:szCs w:val="20"/>
              </w:rPr>
            </w:pPr>
          </w:p>
          <w:p w14:paraId="1AEE88EE" w14:textId="77777777" w:rsidR="004A5787" w:rsidRPr="00A00C82" w:rsidRDefault="004A5787" w:rsidP="0010456E">
            <w:pPr>
              <w:jc w:val="center"/>
              <w:rPr>
                <w:rFonts w:ascii="Cambria" w:hAnsi="Cambria" w:cs="Times New Roman"/>
                <w:sz w:val="20"/>
                <w:szCs w:val="20"/>
              </w:rPr>
            </w:pPr>
            <w:r>
              <w:rPr>
                <w:rFonts w:ascii="Cambria" w:hAnsi="Cambria" w:cs="Times New Roman"/>
                <w:sz w:val="20"/>
                <w:szCs w:val="20"/>
              </w:rPr>
              <w:t>United States of America</w:t>
            </w:r>
          </w:p>
        </w:tc>
        <w:tc>
          <w:tcPr>
            <w:tcW w:w="925" w:type="dxa"/>
          </w:tcPr>
          <w:p w14:paraId="4C07C470" w14:textId="77777777" w:rsidR="004A5787" w:rsidRDefault="004A5787" w:rsidP="0010456E">
            <w:pPr>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sz w:val="20"/>
                <w:szCs w:val="20"/>
              </w:rPr>
            </w:pPr>
          </w:p>
          <w:p w14:paraId="6107DC72" w14:textId="77777777" w:rsidR="004A5787" w:rsidRPr="00A00C82" w:rsidRDefault="004A5787" w:rsidP="0010456E">
            <w:pPr>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sz w:val="20"/>
                <w:szCs w:val="20"/>
              </w:rPr>
            </w:pPr>
            <w:r>
              <w:rPr>
                <w:rFonts w:ascii="Cambria" w:hAnsi="Cambria" w:cs="Times New Roman"/>
                <w:sz w:val="20"/>
                <w:szCs w:val="20"/>
              </w:rPr>
              <w:t>63</w:t>
            </w:r>
          </w:p>
        </w:tc>
        <w:tc>
          <w:tcPr>
            <w:tcW w:w="966" w:type="dxa"/>
          </w:tcPr>
          <w:p w14:paraId="05A0E080" w14:textId="77777777" w:rsidR="004A5787" w:rsidRDefault="004A5787" w:rsidP="0010456E">
            <w:pPr>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sz w:val="20"/>
                <w:szCs w:val="20"/>
              </w:rPr>
            </w:pPr>
          </w:p>
          <w:p w14:paraId="07D1553C" w14:textId="77777777" w:rsidR="004A5787" w:rsidRPr="00A00C82" w:rsidRDefault="004A5787" w:rsidP="0010456E">
            <w:pPr>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sz w:val="20"/>
                <w:szCs w:val="20"/>
              </w:rPr>
            </w:pPr>
            <w:r>
              <w:rPr>
                <w:rFonts w:ascii="Cambria" w:hAnsi="Cambria" w:cs="Times New Roman"/>
                <w:sz w:val="20"/>
                <w:szCs w:val="20"/>
              </w:rPr>
              <w:t>0.2</w:t>
            </w:r>
          </w:p>
        </w:tc>
        <w:tc>
          <w:tcPr>
            <w:tcW w:w="925" w:type="dxa"/>
          </w:tcPr>
          <w:p w14:paraId="04BFA442" w14:textId="77777777" w:rsidR="004A5787" w:rsidRDefault="004A5787" w:rsidP="0010456E">
            <w:pPr>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sz w:val="20"/>
                <w:szCs w:val="20"/>
              </w:rPr>
            </w:pPr>
          </w:p>
          <w:p w14:paraId="470D3A10" w14:textId="77777777" w:rsidR="004A5787" w:rsidRPr="00A00C82" w:rsidRDefault="004A5787" w:rsidP="0010456E">
            <w:pPr>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sz w:val="20"/>
                <w:szCs w:val="20"/>
              </w:rPr>
            </w:pPr>
            <w:r>
              <w:rPr>
                <w:rFonts w:ascii="Cambria" w:hAnsi="Cambria" w:cs="Times New Roman"/>
                <w:sz w:val="20"/>
                <w:szCs w:val="20"/>
              </w:rPr>
              <w:t>0.3</w:t>
            </w:r>
          </w:p>
        </w:tc>
        <w:tc>
          <w:tcPr>
            <w:tcW w:w="1236" w:type="dxa"/>
          </w:tcPr>
          <w:p w14:paraId="61795998" w14:textId="77777777" w:rsidR="004A5787" w:rsidRDefault="004A5787" w:rsidP="0010456E">
            <w:pPr>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sz w:val="20"/>
                <w:szCs w:val="20"/>
              </w:rPr>
            </w:pPr>
          </w:p>
          <w:p w14:paraId="076EF7A3" w14:textId="77777777" w:rsidR="004A5787" w:rsidRPr="00A00C82" w:rsidRDefault="004A5787" w:rsidP="0010456E">
            <w:pPr>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sz w:val="20"/>
                <w:szCs w:val="20"/>
              </w:rPr>
            </w:pPr>
            <w:r>
              <w:rPr>
                <w:rFonts w:ascii="Cambria" w:hAnsi="Cambria" w:cs="Times New Roman"/>
                <w:sz w:val="20"/>
                <w:szCs w:val="20"/>
              </w:rPr>
              <w:t>0.1</w:t>
            </w:r>
          </w:p>
        </w:tc>
        <w:tc>
          <w:tcPr>
            <w:tcW w:w="963" w:type="dxa"/>
          </w:tcPr>
          <w:p w14:paraId="471ECC68" w14:textId="77777777" w:rsidR="004A5787" w:rsidRDefault="004A5787" w:rsidP="0010456E">
            <w:pPr>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sz w:val="20"/>
                <w:szCs w:val="20"/>
              </w:rPr>
            </w:pPr>
          </w:p>
          <w:p w14:paraId="0394815C" w14:textId="77777777" w:rsidR="004A5787" w:rsidRPr="00A00C82" w:rsidRDefault="004A5787" w:rsidP="0010456E">
            <w:pPr>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sz w:val="20"/>
                <w:szCs w:val="20"/>
              </w:rPr>
            </w:pPr>
            <w:r>
              <w:rPr>
                <w:rFonts w:ascii="Cambria" w:hAnsi="Cambria" w:cs="Times New Roman"/>
                <w:sz w:val="20"/>
                <w:szCs w:val="20"/>
              </w:rPr>
              <w:t>0.1</w:t>
            </w:r>
          </w:p>
        </w:tc>
        <w:tc>
          <w:tcPr>
            <w:tcW w:w="1389" w:type="dxa"/>
          </w:tcPr>
          <w:p w14:paraId="73335626" w14:textId="77777777" w:rsidR="004A5787" w:rsidRDefault="004A5787" w:rsidP="0010456E">
            <w:pPr>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sz w:val="20"/>
                <w:szCs w:val="20"/>
              </w:rPr>
            </w:pPr>
          </w:p>
          <w:p w14:paraId="137CE4B2" w14:textId="77777777" w:rsidR="004A5787" w:rsidRPr="00A00C82" w:rsidRDefault="004A5787" w:rsidP="0010456E">
            <w:pPr>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sz w:val="20"/>
                <w:szCs w:val="20"/>
              </w:rPr>
            </w:pPr>
            <w:r>
              <w:rPr>
                <w:rFonts w:ascii="Cambria" w:hAnsi="Cambria" w:cs="Times New Roman"/>
                <w:sz w:val="20"/>
                <w:szCs w:val="20"/>
              </w:rPr>
              <w:t>0.02</w:t>
            </w:r>
          </w:p>
        </w:tc>
        <w:tc>
          <w:tcPr>
            <w:tcW w:w="1210" w:type="dxa"/>
          </w:tcPr>
          <w:p w14:paraId="395E41ED" w14:textId="77777777" w:rsidR="004A5787" w:rsidRDefault="004A5787" w:rsidP="0010456E">
            <w:pPr>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sz w:val="20"/>
                <w:szCs w:val="20"/>
              </w:rPr>
            </w:pPr>
          </w:p>
          <w:p w14:paraId="701402F4" w14:textId="77777777" w:rsidR="004A5787" w:rsidRPr="00A00C82" w:rsidRDefault="004A5787" w:rsidP="0010456E">
            <w:pPr>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sz w:val="20"/>
                <w:szCs w:val="20"/>
              </w:rPr>
            </w:pPr>
            <w:r>
              <w:rPr>
                <w:rFonts w:ascii="Cambria" w:hAnsi="Cambria" w:cs="Times New Roman"/>
                <w:sz w:val="20"/>
                <w:szCs w:val="20"/>
              </w:rPr>
              <w:t>107</w:t>
            </w:r>
          </w:p>
        </w:tc>
      </w:tr>
      <w:tr w:rsidR="004A5787" w:rsidRPr="00A00C82" w14:paraId="08D9E545" w14:textId="77777777" w:rsidTr="001045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37" w:type="dxa"/>
          </w:tcPr>
          <w:p w14:paraId="164605B1" w14:textId="77777777" w:rsidR="004A5787" w:rsidRDefault="004A5787" w:rsidP="0010456E">
            <w:pPr>
              <w:jc w:val="center"/>
              <w:rPr>
                <w:rFonts w:ascii="Cambria" w:hAnsi="Cambria" w:cs="Times New Roman"/>
                <w:b w:val="0"/>
                <w:bCs w:val="0"/>
                <w:sz w:val="20"/>
                <w:szCs w:val="20"/>
              </w:rPr>
            </w:pPr>
          </w:p>
          <w:p w14:paraId="175507DB" w14:textId="77777777" w:rsidR="004A5787" w:rsidRDefault="004A5787" w:rsidP="0010456E">
            <w:pPr>
              <w:jc w:val="center"/>
              <w:rPr>
                <w:rFonts w:ascii="Cambria" w:hAnsi="Cambria" w:cs="Times New Roman"/>
                <w:b w:val="0"/>
                <w:bCs w:val="0"/>
                <w:sz w:val="20"/>
                <w:szCs w:val="20"/>
              </w:rPr>
            </w:pPr>
            <w:r>
              <w:rPr>
                <w:rFonts w:ascii="Cambria" w:hAnsi="Cambria" w:cs="Times New Roman"/>
                <w:sz w:val="20"/>
                <w:szCs w:val="20"/>
              </w:rPr>
              <w:t>Russia</w:t>
            </w:r>
          </w:p>
          <w:p w14:paraId="341B2B02" w14:textId="77777777" w:rsidR="004A5787" w:rsidRPr="00A00C82" w:rsidRDefault="004A5787" w:rsidP="0010456E">
            <w:pPr>
              <w:jc w:val="center"/>
              <w:rPr>
                <w:rFonts w:ascii="Cambria" w:hAnsi="Cambria" w:cs="Times New Roman"/>
                <w:sz w:val="20"/>
                <w:szCs w:val="20"/>
              </w:rPr>
            </w:pPr>
          </w:p>
        </w:tc>
        <w:tc>
          <w:tcPr>
            <w:tcW w:w="925" w:type="dxa"/>
          </w:tcPr>
          <w:p w14:paraId="114DCC63" w14:textId="77777777" w:rsidR="004A5787" w:rsidRDefault="004A5787" w:rsidP="0010456E">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p>
          <w:p w14:paraId="70A6B194" w14:textId="77777777" w:rsidR="004A5787" w:rsidRPr="00A00C82" w:rsidRDefault="004A5787" w:rsidP="0010456E">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r>
              <w:rPr>
                <w:rFonts w:ascii="Cambria" w:hAnsi="Cambria" w:cs="Times New Roman"/>
                <w:sz w:val="20"/>
                <w:szCs w:val="20"/>
              </w:rPr>
              <w:t>31</w:t>
            </w:r>
          </w:p>
        </w:tc>
        <w:tc>
          <w:tcPr>
            <w:tcW w:w="966" w:type="dxa"/>
          </w:tcPr>
          <w:p w14:paraId="45F75CC6" w14:textId="77777777" w:rsidR="004A5787" w:rsidRDefault="004A5787" w:rsidP="0010456E">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p>
          <w:p w14:paraId="3DAEE1E2" w14:textId="77777777" w:rsidR="004A5787" w:rsidRPr="00A00C82" w:rsidRDefault="004A5787" w:rsidP="0010456E">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r>
              <w:rPr>
                <w:rFonts w:ascii="Cambria" w:hAnsi="Cambria" w:cs="Times New Roman"/>
                <w:sz w:val="20"/>
                <w:szCs w:val="20"/>
              </w:rPr>
              <w:t>0.1</w:t>
            </w:r>
          </w:p>
        </w:tc>
        <w:tc>
          <w:tcPr>
            <w:tcW w:w="925" w:type="dxa"/>
          </w:tcPr>
          <w:p w14:paraId="791C7FA7" w14:textId="77777777" w:rsidR="004A5787" w:rsidRDefault="004A5787" w:rsidP="0010456E">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p>
          <w:p w14:paraId="555A20BA" w14:textId="77777777" w:rsidR="004A5787" w:rsidRPr="00A00C82" w:rsidRDefault="004A5787" w:rsidP="0010456E">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r>
              <w:rPr>
                <w:rFonts w:ascii="Cambria" w:hAnsi="Cambria" w:cs="Times New Roman"/>
                <w:sz w:val="20"/>
                <w:szCs w:val="20"/>
              </w:rPr>
              <w:t>0.1</w:t>
            </w:r>
          </w:p>
        </w:tc>
        <w:tc>
          <w:tcPr>
            <w:tcW w:w="1236" w:type="dxa"/>
          </w:tcPr>
          <w:p w14:paraId="7DA67188" w14:textId="77777777" w:rsidR="004A5787" w:rsidRDefault="004A5787" w:rsidP="0010456E">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p>
          <w:p w14:paraId="755E792C" w14:textId="77777777" w:rsidR="004A5787" w:rsidRPr="00A00C82" w:rsidRDefault="004A5787" w:rsidP="0010456E">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r>
              <w:rPr>
                <w:rFonts w:ascii="Cambria" w:hAnsi="Cambria" w:cs="Times New Roman"/>
                <w:sz w:val="20"/>
                <w:szCs w:val="20"/>
              </w:rPr>
              <w:t>0.04</w:t>
            </w:r>
          </w:p>
        </w:tc>
        <w:tc>
          <w:tcPr>
            <w:tcW w:w="963" w:type="dxa"/>
          </w:tcPr>
          <w:p w14:paraId="445B761C" w14:textId="77777777" w:rsidR="004A5787" w:rsidRDefault="004A5787" w:rsidP="0010456E">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p>
          <w:p w14:paraId="03CEE405" w14:textId="77777777" w:rsidR="004A5787" w:rsidRPr="00A00C82" w:rsidRDefault="004A5787" w:rsidP="0010456E">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r>
              <w:rPr>
                <w:rFonts w:ascii="Cambria" w:hAnsi="Cambria" w:cs="Times New Roman"/>
                <w:sz w:val="20"/>
                <w:szCs w:val="20"/>
              </w:rPr>
              <w:t>0.06</w:t>
            </w:r>
          </w:p>
        </w:tc>
        <w:tc>
          <w:tcPr>
            <w:tcW w:w="1389" w:type="dxa"/>
          </w:tcPr>
          <w:p w14:paraId="330E511C" w14:textId="77777777" w:rsidR="004A5787" w:rsidRDefault="004A5787" w:rsidP="0010456E">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p>
          <w:p w14:paraId="474A68FA" w14:textId="77777777" w:rsidR="004A5787" w:rsidRPr="00A00C82" w:rsidRDefault="004A5787" w:rsidP="0010456E">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r>
              <w:rPr>
                <w:rFonts w:ascii="Cambria" w:hAnsi="Cambria" w:cs="Times New Roman"/>
                <w:sz w:val="20"/>
                <w:szCs w:val="20"/>
              </w:rPr>
              <w:t>0.01</w:t>
            </w:r>
          </w:p>
        </w:tc>
        <w:tc>
          <w:tcPr>
            <w:tcW w:w="1210" w:type="dxa"/>
          </w:tcPr>
          <w:p w14:paraId="0CAA1571" w14:textId="77777777" w:rsidR="004A5787" w:rsidRDefault="004A5787" w:rsidP="0010456E">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p>
          <w:p w14:paraId="740542A0" w14:textId="77777777" w:rsidR="004A5787" w:rsidRPr="00A00C82" w:rsidRDefault="004A5787" w:rsidP="0010456E">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r>
              <w:rPr>
                <w:rFonts w:ascii="Cambria" w:hAnsi="Cambria" w:cs="Times New Roman"/>
                <w:sz w:val="20"/>
                <w:szCs w:val="20"/>
              </w:rPr>
              <w:t>47</w:t>
            </w:r>
          </w:p>
        </w:tc>
      </w:tr>
    </w:tbl>
    <w:p w14:paraId="2A3D4655" w14:textId="77777777" w:rsidR="004A5787" w:rsidRDefault="004A5787" w:rsidP="004A5787">
      <w:pPr>
        <w:jc w:val="center"/>
        <w:rPr>
          <w:rFonts w:ascii="Garamond" w:hAnsi="Garamond" w:cs="Times New Roman"/>
          <w:sz w:val="44"/>
          <w:szCs w:val="44"/>
        </w:rPr>
      </w:pPr>
    </w:p>
    <w:p w14:paraId="0BC0028C" w14:textId="77777777" w:rsidR="004A5787" w:rsidRDefault="004A5787" w:rsidP="004A5787">
      <w:pPr>
        <w:jc w:val="center"/>
        <w:rPr>
          <w:rFonts w:ascii="Garamond" w:hAnsi="Garamond" w:cs="Times New Roman"/>
          <w:sz w:val="44"/>
          <w:szCs w:val="44"/>
        </w:rPr>
      </w:pPr>
    </w:p>
    <w:p w14:paraId="602E7C44" w14:textId="77777777" w:rsidR="004A5787" w:rsidRDefault="004A5787" w:rsidP="004A5787">
      <w:pPr>
        <w:jc w:val="center"/>
        <w:rPr>
          <w:rFonts w:ascii="Garamond" w:hAnsi="Garamond" w:cs="Times New Roman"/>
          <w:sz w:val="44"/>
          <w:szCs w:val="44"/>
        </w:rPr>
      </w:pPr>
    </w:p>
    <w:p w14:paraId="72621A83" w14:textId="77777777" w:rsidR="004A5787" w:rsidRDefault="004A5787" w:rsidP="004A5787">
      <w:pPr>
        <w:jc w:val="center"/>
        <w:rPr>
          <w:rFonts w:ascii="Garamond" w:hAnsi="Garamond" w:cs="Times New Roman"/>
          <w:sz w:val="44"/>
          <w:szCs w:val="44"/>
        </w:rPr>
        <w:sectPr w:rsidR="004A5787" w:rsidSect="000B7EFD">
          <w:pgSz w:w="11906" w:h="16838"/>
          <w:pgMar w:top="1418" w:right="1418" w:bottom="1418" w:left="1418" w:header="709" w:footer="709" w:gutter="0"/>
          <w:cols w:space="708"/>
          <w:docGrid w:linePitch="360"/>
        </w:sectPr>
      </w:pPr>
    </w:p>
    <w:p w14:paraId="389FFD50" w14:textId="77777777" w:rsidR="004A5787" w:rsidRDefault="004A5787" w:rsidP="004A5787">
      <w:pPr>
        <w:jc w:val="center"/>
        <w:rPr>
          <w:rFonts w:ascii="Garamond" w:hAnsi="Garamond" w:cs="Times New Roman"/>
          <w:sz w:val="44"/>
          <w:szCs w:val="44"/>
        </w:rPr>
      </w:pPr>
      <w:r>
        <w:rPr>
          <w:rFonts w:ascii="Garamond" w:hAnsi="Garamond" w:cs="Times New Roman"/>
          <w:noProof/>
          <w:sz w:val="44"/>
          <w:szCs w:val="44"/>
        </w:rPr>
        <w:lastRenderedPageBreak/>
        <w:drawing>
          <wp:anchor distT="0" distB="0" distL="114300" distR="114300" simplePos="0" relativeHeight="251663360" behindDoc="0" locked="0" layoutInCell="1" allowOverlap="1" wp14:anchorId="4117CA62" wp14:editId="48BBEFB6">
            <wp:simplePos x="0" y="0"/>
            <wp:positionH relativeFrom="column">
              <wp:posOffset>6294120</wp:posOffset>
            </wp:positionH>
            <wp:positionV relativeFrom="paragraph">
              <wp:posOffset>635</wp:posOffset>
            </wp:positionV>
            <wp:extent cx="3084304" cy="1854000"/>
            <wp:effectExtent l="0" t="0" r="190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4304" cy="1854000"/>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cs="Times New Roman"/>
          <w:noProof/>
          <w:sz w:val="44"/>
          <w:szCs w:val="44"/>
        </w:rPr>
        <w:drawing>
          <wp:anchor distT="0" distB="0" distL="114300" distR="114300" simplePos="0" relativeHeight="251662336" behindDoc="0" locked="0" layoutInCell="1" allowOverlap="1" wp14:anchorId="6CE7F859" wp14:editId="1A2F695E">
            <wp:simplePos x="0" y="0"/>
            <wp:positionH relativeFrom="column">
              <wp:posOffset>3017520</wp:posOffset>
            </wp:positionH>
            <wp:positionV relativeFrom="paragraph">
              <wp:posOffset>7620</wp:posOffset>
            </wp:positionV>
            <wp:extent cx="3084304" cy="1854000"/>
            <wp:effectExtent l="0" t="0" r="1905" b="0"/>
            <wp:wrapSquare wrapText="bothSides"/>
            <wp:docPr id="4" name="Picture 4"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h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84304" cy="1854000"/>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cs="Times New Roman"/>
          <w:noProof/>
          <w:sz w:val="44"/>
          <w:szCs w:val="44"/>
        </w:rPr>
        <w:drawing>
          <wp:anchor distT="0" distB="0" distL="114300" distR="114300" simplePos="0" relativeHeight="251661312" behindDoc="0" locked="0" layoutInCell="1" allowOverlap="1" wp14:anchorId="27E9F884" wp14:editId="55EFB0BA">
            <wp:simplePos x="0" y="0"/>
            <wp:positionH relativeFrom="column">
              <wp:posOffset>-267970</wp:posOffset>
            </wp:positionH>
            <wp:positionV relativeFrom="paragraph">
              <wp:posOffset>1905</wp:posOffset>
            </wp:positionV>
            <wp:extent cx="3082925" cy="1852930"/>
            <wp:effectExtent l="0" t="0" r="3175" b="0"/>
            <wp:wrapSquare wrapText="bothSides"/>
            <wp:docPr id="3" name="Picture 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h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82925" cy="1852930"/>
                    </a:xfrm>
                    <a:prstGeom prst="rect">
                      <a:avLst/>
                    </a:prstGeom>
                    <a:noFill/>
                  </pic:spPr>
                </pic:pic>
              </a:graphicData>
            </a:graphic>
            <wp14:sizeRelH relativeFrom="page">
              <wp14:pctWidth>0</wp14:pctWidth>
            </wp14:sizeRelH>
            <wp14:sizeRelV relativeFrom="page">
              <wp14:pctHeight>0</wp14:pctHeight>
            </wp14:sizeRelV>
          </wp:anchor>
        </w:drawing>
      </w:r>
    </w:p>
    <w:p w14:paraId="6CC5CB4A" w14:textId="77777777" w:rsidR="004A5787" w:rsidRDefault="004A5787" w:rsidP="004A5787">
      <w:pPr>
        <w:jc w:val="center"/>
        <w:rPr>
          <w:rFonts w:ascii="Garamond" w:hAnsi="Garamond" w:cs="Times New Roman"/>
          <w:sz w:val="44"/>
          <w:szCs w:val="44"/>
        </w:rPr>
      </w:pPr>
      <w:r>
        <w:rPr>
          <w:rFonts w:ascii="Garamond" w:hAnsi="Garamond" w:cs="Times New Roman"/>
          <w:noProof/>
          <w:sz w:val="44"/>
          <w:szCs w:val="44"/>
        </w:rPr>
        <w:drawing>
          <wp:anchor distT="0" distB="0" distL="114300" distR="114300" simplePos="0" relativeHeight="251665408" behindDoc="0" locked="0" layoutInCell="1" allowOverlap="1" wp14:anchorId="675BA210" wp14:editId="41653F7E">
            <wp:simplePos x="0" y="0"/>
            <wp:positionH relativeFrom="column">
              <wp:posOffset>782955</wp:posOffset>
            </wp:positionH>
            <wp:positionV relativeFrom="paragraph">
              <wp:posOffset>8255</wp:posOffset>
            </wp:positionV>
            <wp:extent cx="3084195" cy="1853565"/>
            <wp:effectExtent l="0" t="0" r="1905" b="0"/>
            <wp:wrapSquare wrapText="bothSides"/>
            <wp:docPr id="17" name="Picture 17"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char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84195" cy="1853565"/>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cs="Times New Roman"/>
          <w:noProof/>
          <w:sz w:val="44"/>
          <w:szCs w:val="44"/>
        </w:rPr>
        <w:drawing>
          <wp:anchor distT="0" distB="0" distL="114300" distR="114300" simplePos="0" relativeHeight="251664384" behindDoc="0" locked="0" layoutInCell="1" allowOverlap="1" wp14:anchorId="64418C07" wp14:editId="41A5DEC8">
            <wp:simplePos x="0" y="0"/>
            <wp:positionH relativeFrom="column">
              <wp:posOffset>4187045</wp:posOffset>
            </wp:positionH>
            <wp:positionV relativeFrom="paragraph">
              <wp:posOffset>8745</wp:posOffset>
            </wp:positionV>
            <wp:extent cx="3084195" cy="1853565"/>
            <wp:effectExtent l="0" t="0" r="1905" b="0"/>
            <wp:wrapSquare wrapText="bothSides"/>
            <wp:docPr id="10" name="Picture 10"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char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84195" cy="1853565"/>
                    </a:xfrm>
                    <a:prstGeom prst="rect">
                      <a:avLst/>
                    </a:prstGeom>
                    <a:noFill/>
                  </pic:spPr>
                </pic:pic>
              </a:graphicData>
            </a:graphic>
            <wp14:sizeRelH relativeFrom="page">
              <wp14:pctWidth>0</wp14:pctWidth>
            </wp14:sizeRelH>
            <wp14:sizeRelV relativeFrom="page">
              <wp14:pctHeight>0</wp14:pctHeight>
            </wp14:sizeRelV>
          </wp:anchor>
        </w:drawing>
      </w:r>
    </w:p>
    <w:p w14:paraId="7B14BEEE" w14:textId="77777777" w:rsidR="004A5787" w:rsidRDefault="004A5787" w:rsidP="004A5787">
      <w:pPr>
        <w:jc w:val="center"/>
        <w:rPr>
          <w:rFonts w:ascii="Garamond" w:hAnsi="Garamond" w:cs="Times New Roman"/>
          <w:sz w:val="44"/>
          <w:szCs w:val="44"/>
        </w:rPr>
      </w:pPr>
    </w:p>
    <w:p w14:paraId="65EDA3C6" w14:textId="77777777" w:rsidR="004A5787" w:rsidRDefault="004A5787" w:rsidP="004A5787">
      <w:pPr>
        <w:jc w:val="both"/>
        <w:rPr>
          <w:rFonts w:ascii="Cambria" w:hAnsi="Cambria"/>
          <w:b/>
          <w:bCs/>
          <w:lang w:eastAsia="en-AU"/>
        </w:rPr>
      </w:pPr>
    </w:p>
    <w:p w14:paraId="68B0D1BF" w14:textId="77777777" w:rsidR="004A5787" w:rsidRDefault="004A5787" w:rsidP="004A5787">
      <w:pPr>
        <w:jc w:val="both"/>
        <w:rPr>
          <w:rFonts w:ascii="Cambria" w:hAnsi="Cambria"/>
          <w:b/>
          <w:bCs/>
          <w:lang w:eastAsia="en-AU"/>
        </w:rPr>
      </w:pPr>
    </w:p>
    <w:p w14:paraId="626B7F06" w14:textId="77777777" w:rsidR="004A5787" w:rsidRDefault="004A5787" w:rsidP="004A5787">
      <w:pPr>
        <w:jc w:val="both"/>
        <w:rPr>
          <w:rFonts w:ascii="Cambria" w:hAnsi="Cambria"/>
          <w:b/>
          <w:bCs/>
          <w:lang w:eastAsia="en-AU"/>
        </w:rPr>
      </w:pPr>
    </w:p>
    <w:p w14:paraId="50F505EF" w14:textId="77777777" w:rsidR="004A5787" w:rsidRDefault="004A5787" w:rsidP="004A5787">
      <w:pPr>
        <w:jc w:val="both"/>
        <w:rPr>
          <w:rFonts w:ascii="Cambria" w:hAnsi="Cambria"/>
          <w:b/>
          <w:bCs/>
          <w:lang w:eastAsia="en-AU"/>
        </w:rPr>
      </w:pPr>
    </w:p>
    <w:p w14:paraId="62F18C38" w14:textId="77777777" w:rsidR="004A5787" w:rsidRPr="00AA04A1" w:rsidRDefault="004A5787" w:rsidP="004A5787">
      <w:pPr>
        <w:jc w:val="both"/>
        <w:rPr>
          <w:rFonts w:ascii="Cambria" w:eastAsia="Times New Roman" w:hAnsi="Cambria" w:cs="Times New Roman"/>
          <w:lang w:eastAsia="en-AU"/>
        </w:rPr>
      </w:pPr>
      <w:r>
        <w:rPr>
          <w:rFonts w:ascii="Cambria" w:hAnsi="Cambria"/>
          <w:b/>
          <w:bCs/>
          <w:lang w:eastAsia="en-AU"/>
        </w:rPr>
        <w:t>Figure</w:t>
      </w:r>
      <w:r w:rsidRPr="00AA04A1">
        <w:rPr>
          <w:rFonts w:ascii="Cambria" w:hAnsi="Cambria"/>
          <w:b/>
          <w:bCs/>
          <w:lang w:eastAsia="en-AU"/>
        </w:rPr>
        <w:t xml:space="preserve"> </w:t>
      </w:r>
      <w:r>
        <w:rPr>
          <w:rFonts w:ascii="Cambria" w:hAnsi="Cambria"/>
          <w:b/>
          <w:bCs/>
          <w:lang w:eastAsia="en-AU"/>
        </w:rPr>
        <w:t xml:space="preserve">S3. Contribution of 27 European Union Member states to international </w:t>
      </w:r>
      <w:proofErr w:type="spellStart"/>
      <w:r>
        <w:rPr>
          <w:rFonts w:ascii="Cambria" w:hAnsi="Cambria"/>
          <w:b/>
          <w:bCs/>
          <w:lang w:eastAsia="en-AU"/>
        </w:rPr>
        <w:t>spillover</w:t>
      </w:r>
      <w:proofErr w:type="spellEnd"/>
      <w:r>
        <w:rPr>
          <w:rFonts w:ascii="Cambria" w:hAnsi="Cambria"/>
          <w:b/>
          <w:bCs/>
          <w:lang w:eastAsia="en-AU"/>
        </w:rPr>
        <w:t xml:space="preserve"> effects. The numbers reflect percentages for the role of EU states in driving </w:t>
      </w:r>
      <w:proofErr w:type="spellStart"/>
      <w:r>
        <w:rPr>
          <w:rFonts w:ascii="Cambria" w:hAnsi="Cambria"/>
          <w:b/>
          <w:bCs/>
          <w:lang w:eastAsia="en-AU"/>
        </w:rPr>
        <w:t>spillover</w:t>
      </w:r>
      <w:proofErr w:type="spellEnd"/>
      <w:r>
        <w:rPr>
          <w:rFonts w:ascii="Cambria" w:hAnsi="Cambria"/>
          <w:b/>
          <w:bCs/>
          <w:lang w:eastAsia="en-AU"/>
        </w:rPr>
        <w:t xml:space="preserve"> effects in countries outside of the EU, calculated using the total footprints of the EU for various indicators.</w:t>
      </w:r>
      <w:r w:rsidRPr="00AA04A1">
        <w:rPr>
          <w:rFonts w:ascii="Cambria" w:eastAsia="Times New Roman" w:hAnsi="Cambria" w:cs="Times New Roman"/>
          <w:b/>
          <w:bCs/>
          <w:lang w:eastAsia="en-AU"/>
        </w:rPr>
        <w:t xml:space="preserve"> </w:t>
      </w:r>
      <w:r w:rsidRPr="00AA04A1">
        <w:rPr>
          <w:rFonts w:ascii="Cambria" w:eastAsia="Times New Roman" w:hAnsi="Cambria" w:cs="Times New Roman"/>
          <w:lang w:eastAsia="en-AU"/>
        </w:rPr>
        <w:t>(Source: Authors’ illustration).</w:t>
      </w:r>
    </w:p>
    <w:p w14:paraId="679D3DD9" w14:textId="77777777" w:rsidR="004A5787" w:rsidRDefault="004A5787" w:rsidP="004A5787">
      <w:pPr>
        <w:jc w:val="center"/>
        <w:rPr>
          <w:rFonts w:ascii="Garamond" w:hAnsi="Garamond" w:cs="Times New Roman"/>
          <w:sz w:val="44"/>
          <w:szCs w:val="44"/>
        </w:rPr>
        <w:sectPr w:rsidR="004A5787" w:rsidSect="002D24B9">
          <w:pgSz w:w="16838" w:h="11906" w:orient="landscape"/>
          <w:pgMar w:top="1418" w:right="1418" w:bottom="1418" w:left="1418" w:header="709" w:footer="709" w:gutter="0"/>
          <w:cols w:space="708"/>
          <w:docGrid w:linePitch="360"/>
        </w:sectPr>
      </w:pPr>
    </w:p>
    <w:p w14:paraId="165A9131" w14:textId="45D44ECB" w:rsidR="004A5787" w:rsidRDefault="004A5787" w:rsidP="004A5787">
      <w:pPr>
        <w:rPr>
          <w:rFonts w:ascii="Cambria" w:hAnsi="Cambria"/>
          <w:b/>
          <w:bCs/>
          <w:lang w:eastAsia="en-AU"/>
        </w:rPr>
      </w:pPr>
      <w:r>
        <w:rPr>
          <w:rFonts w:ascii="Cambria" w:hAnsi="Cambria"/>
          <w:b/>
          <w:bCs/>
          <w:lang w:eastAsia="en-AU"/>
        </w:rPr>
        <w:lastRenderedPageBreak/>
        <w:t>Table S2</w:t>
      </w:r>
      <w:r w:rsidRPr="005943B5">
        <w:rPr>
          <w:rFonts w:ascii="Cambria" w:hAnsi="Cambria"/>
          <w:b/>
          <w:bCs/>
          <w:lang w:eastAsia="en-AU"/>
        </w:rPr>
        <w:t xml:space="preserve"> </w:t>
      </w:r>
      <w:r>
        <w:rPr>
          <w:rFonts w:ascii="Cambria" w:hAnsi="Cambria"/>
          <w:b/>
          <w:bCs/>
          <w:lang w:eastAsia="en-AU"/>
        </w:rPr>
        <w:t xml:space="preserve">An overview of intra-EU trade – an example of two key EU member states for selected commodities </w:t>
      </w:r>
      <w:r>
        <w:rPr>
          <w:rFonts w:ascii="Cambria" w:hAnsi="Cambria"/>
          <w:b/>
          <w:bCs/>
          <w:lang w:eastAsia="en-AU"/>
        </w:rPr>
        <w:fldChar w:fldCharType="begin"/>
      </w:r>
      <w:r>
        <w:rPr>
          <w:rFonts w:ascii="Cambria" w:hAnsi="Cambria"/>
          <w:b/>
          <w:bCs/>
          <w:lang w:eastAsia="en-AU"/>
        </w:rPr>
        <w:instrText xml:space="preserve"> ADDIN EN.CITE &lt;EndNote&gt;&lt;Cite&gt;&lt;Author&gt;ATLAS&lt;/Author&gt;&lt;Year&gt;2021&lt;/Year&gt;&lt;RecNum&gt;631&lt;/RecNum&gt;&lt;DisplayText&gt;(ATLAS, 2021)&lt;/DisplayText&gt;&lt;record&gt;&lt;rec-number&gt;631&lt;/rec-number&gt;&lt;foreign-keys&gt;&lt;key app="EN" db-id="rtrw0rse8z9zxie05fbpfsz9z2dfaawz99df" timestamp="1438845612"&gt;631&lt;/key&gt;&lt;/foreign-keys&gt;&lt;ref-type name="Book"&gt;6&lt;/ref-type&gt;&lt;contributors&gt;&lt;authors&gt;&lt;author&gt;ATLAS,&lt;/author&gt;&lt;/authors&gt;&lt;/contributors&gt;&lt;titles&gt;&lt;title&gt;The Atlas of Economic Complexity: http://atlas.cid.harvard.edu/&lt;/title&gt;&lt;/titles&gt;&lt;volume&gt;2021&lt;/volume&gt;&lt;number&gt;6 August&lt;/number&gt;&lt;dates&gt;&lt;year&gt;2021&lt;/year&gt;&lt;/dates&gt;&lt;urls&gt;&lt;related-urls&gt;&lt;url&gt;http://atlas.cid.harvard.edu/&lt;/url&gt;&lt;/related-urls&gt;&lt;/urls&gt;&lt;/record&gt;&lt;/Cite&gt;&lt;/EndNote&gt;</w:instrText>
      </w:r>
      <w:r>
        <w:rPr>
          <w:rFonts w:ascii="Cambria" w:hAnsi="Cambria"/>
          <w:b/>
          <w:bCs/>
          <w:lang w:eastAsia="en-AU"/>
        </w:rPr>
        <w:fldChar w:fldCharType="separate"/>
      </w:r>
      <w:r>
        <w:rPr>
          <w:rFonts w:ascii="Cambria" w:hAnsi="Cambria"/>
          <w:b/>
          <w:bCs/>
          <w:noProof/>
          <w:lang w:eastAsia="en-AU"/>
        </w:rPr>
        <w:t>(ATLAS, 2021)</w:t>
      </w:r>
      <w:r>
        <w:rPr>
          <w:rFonts w:ascii="Cambria" w:hAnsi="Cambria"/>
          <w:b/>
          <w:bCs/>
          <w:lang w:eastAsia="en-AU"/>
        </w:rPr>
        <w:fldChar w:fldCharType="end"/>
      </w:r>
    </w:p>
    <w:tbl>
      <w:tblPr>
        <w:tblStyle w:val="GridTable5Dark-Accent11"/>
        <w:tblW w:w="0" w:type="auto"/>
        <w:jc w:val="center"/>
        <w:tblLook w:val="04A0" w:firstRow="1" w:lastRow="0" w:firstColumn="1" w:lastColumn="0" w:noHBand="0" w:noVBand="1"/>
      </w:tblPr>
      <w:tblGrid>
        <w:gridCol w:w="1968"/>
        <w:gridCol w:w="7005"/>
        <w:gridCol w:w="43"/>
      </w:tblGrid>
      <w:tr w:rsidR="004A5787" w:rsidRPr="00626011" w14:paraId="05900BB7" w14:textId="77777777" w:rsidTr="0010456E">
        <w:trPr>
          <w:cnfStyle w:val="100000000000" w:firstRow="1" w:lastRow="0" w:firstColumn="0" w:lastColumn="0" w:oddVBand="0" w:evenVBand="0" w:oddHBand="0" w:evenHBand="0" w:firstRowFirstColumn="0" w:firstRowLastColumn="0" w:lastRowFirstColumn="0" w:lastRowLastColumn="0"/>
          <w:trHeight w:val="544"/>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B80B2BC" w14:textId="77777777" w:rsidR="004A5787" w:rsidRPr="00C920FF" w:rsidRDefault="004A5787" w:rsidP="0010456E">
            <w:pPr>
              <w:jc w:val="center"/>
              <w:rPr>
                <w:rFonts w:ascii="Cambria" w:hAnsi="Cambria" w:cs="Times New Roman"/>
                <w:sz w:val="20"/>
                <w:szCs w:val="20"/>
              </w:rPr>
            </w:pPr>
            <w:r w:rsidRPr="00C920FF">
              <w:rPr>
                <w:rFonts w:ascii="Cambria" w:hAnsi="Cambria" w:cs="Times New Roman"/>
                <w:sz w:val="20"/>
                <w:szCs w:val="20"/>
              </w:rPr>
              <w:t>EU member state</w:t>
            </w:r>
          </w:p>
        </w:tc>
        <w:tc>
          <w:tcPr>
            <w:tcW w:w="7036" w:type="dxa"/>
            <w:gridSpan w:val="2"/>
            <w:vAlign w:val="center"/>
          </w:tcPr>
          <w:p w14:paraId="0355970A" w14:textId="77777777" w:rsidR="004A5787" w:rsidRPr="00C920FF" w:rsidRDefault="004A5787" w:rsidP="0010456E">
            <w:pPr>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sz w:val="20"/>
                <w:szCs w:val="20"/>
              </w:rPr>
            </w:pPr>
            <w:r>
              <w:rPr>
                <w:rFonts w:ascii="Cambria" w:hAnsi="Cambria" w:cs="Times New Roman"/>
                <w:sz w:val="20"/>
                <w:szCs w:val="20"/>
              </w:rPr>
              <w:t>Imports (intra-EU trade)</w:t>
            </w:r>
          </w:p>
        </w:tc>
      </w:tr>
      <w:tr w:rsidR="004A5787" w:rsidRPr="00626011" w14:paraId="048D5BAA" w14:textId="77777777" w:rsidTr="0010456E">
        <w:trPr>
          <w:gridAfter w:val="1"/>
          <w:cnfStyle w:val="000000100000" w:firstRow="0" w:lastRow="0" w:firstColumn="0" w:lastColumn="0" w:oddVBand="0" w:evenVBand="0" w:oddHBand="1" w:evenHBand="0" w:firstRowFirstColumn="0" w:firstRowLastColumn="0" w:lastRowFirstColumn="0" w:lastRowLastColumn="0"/>
          <w:wAfter w:w="44" w:type="dxa"/>
          <w:trHeight w:val="731"/>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21E1DFC" w14:textId="77777777" w:rsidR="004A5787" w:rsidRPr="00C920FF" w:rsidRDefault="004A5787" w:rsidP="0010456E">
            <w:pPr>
              <w:jc w:val="center"/>
              <w:rPr>
                <w:rFonts w:ascii="Cambria" w:hAnsi="Cambria" w:cs="Times New Roman"/>
                <w:sz w:val="20"/>
                <w:szCs w:val="20"/>
              </w:rPr>
            </w:pPr>
            <w:r>
              <w:rPr>
                <w:rFonts w:ascii="Cambria" w:hAnsi="Cambria" w:cs="Times New Roman"/>
                <w:sz w:val="20"/>
                <w:szCs w:val="20"/>
              </w:rPr>
              <w:t>Germany</w:t>
            </w:r>
          </w:p>
        </w:tc>
        <w:tc>
          <w:tcPr>
            <w:tcW w:w="7080" w:type="dxa"/>
            <w:vAlign w:val="center"/>
          </w:tcPr>
          <w:p w14:paraId="5871105B" w14:textId="77777777" w:rsidR="004A5787" w:rsidRPr="00C920FF" w:rsidRDefault="004A5787" w:rsidP="0010456E">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r>
              <w:rPr>
                <w:rFonts w:ascii="Cambria" w:hAnsi="Cambria" w:cs="Times New Roman"/>
                <w:sz w:val="20"/>
                <w:szCs w:val="20"/>
              </w:rPr>
              <w:t xml:space="preserve">Avocadoes (Spain); Grapes (Italy); Onions and shallots (Netherlands); Peaches and nectarines (Spain); Tomatoes (Belgium); Carrots and turnips (Belgium); </w:t>
            </w:r>
          </w:p>
        </w:tc>
      </w:tr>
      <w:tr w:rsidR="004A5787" w:rsidRPr="00626011" w14:paraId="42C02079" w14:textId="77777777" w:rsidTr="0010456E">
        <w:trPr>
          <w:gridAfter w:val="1"/>
          <w:wAfter w:w="44" w:type="dxa"/>
          <w:trHeight w:val="1124"/>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E0242C1" w14:textId="77777777" w:rsidR="004A5787" w:rsidRPr="00C920FF" w:rsidRDefault="004A5787" w:rsidP="0010456E">
            <w:pPr>
              <w:jc w:val="center"/>
              <w:rPr>
                <w:rFonts w:ascii="Cambria" w:hAnsi="Cambria" w:cs="Times New Roman"/>
                <w:sz w:val="20"/>
                <w:szCs w:val="20"/>
              </w:rPr>
            </w:pPr>
            <w:r>
              <w:rPr>
                <w:rFonts w:ascii="Cambria" w:hAnsi="Cambria" w:cs="Times New Roman"/>
                <w:sz w:val="20"/>
                <w:szCs w:val="20"/>
              </w:rPr>
              <w:t>France</w:t>
            </w:r>
          </w:p>
        </w:tc>
        <w:tc>
          <w:tcPr>
            <w:tcW w:w="7080" w:type="dxa"/>
            <w:vAlign w:val="center"/>
          </w:tcPr>
          <w:p w14:paraId="77C7B037" w14:textId="77777777" w:rsidR="004A5787" w:rsidRPr="00C920FF" w:rsidRDefault="004A5787" w:rsidP="0010456E">
            <w:pPr>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sz w:val="20"/>
                <w:szCs w:val="20"/>
              </w:rPr>
            </w:pPr>
            <w:r>
              <w:rPr>
                <w:rFonts w:ascii="Cambria" w:hAnsi="Cambria" w:cs="Times New Roman"/>
                <w:sz w:val="20"/>
                <w:szCs w:val="20"/>
              </w:rPr>
              <w:t>Apples (Italy); Apricots (Spain); Bananas and plantains (Netherlands); Barley (France); Cherries (Austria); Cocoa (France)</w:t>
            </w:r>
          </w:p>
        </w:tc>
      </w:tr>
    </w:tbl>
    <w:p w14:paraId="5FAA8A69" w14:textId="77777777" w:rsidR="004A5787" w:rsidRDefault="004A5787" w:rsidP="004A5787">
      <w:pPr>
        <w:jc w:val="center"/>
        <w:rPr>
          <w:rFonts w:ascii="Garamond" w:hAnsi="Garamond" w:cs="Times New Roman"/>
          <w:sz w:val="44"/>
          <w:szCs w:val="44"/>
        </w:rPr>
      </w:pPr>
    </w:p>
    <w:p w14:paraId="2C8CD0C9" w14:textId="77777777" w:rsidR="004A5787" w:rsidRDefault="004A5787" w:rsidP="004A5787">
      <w:pPr>
        <w:rPr>
          <w:rFonts w:ascii="Garamond" w:hAnsi="Garamond" w:cs="Times New Roman"/>
          <w:sz w:val="44"/>
          <w:szCs w:val="44"/>
        </w:rPr>
      </w:pPr>
    </w:p>
    <w:p w14:paraId="3132856A" w14:textId="77777777" w:rsidR="004A5787" w:rsidRDefault="004A5787" w:rsidP="004A5787">
      <w:pPr>
        <w:jc w:val="center"/>
        <w:rPr>
          <w:rFonts w:ascii="Garamond" w:hAnsi="Garamond" w:cs="Times New Roman"/>
          <w:sz w:val="44"/>
          <w:szCs w:val="44"/>
        </w:rPr>
      </w:pPr>
      <w:r>
        <w:rPr>
          <w:noProof/>
          <w:lang w:val="de-DE" w:eastAsia="de-DE"/>
        </w:rPr>
        <w:lastRenderedPageBreak/>
        <mc:AlternateContent>
          <mc:Choice Requires="wps">
            <w:drawing>
              <wp:anchor distT="0" distB="0" distL="114300" distR="114300" simplePos="0" relativeHeight="251660288" behindDoc="0" locked="0" layoutInCell="1" allowOverlap="1" wp14:anchorId="13606A43" wp14:editId="74D94A61">
                <wp:simplePos x="0" y="0"/>
                <wp:positionH relativeFrom="column">
                  <wp:posOffset>0</wp:posOffset>
                </wp:positionH>
                <wp:positionV relativeFrom="paragraph">
                  <wp:posOffset>437515</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E790D9A" w14:textId="77777777" w:rsidR="004A5787" w:rsidRPr="00C928BD" w:rsidRDefault="004A5787" w:rsidP="004A5787">
                            <w:pPr>
                              <w:jc w:val="center"/>
                              <w:rPr>
                                <w:rFonts w:ascii="Cambria" w:hAnsi="Cambria"/>
                                <w:b/>
                                <w:bCs/>
                                <w:sz w:val="18"/>
                                <w:szCs w:val="18"/>
                                <w:lang w:eastAsia="en-AU"/>
                              </w:rPr>
                            </w:pPr>
                            <w:r w:rsidRPr="00C928BD">
                              <w:rPr>
                                <w:rFonts w:ascii="Cambria" w:hAnsi="Cambria"/>
                                <w:b/>
                                <w:bCs/>
                                <w:sz w:val="18"/>
                                <w:szCs w:val="18"/>
                                <w:lang w:eastAsia="en-AU"/>
                              </w:rPr>
                              <w:t xml:space="preserve">Box </w:t>
                            </w:r>
                            <w:r>
                              <w:rPr>
                                <w:rFonts w:ascii="Cambria" w:hAnsi="Cambria"/>
                                <w:b/>
                                <w:bCs/>
                                <w:sz w:val="18"/>
                                <w:szCs w:val="18"/>
                                <w:lang w:eastAsia="en-AU"/>
                              </w:rPr>
                              <w:t>S</w:t>
                            </w:r>
                            <w:r w:rsidRPr="00C928BD">
                              <w:rPr>
                                <w:rFonts w:ascii="Cambria" w:hAnsi="Cambria"/>
                                <w:b/>
                                <w:bCs/>
                                <w:sz w:val="18"/>
                                <w:szCs w:val="18"/>
                                <w:lang w:eastAsia="en-AU"/>
                              </w:rPr>
                              <w:t xml:space="preserve">1. The </w:t>
                            </w:r>
                            <w:r>
                              <w:rPr>
                                <w:rFonts w:ascii="Cambria" w:hAnsi="Cambria"/>
                                <w:b/>
                                <w:bCs/>
                                <w:sz w:val="18"/>
                                <w:szCs w:val="18"/>
                                <w:lang w:eastAsia="en-AU"/>
                              </w:rPr>
                              <w:t>F</w:t>
                            </w:r>
                            <w:r w:rsidRPr="00C928BD">
                              <w:rPr>
                                <w:rFonts w:ascii="Cambria" w:hAnsi="Cambria"/>
                                <w:b/>
                                <w:bCs/>
                                <w:sz w:val="18"/>
                                <w:szCs w:val="18"/>
                                <w:lang w:eastAsia="en-AU"/>
                              </w:rPr>
                              <w:t>our</w:t>
                            </w:r>
                            <w:r>
                              <w:rPr>
                                <w:rFonts w:ascii="Cambria" w:hAnsi="Cambria"/>
                                <w:b/>
                                <w:bCs/>
                                <w:sz w:val="18"/>
                                <w:szCs w:val="18"/>
                                <w:lang w:eastAsia="en-AU"/>
                              </w:rPr>
                              <w:t xml:space="preserve"> P</w:t>
                            </w:r>
                            <w:r w:rsidRPr="00C928BD">
                              <w:rPr>
                                <w:rFonts w:ascii="Cambria" w:hAnsi="Cambria"/>
                                <w:b/>
                                <w:bCs/>
                                <w:sz w:val="18"/>
                                <w:szCs w:val="18"/>
                                <w:lang w:eastAsia="en-AU"/>
                              </w:rPr>
                              <w:t xml:space="preserve">illar </w:t>
                            </w:r>
                            <w:r>
                              <w:rPr>
                                <w:rFonts w:ascii="Cambria" w:hAnsi="Cambria"/>
                                <w:b/>
                                <w:bCs/>
                                <w:sz w:val="18"/>
                                <w:szCs w:val="18"/>
                                <w:lang w:eastAsia="en-AU"/>
                              </w:rPr>
                              <w:t>F</w:t>
                            </w:r>
                            <w:r w:rsidRPr="00C928BD">
                              <w:rPr>
                                <w:rFonts w:ascii="Cambria" w:hAnsi="Cambria"/>
                                <w:b/>
                                <w:bCs/>
                                <w:sz w:val="18"/>
                                <w:szCs w:val="18"/>
                                <w:lang w:eastAsia="en-AU"/>
                              </w:rPr>
                              <w:t>ramework for food companies’ alignment with the SDGs</w:t>
                            </w:r>
                          </w:p>
                          <w:p w14:paraId="250B9986" w14:textId="77777777" w:rsidR="004A5787" w:rsidRPr="00C928BD" w:rsidRDefault="004A5787" w:rsidP="004A5787">
                            <w:pPr>
                              <w:jc w:val="both"/>
                              <w:rPr>
                                <w:rFonts w:ascii="Cambria" w:hAnsi="Cambria"/>
                                <w:sz w:val="18"/>
                                <w:szCs w:val="18"/>
                                <w:lang w:eastAsia="en-AU"/>
                              </w:rPr>
                            </w:pPr>
                            <w:r w:rsidRPr="00C928BD">
                              <w:rPr>
                                <w:rFonts w:ascii="Cambria" w:hAnsi="Cambria"/>
                                <w:sz w:val="18"/>
                                <w:szCs w:val="18"/>
                                <w:lang w:eastAsia="en-AU"/>
                              </w:rPr>
                              <w:t xml:space="preserve">The </w:t>
                            </w:r>
                            <w:r>
                              <w:rPr>
                                <w:rFonts w:ascii="Cambria" w:hAnsi="Cambria"/>
                                <w:sz w:val="18"/>
                                <w:szCs w:val="18"/>
                                <w:lang w:eastAsia="en-AU"/>
                              </w:rPr>
                              <w:t>F</w:t>
                            </w:r>
                            <w:r w:rsidRPr="00C928BD">
                              <w:rPr>
                                <w:rFonts w:ascii="Cambria" w:hAnsi="Cambria"/>
                                <w:sz w:val="18"/>
                                <w:szCs w:val="18"/>
                                <w:lang w:eastAsia="en-AU"/>
                              </w:rPr>
                              <w:t>our</w:t>
                            </w:r>
                            <w:r>
                              <w:rPr>
                                <w:rFonts w:ascii="Cambria" w:hAnsi="Cambria"/>
                                <w:sz w:val="18"/>
                                <w:szCs w:val="18"/>
                                <w:lang w:eastAsia="en-AU"/>
                              </w:rPr>
                              <w:t xml:space="preserve"> P</w:t>
                            </w:r>
                            <w:r w:rsidRPr="00C928BD">
                              <w:rPr>
                                <w:rFonts w:ascii="Cambria" w:hAnsi="Cambria"/>
                                <w:sz w:val="18"/>
                                <w:szCs w:val="18"/>
                                <w:lang w:eastAsia="en-AU"/>
                              </w:rPr>
                              <w:t xml:space="preserve">illar </w:t>
                            </w:r>
                            <w:r>
                              <w:rPr>
                                <w:rFonts w:ascii="Cambria" w:hAnsi="Cambria"/>
                                <w:sz w:val="18"/>
                                <w:szCs w:val="18"/>
                                <w:lang w:eastAsia="en-AU"/>
                              </w:rPr>
                              <w:t>F</w:t>
                            </w:r>
                            <w:r w:rsidRPr="00C928BD">
                              <w:rPr>
                                <w:rFonts w:ascii="Cambria" w:hAnsi="Cambria"/>
                                <w:sz w:val="18"/>
                                <w:szCs w:val="18"/>
                                <w:lang w:eastAsia="en-AU"/>
                              </w:rPr>
                              <w:t xml:space="preserve">ramework published by </w:t>
                            </w:r>
                            <w:proofErr w:type="gramStart"/>
                            <w:r w:rsidRPr="00C928BD">
                              <w:rPr>
                                <w:rFonts w:ascii="Cambria" w:hAnsi="Cambria"/>
                                <w:sz w:val="18"/>
                                <w:szCs w:val="18"/>
                                <w:lang w:eastAsia="en-AU"/>
                              </w:rPr>
                              <w:t>SDSN</w:t>
                            </w:r>
                            <w:proofErr w:type="gramEnd"/>
                            <w:r w:rsidRPr="00C928BD">
                              <w:rPr>
                                <w:rFonts w:ascii="Cambria" w:hAnsi="Cambria"/>
                                <w:sz w:val="18"/>
                                <w:szCs w:val="18"/>
                                <w:lang w:eastAsia="en-AU"/>
                              </w:rPr>
                              <w:t xml:space="preserve"> and partners emphasizes the importance of four major pillars to monitor and address negative environmental (and social) impacts of food companies:</w:t>
                            </w:r>
                          </w:p>
                          <w:p w14:paraId="490D7595" w14:textId="77777777" w:rsidR="004A5787" w:rsidRPr="00C928BD" w:rsidRDefault="004A5787" w:rsidP="004A5787">
                            <w:pPr>
                              <w:pStyle w:val="ListParagraph"/>
                              <w:numPr>
                                <w:ilvl w:val="0"/>
                                <w:numId w:val="2"/>
                              </w:numPr>
                              <w:jc w:val="both"/>
                              <w:rPr>
                                <w:rFonts w:ascii="Cambria" w:hAnsi="Cambria"/>
                                <w:sz w:val="18"/>
                                <w:szCs w:val="18"/>
                                <w:lang w:eastAsia="en-AU"/>
                              </w:rPr>
                            </w:pPr>
                            <w:r w:rsidRPr="00C928BD">
                              <w:rPr>
                                <w:rFonts w:ascii="Cambria" w:hAnsi="Cambria"/>
                                <w:sz w:val="18"/>
                                <w:szCs w:val="18"/>
                                <w:lang w:eastAsia="en-AU"/>
                              </w:rPr>
                              <w:t xml:space="preserve">Pillar 1 highlights the impact of a </w:t>
                            </w:r>
                            <w:r w:rsidRPr="00C928BD">
                              <w:rPr>
                                <w:rFonts w:ascii="Cambria" w:hAnsi="Cambria"/>
                                <w:b/>
                                <w:bCs/>
                                <w:sz w:val="18"/>
                                <w:szCs w:val="18"/>
                                <w:lang w:eastAsia="en-AU"/>
                              </w:rPr>
                              <w:t>company’s products</w:t>
                            </w:r>
                            <w:r w:rsidRPr="00C928BD">
                              <w:rPr>
                                <w:rFonts w:ascii="Cambria" w:hAnsi="Cambria"/>
                                <w:sz w:val="18"/>
                                <w:szCs w:val="18"/>
                                <w:lang w:eastAsia="en-AU"/>
                              </w:rPr>
                              <w:t>, services, and strategies on human wellbeing and the</w:t>
                            </w:r>
                            <w:r w:rsidRPr="00C928BD">
                              <w:rPr>
                                <w:rFonts w:ascii="Cambria" w:hAnsi="Cambria"/>
                                <w:sz w:val="16"/>
                                <w:szCs w:val="16"/>
                                <w:lang w:eastAsia="en-AU"/>
                              </w:rPr>
                              <w:t xml:space="preserve"> </w:t>
                            </w:r>
                            <w:r w:rsidRPr="00C928BD">
                              <w:rPr>
                                <w:rFonts w:ascii="Cambria" w:hAnsi="Cambria"/>
                                <w:sz w:val="18"/>
                                <w:szCs w:val="18"/>
                                <w:lang w:eastAsia="en-AU"/>
                              </w:rPr>
                              <w:t xml:space="preserve">planet’s sustainability. For the food processing companies, this Pillar helps bring into focus the contributions to healthy and sustainable dietary patterns through their products and strategies. This includes whether food products are healthful, whether product marketing promotes health, and whether product use is conducive to well-being and supportive of improved living </w:t>
                            </w:r>
                            <w:proofErr w:type="gramStart"/>
                            <w:r w:rsidRPr="00C928BD">
                              <w:rPr>
                                <w:rFonts w:ascii="Cambria" w:hAnsi="Cambria"/>
                                <w:sz w:val="18"/>
                                <w:szCs w:val="18"/>
                                <w:lang w:eastAsia="en-AU"/>
                              </w:rPr>
                              <w:t>standards</w:t>
                            </w:r>
                            <w:proofErr w:type="gramEnd"/>
                          </w:p>
                          <w:p w14:paraId="2464AF0B" w14:textId="77777777" w:rsidR="004A5787" w:rsidRPr="00C928BD" w:rsidRDefault="004A5787" w:rsidP="004A5787">
                            <w:pPr>
                              <w:pStyle w:val="ListParagraph"/>
                              <w:jc w:val="both"/>
                              <w:rPr>
                                <w:rFonts w:ascii="Cambria" w:hAnsi="Cambria"/>
                                <w:sz w:val="18"/>
                                <w:szCs w:val="18"/>
                                <w:lang w:eastAsia="en-AU"/>
                              </w:rPr>
                            </w:pPr>
                          </w:p>
                          <w:p w14:paraId="459C11A3" w14:textId="77777777" w:rsidR="004A5787" w:rsidRPr="00C928BD" w:rsidRDefault="004A5787" w:rsidP="004A5787">
                            <w:pPr>
                              <w:pStyle w:val="ListParagraph"/>
                              <w:numPr>
                                <w:ilvl w:val="0"/>
                                <w:numId w:val="2"/>
                              </w:numPr>
                              <w:jc w:val="both"/>
                              <w:rPr>
                                <w:rFonts w:ascii="Cambria" w:hAnsi="Cambria"/>
                                <w:sz w:val="18"/>
                                <w:szCs w:val="18"/>
                                <w:lang w:eastAsia="en-AU"/>
                              </w:rPr>
                            </w:pPr>
                            <w:r w:rsidRPr="00C928BD">
                              <w:rPr>
                                <w:rFonts w:ascii="Cambria" w:hAnsi="Cambria"/>
                                <w:sz w:val="18"/>
                                <w:szCs w:val="18"/>
                                <w:lang w:eastAsia="en-AU"/>
                              </w:rPr>
                              <w:t xml:space="preserve">Pillar 2 includes the environmental and social impacts of </w:t>
                            </w:r>
                            <w:r w:rsidRPr="00C928BD">
                              <w:rPr>
                                <w:rFonts w:ascii="Cambria" w:hAnsi="Cambria"/>
                                <w:b/>
                                <w:bCs/>
                                <w:sz w:val="18"/>
                                <w:szCs w:val="18"/>
                                <w:lang w:eastAsia="en-AU"/>
                              </w:rPr>
                              <w:t>business operations</w:t>
                            </w:r>
                            <w:r w:rsidRPr="00C928BD">
                              <w:rPr>
                                <w:rFonts w:ascii="Cambria" w:hAnsi="Cambria"/>
                                <w:sz w:val="18"/>
                                <w:szCs w:val="18"/>
                                <w:lang w:eastAsia="en-AU"/>
                              </w:rPr>
                              <w:t xml:space="preserve"> and the responsibility of companies to respect human rights, which improves the livelihoods of communities, workers, producers, and their families.</w:t>
                            </w:r>
                          </w:p>
                          <w:p w14:paraId="0F5D6F7D" w14:textId="77777777" w:rsidR="004A5787" w:rsidRPr="00C928BD" w:rsidRDefault="004A5787" w:rsidP="004A5787">
                            <w:pPr>
                              <w:pStyle w:val="ListParagraph"/>
                              <w:jc w:val="both"/>
                              <w:rPr>
                                <w:rFonts w:ascii="Cambria" w:hAnsi="Cambria"/>
                                <w:sz w:val="18"/>
                                <w:szCs w:val="18"/>
                                <w:lang w:eastAsia="en-AU"/>
                              </w:rPr>
                            </w:pPr>
                          </w:p>
                          <w:p w14:paraId="0E8AB6A6" w14:textId="77777777" w:rsidR="004A5787" w:rsidRPr="00E709DD" w:rsidRDefault="004A5787" w:rsidP="004A5787">
                            <w:pPr>
                              <w:pStyle w:val="ListParagraph"/>
                              <w:numPr>
                                <w:ilvl w:val="0"/>
                                <w:numId w:val="2"/>
                              </w:numPr>
                              <w:rPr>
                                <w:rFonts w:ascii="Cambria" w:hAnsi="Cambria"/>
                                <w:sz w:val="18"/>
                                <w:szCs w:val="18"/>
                                <w:lang w:eastAsia="en-AU"/>
                              </w:rPr>
                            </w:pPr>
                            <w:r w:rsidRPr="00E709DD">
                              <w:rPr>
                                <w:rFonts w:ascii="Cambria" w:hAnsi="Cambria"/>
                                <w:sz w:val="18"/>
                                <w:szCs w:val="18"/>
                                <w:lang w:eastAsia="en-AU"/>
                              </w:rPr>
                              <w:t xml:space="preserve">Pillar 3 highlights the company’s role in and responsibility to drive sustainable development across its </w:t>
                            </w:r>
                            <w:r w:rsidRPr="00657FBE">
                              <w:rPr>
                                <w:rFonts w:ascii="Cambria" w:hAnsi="Cambria"/>
                                <w:b/>
                                <w:bCs/>
                                <w:sz w:val="18"/>
                                <w:szCs w:val="18"/>
                                <w:lang w:eastAsia="en-AU"/>
                              </w:rPr>
                              <w:t>value chain</w:t>
                            </w:r>
                            <w:r w:rsidRPr="00E709DD">
                              <w:rPr>
                                <w:rFonts w:ascii="Cambria" w:hAnsi="Cambria"/>
                                <w:sz w:val="18"/>
                                <w:szCs w:val="18"/>
                                <w:lang w:eastAsia="en-AU"/>
                              </w:rPr>
                              <w:t>, including suppliers, producers, clients, and other business relationships, and in the broader ecosystems of which it is part. This Pillar focuses on company activities to support the realization of the SDGs through interactions with these actors, and collaboration to promote, incentivize, and ensure more sustainable practices and better livelihoods within its own value chain as well as within the relevant industries, sectors, and communities that its operations and business relationships influence.</w:t>
                            </w:r>
                          </w:p>
                          <w:p w14:paraId="7A8DC688" w14:textId="77777777" w:rsidR="004A5787" w:rsidRPr="00C928BD" w:rsidRDefault="004A5787" w:rsidP="004A5787">
                            <w:pPr>
                              <w:pStyle w:val="ListParagraph"/>
                              <w:jc w:val="both"/>
                              <w:rPr>
                                <w:rFonts w:ascii="Cambria" w:hAnsi="Cambria"/>
                                <w:sz w:val="18"/>
                                <w:szCs w:val="18"/>
                                <w:lang w:eastAsia="en-AU"/>
                              </w:rPr>
                            </w:pPr>
                          </w:p>
                          <w:p w14:paraId="2C065382" w14:textId="77777777" w:rsidR="004A5787" w:rsidRPr="00C928BD" w:rsidRDefault="004A5787" w:rsidP="004A5787">
                            <w:pPr>
                              <w:pStyle w:val="ListParagraph"/>
                              <w:numPr>
                                <w:ilvl w:val="0"/>
                                <w:numId w:val="2"/>
                              </w:numPr>
                              <w:jc w:val="both"/>
                              <w:rPr>
                                <w:rFonts w:ascii="Cambria" w:hAnsi="Cambria"/>
                                <w:sz w:val="18"/>
                                <w:szCs w:val="18"/>
                                <w:lang w:eastAsia="en-AU"/>
                              </w:rPr>
                            </w:pPr>
                            <w:r w:rsidRPr="00C928BD">
                              <w:rPr>
                                <w:rFonts w:ascii="Cambria" w:hAnsi="Cambria"/>
                                <w:sz w:val="18"/>
                                <w:szCs w:val="18"/>
                                <w:lang w:eastAsia="en-AU"/>
                              </w:rPr>
                              <w:t xml:space="preserve">Pillar 4 brings into focus how companies are governed and how they engage with the systems and rules that govern them. </w:t>
                            </w:r>
                            <w:r w:rsidRPr="00C928BD">
                              <w:rPr>
                                <w:rFonts w:ascii="Cambria" w:hAnsi="Cambria"/>
                                <w:b/>
                                <w:bCs/>
                                <w:sz w:val="18"/>
                                <w:szCs w:val="18"/>
                                <w:lang w:eastAsia="en-AU"/>
                              </w:rPr>
                              <w:t>Good corporate citizenship</w:t>
                            </w:r>
                            <w:r w:rsidRPr="00C928BD">
                              <w:rPr>
                                <w:rFonts w:ascii="Cambria" w:hAnsi="Cambria"/>
                                <w:sz w:val="18"/>
                                <w:szCs w:val="18"/>
                                <w:lang w:eastAsia="en-AU"/>
                              </w:rPr>
                              <w:t xml:space="preserve"> is the foundation for the holistic changes in corporate practices needed to align with the SDGs. This pillar highlights company strategies that contribute to or diminish social goods or societal well-being, and activities that support or undermine the crafting and effective deployment of law and policy that advances sustainable development. It considers company engagement in responsible tax and litigation practices, and the extent to which corporate governance and management systems are geared towards incentivizing SDG-aligned conduct.</w:t>
                            </w:r>
                          </w:p>
                          <w:p w14:paraId="09BE5EB3" w14:textId="77777777" w:rsidR="004A5787" w:rsidRPr="007540E5" w:rsidRDefault="004A5787" w:rsidP="004A5787">
                            <w:pPr>
                              <w:jc w:val="center"/>
                              <w:rPr>
                                <w:rFonts w:ascii="Cambria" w:hAnsi="Cambria"/>
                                <w:sz w:val="18"/>
                                <w:szCs w:val="18"/>
                                <w:lang w:eastAsia="en-AU"/>
                              </w:rPr>
                            </w:pPr>
                            <w:r w:rsidRPr="007540E5">
                              <w:rPr>
                                <w:rFonts w:ascii="Cambria" w:hAnsi="Cambria"/>
                                <w:sz w:val="18"/>
                                <w:szCs w:val="18"/>
                                <w:lang w:eastAsia="en-AU"/>
                              </w:rPr>
                              <w:t>Figure B1. The four-pillar framework for agri-food companies’ alignment with the SDGs</w:t>
                            </w:r>
                          </w:p>
                          <w:p w14:paraId="67439C8B" w14:textId="77777777" w:rsidR="004A5787" w:rsidRPr="00964639" w:rsidRDefault="004A5787" w:rsidP="004A5787">
                            <w:pPr>
                              <w:jc w:val="center"/>
                              <w:rPr>
                                <w:lang w:eastAsia="en-AU"/>
                              </w:rPr>
                            </w:pPr>
                            <w:r>
                              <w:rPr>
                                <w:noProof/>
                                <w:lang w:val="de-DE" w:eastAsia="de-DE"/>
                              </w:rPr>
                              <w:drawing>
                                <wp:inline distT="0" distB="0" distL="0" distR="0" wp14:anchorId="3518A6EE" wp14:editId="0DC8D96C">
                                  <wp:extent cx="5759450" cy="29781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59450" cy="2978150"/>
                                          </a:xfrm>
                                          <a:prstGeom prst="rect">
                                            <a:avLst/>
                                          </a:prstGeom>
                                        </pic:spPr>
                                      </pic:pic>
                                    </a:graphicData>
                                  </a:graphic>
                                </wp:inline>
                              </w:drawing>
                            </w:r>
                          </w:p>
                          <w:p w14:paraId="27D95E15" w14:textId="77777777" w:rsidR="004A5787" w:rsidRPr="0055237F" w:rsidRDefault="004A5787" w:rsidP="004A5787">
                            <w:pPr>
                              <w:rPr>
                                <w:rFonts w:ascii="Cambria" w:hAnsi="Cambria"/>
                                <w:sz w:val="16"/>
                                <w:szCs w:val="16"/>
                                <w:lang w:val="en-GB" w:eastAsia="en-AU"/>
                              </w:rPr>
                            </w:pPr>
                            <w:proofErr w:type="gramStart"/>
                            <w:r w:rsidRPr="007540E5">
                              <w:rPr>
                                <w:rFonts w:ascii="Cambria" w:hAnsi="Cambria"/>
                                <w:sz w:val="16"/>
                                <w:szCs w:val="16"/>
                                <w:lang w:val="fr-FR" w:eastAsia="en-AU"/>
                              </w:rPr>
                              <w:t>Source:</w:t>
                            </w:r>
                            <w:proofErr w:type="gramEnd"/>
                            <w:r w:rsidRPr="007540E5">
                              <w:rPr>
                                <w:rFonts w:ascii="Cambria" w:hAnsi="Cambria"/>
                                <w:sz w:val="16"/>
                                <w:szCs w:val="16"/>
                                <w:lang w:val="fr-FR" w:eastAsia="en-AU"/>
                              </w:rPr>
                              <w:t xml:space="preserve"> Sachs J. et al., 2021. </w:t>
                            </w:r>
                            <w:r w:rsidRPr="007540E5">
                              <w:rPr>
                                <w:rFonts w:ascii="Cambria" w:hAnsi="Cambria"/>
                                <w:sz w:val="16"/>
                                <w:szCs w:val="16"/>
                                <w:lang w:eastAsia="en-AU"/>
                              </w:rPr>
                              <w:t xml:space="preserve">“Fixing the Business of Food 2021: Aligning food company practices with the SDGs”, Barilla </w:t>
                            </w:r>
                            <w:proofErr w:type="spellStart"/>
                            <w:r w:rsidRPr="007540E5">
                              <w:rPr>
                                <w:rFonts w:ascii="Cambria" w:hAnsi="Cambria"/>
                                <w:sz w:val="16"/>
                                <w:szCs w:val="16"/>
                                <w:lang w:eastAsia="en-AU"/>
                              </w:rPr>
                              <w:t>Center</w:t>
                            </w:r>
                            <w:proofErr w:type="spellEnd"/>
                            <w:r w:rsidRPr="007540E5">
                              <w:rPr>
                                <w:rFonts w:ascii="Cambria" w:hAnsi="Cambria"/>
                                <w:sz w:val="16"/>
                                <w:szCs w:val="16"/>
                                <w:lang w:eastAsia="en-AU"/>
                              </w:rPr>
                              <w:t xml:space="preserve"> for Food &amp; Nutrition, UN Sustainable Development Solutions Network, Columbia </w:t>
                            </w:r>
                            <w:proofErr w:type="spellStart"/>
                            <w:r w:rsidRPr="007540E5">
                              <w:rPr>
                                <w:rFonts w:ascii="Cambria" w:hAnsi="Cambria"/>
                                <w:sz w:val="16"/>
                                <w:szCs w:val="16"/>
                                <w:lang w:eastAsia="en-AU"/>
                              </w:rPr>
                              <w:t>Center</w:t>
                            </w:r>
                            <w:proofErr w:type="spellEnd"/>
                            <w:r w:rsidRPr="007540E5">
                              <w:rPr>
                                <w:rFonts w:ascii="Cambria" w:hAnsi="Cambria"/>
                                <w:sz w:val="16"/>
                                <w:szCs w:val="16"/>
                                <w:lang w:eastAsia="en-AU"/>
                              </w:rPr>
                              <w:t xml:space="preserve"> on Sustainable Investment, Santa Chiara Lab University of Siena.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3606A43" id="_x0000_t202" coordsize="21600,21600" o:spt="202" path="m,l,21600r21600,l21600,xe">
                <v:stroke joinstyle="miter"/>
                <v:path gradientshapeok="t" o:connecttype="rect"/>
              </v:shapetype>
              <v:shape id="Text Box 5" o:spid="_x0000_s1026" type="#_x0000_t202" style="position:absolute;left:0;text-align:left;margin-left:0;margin-top:34.4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" filled="f" strokeweight=".5pt">
                <v:textbox style="mso-fit-shape-to-text:t">
                  <w:txbxContent>
                    <w:p w14:paraId="1E790D9A" w14:textId="77777777" w:rsidR="004A5787" w:rsidRPr="00C928BD" w:rsidRDefault="004A5787" w:rsidP="004A5787">
                      <w:pPr>
                        <w:jc w:val="center"/>
                        <w:rPr>
                          <w:rFonts w:ascii="Cambria" w:hAnsi="Cambria"/>
                          <w:b/>
                          <w:bCs/>
                          <w:sz w:val="18"/>
                          <w:szCs w:val="18"/>
                          <w:lang w:eastAsia="en-AU"/>
                        </w:rPr>
                      </w:pPr>
                      <w:r w:rsidRPr="00C928BD">
                        <w:rPr>
                          <w:rFonts w:ascii="Cambria" w:hAnsi="Cambria"/>
                          <w:b/>
                          <w:bCs/>
                          <w:sz w:val="18"/>
                          <w:szCs w:val="18"/>
                          <w:lang w:eastAsia="en-AU"/>
                        </w:rPr>
                        <w:t xml:space="preserve">Box </w:t>
                      </w:r>
                      <w:r>
                        <w:rPr>
                          <w:rFonts w:ascii="Cambria" w:hAnsi="Cambria"/>
                          <w:b/>
                          <w:bCs/>
                          <w:sz w:val="18"/>
                          <w:szCs w:val="18"/>
                          <w:lang w:eastAsia="en-AU"/>
                        </w:rPr>
                        <w:t>S</w:t>
                      </w:r>
                      <w:r w:rsidRPr="00C928BD">
                        <w:rPr>
                          <w:rFonts w:ascii="Cambria" w:hAnsi="Cambria"/>
                          <w:b/>
                          <w:bCs/>
                          <w:sz w:val="18"/>
                          <w:szCs w:val="18"/>
                          <w:lang w:eastAsia="en-AU"/>
                        </w:rPr>
                        <w:t xml:space="preserve">1. The </w:t>
                      </w:r>
                      <w:r>
                        <w:rPr>
                          <w:rFonts w:ascii="Cambria" w:hAnsi="Cambria"/>
                          <w:b/>
                          <w:bCs/>
                          <w:sz w:val="18"/>
                          <w:szCs w:val="18"/>
                          <w:lang w:eastAsia="en-AU"/>
                        </w:rPr>
                        <w:t>F</w:t>
                      </w:r>
                      <w:r w:rsidRPr="00C928BD">
                        <w:rPr>
                          <w:rFonts w:ascii="Cambria" w:hAnsi="Cambria"/>
                          <w:b/>
                          <w:bCs/>
                          <w:sz w:val="18"/>
                          <w:szCs w:val="18"/>
                          <w:lang w:eastAsia="en-AU"/>
                        </w:rPr>
                        <w:t>our</w:t>
                      </w:r>
                      <w:r>
                        <w:rPr>
                          <w:rFonts w:ascii="Cambria" w:hAnsi="Cambria"/>
                          <w:b/>
                          <w:bCs/>
                          <w:sz w:val="18"/>
                          <w:szCs w:val="18"/>
                          <w:lang w:eastAsia="en-AU"/>
                        </w:rPr>
                        <w:t xml:space="preserve"> P</w:t>
                      </w:r>
                      <w:r w:rsidRPr="00C928BD">
                        <w:rPr>
                          <w:rFonts w:ascii="Cambria" w:hAnsi="Cambria"/>
                          <w:b/>
                          <w:bCs/>
                          <w:sz w:val="18"/>
                          <w:szCs w:val="18"/>
                          <w:lang w:eastAsia="en-AU"/>
                        </w:rPr>
                        <w:t xml:space="preserve">illar </w:t>
                      </w:r>
                      <w:r>
                        <w:rPr>
                          <w:rFonts w:ascii="Cambria" w:hAnsi="Cambria"/>
                          <w:b/>
                          <w:bCs/>
                          <w:sz w:val="18"/>
                          <w:szCs w:val="18"/>
                          <w:lang w:eastAsia="en-AU"/>
                        </w:rPr>
                        <w:t>F</w:t>
                      </w:r>
                      <w:r w:rsidRPr="00C928BD">
                        <w:rPr>
                          <w:rFonts w:ascii="Cambria" w:hAnsi="Cambria"/>
                          <w:b/>
                          <w:bCs/>
                          <w:sz w:val="18"/>
                          <w:szCs w:val="18"/>
                          <w:lang w:eastAsia="en-AU"/>
                        </w:rPr>
                        <w:t>ramework for food companies’ alignment with the SDGs</w:t>
                      </w:r>
                    </w:p>
                    <w:p w14:paraId="250B9986" w14:textId="77777777" w:rsidR="004A5787" w:rsidRPr="00C928BD" w:rsidRDefault="004A5787" w:rsidP="004A5787">
                      <w:pPr>
                        <w:jc w:val="both"/>
                        <w:rPr>
                          <w:rFonts w:ascii="Cambria" w:hAnsi="Cambria"/>
                          <w:sz w:val="18"/>
                          <w:szCs w:val="18"/>
                          <w:lang w:eastAsia="en-AU"/>
                        </w:rPr>
                      </w:pPr>
                      <w:r w:rsidRPr="00C928BD">
                        <w:rPr>
                          <w:rFonts w:ascii="Cambria" w:hAnsi="Cambria"/>
                          <w:sz w:val="18"/>
                          <w:szCs w:val="18"/>
                          <w:lang w:eastAsia="en-AU"/>
                        </w:rPr>
                        <w:t xml:space="preserve">The </w:t>
                      </w:r>
                      <w:r>
                        <w:rPr>
                          <w:rFonts w:ascii="Cambria" w:hAnsi="Cambria"/>
                          <w:sz w:val="18"/>
                          <w:szCs w:val="18"/>
                          <w:lang w:eastAsia="en-AU"/>
                        </w:rPr>
                        <w:t>F</w:t>
                      </w:r>
                      <w:r w:rsidRPr="00C928BD">
                        <w:rPr>
                          <w:rFonts w:ascii="Cambria" w:hAnsi="Cambria"/>
                          <w:sz w:val="18"/>
                          <w:szCs w:val="18"/>
                          <w:lang w:eastAsia="en-AU"/>
                        </w:rPr>
                        <w:t>our</w:t>
                      </w:r>
                      <w:r>
                        <w:rPr>
                          <w:rFonts w:ascii="Cambria" w:hAnsi="Cambria"/>
                          <w:sz w:val="18"/>
                          <w:szCs w:val="18"/>
                          <w:lang w:eastAsia="en-AU"/>
                        </w:rPr>
                        <w:t xml:space="preserve"> P</w:t>
                      </w:r>
                      <w:r w:rsidRPr="00C928BD">
                        <w:rPr>
                          <w:rFonts w:ascii="Cambria" w:hAnsi="Cambria"/>
                          <w:sz w:val="18"/>
                          <w:szCs w:val="18"/>
                          <w:lang w:eastAsia="en-AU"/>
                        </w:rPr>
                        <w:t xml:space="preserve">illar </w:t>
                      </w:r>
                      <w:r>
                        <w:rPr>
                          <w:rFonts w:ascii="Cambria" w:hAnsi="Cambria"/>
                          <w:sz w:val="18"/>
                          <w:szCs w:val="18"/>
                          <w:lang w:eastAsia="en-AU"/>
                        </w:rPr>
                        <w:t>F</w:t>
                      </w:r>
                      <w:r w:rsidRPr="00C928BD">
                        <w:rPr>
                          <w:rFonts w:ascii="Cambria" w:hAnsi="Cambria"/>
                          <w:sz w:val="18"/>
                          <w:szCs w:val="18"/>
                          <w:lang w:eastAsia="en-AU"/>
                        </w:rPr>
                        <w:t xml:space="preserve">ramework published by </w:t>
                      </w:r>
                      <w:proofErr w:type="gramStart"/>
                      <w:r w:rsidRPr="00C928BD">
                        <w:rPr>
                          <w:rFonts w:ascii="Cambria" w:hAnsi="Cambria"/>
                          <w:sz w:val="18"/>
                          <w:szCs w:val="18"/>
                          <w:lang w:eastAsia="en-AU"/>
                        </w:rPr>
                        <w:t>SDSN</w:t>
                      </w:r>
                      <w:proofErr w:type="gramEnd"/>
                      <w:r w:rsidRPr="00C928BD">
                        <w:rPr>
                          <w:rFonts w:ascii="Cambria" w:hAnsi="Cambria"/>
                          <w:sz w:val="18"/>
                          <w:szCs w:val="18"/>
                          <w:lang w:eastAsia="en-AU"/>
                        </w:rPr>
                        <w:t xml:space="preserve"> and partners emphasizes the importance of four major pillars to monitor and address negative environmental (and social) impacts of food companies:</w:t>
                      </w:r>
                    </w:p>
                    <w:p w14:paraId="490D7595" w14:textId="77777777" w:rsidR="004A5787" w:rsidRPr="00C928BD" w:rsidRDefault="004A5787" w:rsidP="004A5787">
                      <w:pPr>
                        <w:pStyle w:val="ListParagraph"/>
                        <w:numPr>
                          <w:ilvl w:val="0"/>
                          <w:numId w:val="2"/>
                        </w:numPr>
                        <w:jc w:val="both"/>
                        <w:rPr>
                          <w:rFonts w:ascii="Cambria" w:hAnsi="Cambria"/>
                          <w:sz w:val="18"/>
                          <w:szCs w:val="18"/>
                          <w:lang w:eastAsia="en-AU"/>
                        </w:rPr>
                      </w:pPr>
                      <w:r w:rsidRPr="00C928BD">
                        <w:rPr>
                          <w:rFonts w:ascii="Cambria" w:hAnsi="Cambria"/>
                          <w:sz w:val="18"/>
                          <w:szCs w:val="18"/>
                          <w:lang w:eastAsia="en-AU"/>
                        </w:rPr>
                        <w:t xml:space="preserve">Pillar 1 highlights the impact of a </w:t>
                      </w:r>
                      <w:r w:rsidRPr="00C928BD">
                        <w:rPr>
                          <w:rFonts w:ascii="Cambria" w:hAnsi="Cambria"/>
                          <w:b/>
                          <w:bCs/>
                          <w:sz w:val="18"/>
                          <w:szCs w:val="18"/>
                          <w:lang w:eastAsia="en-AU"/>
                        </w:rPr>
                        <w:t>company’s products</w:t>
                      </w:r>
                      <w:r w:rsidRPr="00C928BD">
                        <w:rPr>
                          <w:rFonts w:ascii="Cambria" w:hAnsi="Cambria"/>
                          <w:sz w:val="18"/>
                          <w:szCs w:val="18"/>
                          <w:lang w:eastAsia="en-AU"/>
                        </w:rPr>
                        <w:t>, services, and strategies on human wellbeing and the</w:t>
                      </w:r>
                      <w:r w:rsidRPr="00C928BD">
                        <w:rPr>
                          <w:rFonts w:ascii="Cambria" w:hAnsi="Cambria"/>
                          <w:sz w:val="16"/>
                          <w:szCs w:val="16"/>
                          <w:lang w:eastAsia="en-AU"/>
                        </w:rPr>
                        <w:t xml:space="preserve"> </w:t>
                      </w:r>
                      <w:r w:rsidRPr="00C928BD">
                        <w:rPr>
                          <w:rFonts w:ascii="Cambria" w:hAnsi="Cambria"/>
                          <w:sz w:val="18"/>
                          <w:szCs w:val="18"/>
                          <w:lang w:eastAsia="en-AU"/>
                        </w:rPr>
                        <w:t xml:space="preserve">planet’s sustainability. For the food processing companies, this Pillar helps bring into focus the contributions to healthy and sustainable dietary patterns through their products and strategies. This includes whether food products are healthful, whether product marketing promotes health, and whether product use is conducive to well-being and supportive of improved living </w:t>
                      </w:r>
                      <w:proofErr w:type="gramStart"/>
                      <w:r w:rsidRPr="00C928BD">
                        <w:rPr>
                          <w:rFonts w:ascii="Cambria" w:hAnsi="Cambria"/>
                          <w:sz w:val="18"/>
                          <w:szCs w:val="18"/>
                          <w:lang w:eastAsia="en-AU"/>
                        </w:rPr>
                        <w:t>standards</w:t>
                      </w:r>
                      <w:proofErr w:type="gramEnd"/>
                    </w:p>
                    <w:p w14:paraId="2464AF0B" w14:textId="77777777" w:rsidR="004A5787" w:rsidRPr="00C928BD" w:rsidRDefault="004A5787" w:rsidP="004A5787">
                      <w:pPr>
                        <w:pStyle w:val="ListParagraph"/>
                        <w:jc w:val="both"/>
                        <w:rPr>
                          <w:rFonts w:ascii="Cambria" w:hAnsi="Cambria"/>
                          <w:sz w:val="18"/>
                          <w:szCs w:val="18"/>
                          <w:lang w:eastAsia="en-AU"/>
                        </w:rPr>
                      </w:pPr>
                    </w:p>
                    <w:p w14:paraId="459C11A3" w14:textId="77777777" w:rsidR="004A5787" w:rsidRPr="00C928BD" w:rsidRDefault="004A5787" w:rsidP="004A5787">
                      <w:pPr>
                        <w:pStyle w:val="ListParagraph"/>
                        <w:numPr>
                          <w:ilvl w:val="0"/>
                          <w:numId w:val="2"/>
                        </w:numPr>
                        <w:jc w:val="both"/>
                        <w:rPr>
                          <w:rFonts w:ascii="Cambria" w:hAnsi="Cambria"/>
                          <w:sz w:val="18"/>
                          <w:szCs w:val="18"/>
                          <w:lang w:eastAsia="en-AU"/>
                        </w:rPr>
                      </w:pPr>
                      <w:r w:rsidRPr="00C928BD">
                        <w:rPr>
                          <w:rFonts w:ascii="Cambria" w:hAnsi="Cambria"/>
                          <w:sz w:val="18"/>
                          <w:szCs w:val="18"/>
                          <w:lang w:eastAsia="en-AU"/>
                        </w:rPr>
                        <w:t xml:space="preserve">Pillar 2 includes the environmental and social impacts of </w:t>
                      </w:r>
                      <w:r w:rsidRPr="00C928BD">
                        <w:rPr>
                          <w:rFonts w:ascii="Cambria" w:hAnsi="Cambria"/>
                          <w:b/>
                          <w:bCs/>
                          <w:sz w:val="18"/>
                          <w:szCs w:val="18"/>
                          <w:lang w:eastAsia="en-AU"/>
                        </w:rPr>
                        <w:t>business operations</w:t>
                      </w:r>
                      <w:r w:rsidRPr="00C928BD">
                        <w:rPr>
                          <w:rFonts w:ascii="Cambria" w:hAnsi="Cambria"/>
                          <w:sz w:val="18"/>
                          <w:szCs w:val="18"/>
                          <w:lang w:eastAsia="en-AU"/>
                        </w:rPr>
                        <w:t xml:space="preserve"> and the responsibility of companies to respect human rights, which improves the livelihoods of communities, workers, producers, and their families.</w:t>
                      </w:r>
                    </w:p>
                    <w:p w14:paraId="0F5D6F7D" w14:textId="77777777" w:rsidR="004A5787" w:rsidRPr="00C928BD" w:rsidRDefault="004A5787" w:rsidP="004A5787">
                      <w:pPr>
                        <w:pStyle w:val="ListParagraph"/>
                        <w:jc w:val="both"/>
                        <w:rPr>
                          <w:rFonts w:ascii="Cambria" w:hAnsi="Cambria"/>
                          <w:sz w:val="18"/>
                          <w:szCs w:val="18"/>
                          <w:lang w:eastAsia="en-AU"/>
                        </w:rPr>
                      </w:pPr>
                    </w:p>
                    <w:p w14:paraId="0E8AB6A6" w14:textId="77777777" w:rsidR="004A5787" w:rsidRPr="00E709DD" w:rsidRDefault="004A5787" w:rsidP="004A5787">
                      <w:pPr>
                        <w:pStyle w:val="ListParagraph"/>
                        <w:numPr>
                          <w:ilvl w:val="0"/>
                          <w:numId w:val="2"/>
                        </w:numPr>
                        <w:rPr>
                          <w:rFonts w:ascii="Cambria" w:hAnsi="Cambria"/>
                          <w:sz w:val="18"/>
                          <w:szCs w:val="18"/>
                          <w:lang w:eastAsia="en-AU"/>
                        </w:rPr>
                      </w:pPr>
                      <w:r w:rsidRPr="00E709DD">
                        <w:rPr>
                          <w:rFonts w:ascii="Cambria" w:hAnsi="Cambria"/>
                          <w:sz w:val="18"/>
                          <w:szCs w:val="18"/>
                          <w:lang w:eastAsia="en-AU"/>
                        </w:rPr>
                        <w:t xml:space="preserve">Pillar 3 highlights the company’s role in and responsibility to drive sustainable development across its </w:t>
                      </w:r>
                      <w:r w:rsidRPr="00657FBE">
                        <w:rPr>
                          <w:rFonts w:ascii="Cambria" w:hAnsi="Cambria"/>
                          <w:b/>
                          <w:bCs/>
                          <w:sz w:val="18"/>
                          <w:szCs w:val="18"/>
                          <w:lang w:eastAsia="en-AU"/>
                        </w:rPr>
                        <w:t>value chain</w:t>
                      </w:r>
                      <w:r w:rsidRPr="00E709DD">
                        <w:rPr>
                          <w:rFonts w:ascii="Cambria" w:hAnsi="Cambria"/>
                          <w:sz w:val="18"/>
                          <w:szCs w:val="18"/>
                          <w:lang w:eastAsia="en-AU"/>
                        </w:rPr>
                        <w:t>, including suppliers, producers, clients, and other business relationships, and in the broader ecosystems of which it is part. This Pillar focuses on company activities to support the realization of the SDGs through interactions with these actors, and collaboration to promote, incentivize, and ensure more sustainable practices and better livelihoods within its own value chain as well as within the relevant industries, sectors, and communities that its operations and business relationships influence.</w:t>
                      </w:r>
                    </w:p>
                    <w:p w14:paraId="7A8DC688" w14:textId="77777777" w:rsidR="004A5787" w:rsidRPr="00C928BD" w:rsidRDefault="004A5787" w:rsidP="004A5787">
                      <w:pPr>
                        <w:pStyle w:val="ListParagraph"/>
                        <w:jc w:val="both"/>
                        <w:rPr>
                          <w:rFonts w:ascii="Cambria" w:hAnsi="Cambria"/>
                          <w:sz w:val="18"/>
                          <w:szCs w:val="18"/>
                          <w:lang w:eastAsia="en-AU"/>
                        </w:rPr>
                      </w:pPr>
                    </w:p>
                    <w:p w14:paraId="2C065382" w14:textId="77777777" w:rsidR="004A5787" w:rsidRPr="00C928BD" w:rsidRDefault="004A5787" w:rsidP="004A5787">
                      <w:pPr>
                        <w:pStyle w:val="ListParagraph"/>
                        <w:numPr>
                          <w:ilvl w:val="0"/>
                          <w:numId w:val="2"/>
                        </w:numPr>
                        <w:jc w:val="both"/>
                        <w:rPr>
                          <w:rFonts w:ascii="Cambria" w:hAnsi="Cambria"/>
                          <w:sz w:val="18"/>
                          <w:szCs w:val="18"/>
                          <w:lang w:eastAsia="en-AU"/>
                        </w:rPr>
                      </w:pPr>
                      <w:r w:rsidRPr="00C928BD">
                        <w:rPr>
                          <w:rFonts w:ascii="Cambria" w:hAnsi="Cambria"/>
                          <w:sz w:val="18"/>
                          <w:szCs w:val="18"/>
                          <w:lang w:eastAsia="en-AU"/>
                        </w:rPr>
                        <w:t xml:space="preserve">Pillar 4 brings into focus how companies are governed and how they engage with the systems and rules that govern them. </w:t>
                      </w:r>
                      <w:r w:rsidRPr="00C928BD">
                        <w:rPr>
                          <w:rFonts w:ascii="Cambria" w:hAnsi="Cambria"/>
                          <w:b/>
                          <w:bCs/>
                          <w:sz w:val="18"/>
                          <w:szCs w:val="18"/>
                          <w:lang w:eastAsia="en-AU"/>
                        </w:rPr>
                        <w:t>Good corporate citizenship</w:t>
                      </w:r>
                      <w:r w:rsidRPr="00C928BD">
                        <w:rPr>
                          <w:rFonts w:ascii="Cambria" w:hAnsi="Cambria"/>
                          <w:sz w:val="18"/>
                          <w:szCs w:val="18"/>
                          <w:lang w:eastAsia="en-AU"/>
                        </w:rPr>
                        <w:t xml:space="preserve"> is the foundation for the holistic changes in corporate practices needed to align with the SDGs. This pillar highlights company strategies that contribute to or diminish social goods or societal well-being, and activities that support or undermine the crafting and effective deployment of law and policy that advances sustainable development. It considers company engagement in responsible tax and litigation practices, and the extent to which corporate governance and management systems are geared towards incentivizing SDG-aligned conduct.</w:t>
                      </w:r>
                    </w:p>
                    <w:p w14:paraId="09BE5EB3" w14:textId="77777777" w:rsidR="004A5787" w:rsidRPr="007540E5" w:rsidRDefault="004A5787" w:rsidP="004A5787">
                      <w:pPr>
                        <w:jc w:val="center"/>
                        <w:rPr>
                          <w:rFonts w:ascii="Cambria" w:hAnsi="Cambria"/>
                          <w:sz w:val="18"/>
                          <w:szCs w:val="18"/>
                          <w:lang w:eastAsia="en-AU"/>
                        </w:rPr>
                      </w:pPr>
                      <w:r w:rsidRPr="007540E5">
                        <w:rPr>
                          <w:rFonts w:ascii="Cambria" w:hAnsi="Cambria"/>
                          <w:sz w:val="18"/>
                          <w:szCs w:val="18"/>
                          <w:lang w:eastAsia="en-AU"/>
                        </w:rPr>
                        <w:t>Figure B1. The four-pillar framework for agri-food companies’ alignment with the SDGs</w:t>
                      </w:r>
                    </w:p>
                    <w:p w14:paraId="67439C8B" w14:textId="77777777" w:rsidR="004A5787" w:rsidRPr="00964639" w:rsidRDefault="004A5787" w:rsidP="004A5787">
                      <w:pPr>
                        <w:jc w:val="center"/>
                        <w:rPr>
                          <w:lang w:eastAsia="en-AU"/>
                        </w:rPr>
                      </w:pPr>
                      <w:r>
                        <w:rPr>
                          <w:noProof/>
                          <w:lang w:val="de-DE" w:eastAsia="de-DE"/>
                        </w:rPr>
                        <w:drawing>
                          <wp:inline distT="0" distB="0" distL="0" distR="0" wp14:anchorId="3518A6EE" wp14:editId="0DC8D96C">
                            <wp:extent cx="5759450" cy="29781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59450" cy="2978150"/>
                                    </a:xfrm>
                                    <a:prstGeom prst="rect">
                                      <a:avLst/>
                                    </a:prstGeom>
                                  </pic:spPr>
                                </pic:pic>
                              </a:graphicData>
                            </a:graphic>
                          </wp:inline>
                        </w:drawing>
                      </w:r>
                    </w:p>
                    <w:p w14:paraId="27D95E15" w14:textId="77777777" w:rsidR="004A5787" w:rsidRPr="0055237F" w:rsidRDefault="004A5787" w:rsidP="004A5787">
                      <w:pPr>
                        <w:rPr>
                          <w:rFonts w:ascii="Cambria" w:hAnsi="Cambria"/>
                          <w:sz w:val="16"/>
                          <w:szCs w:val="16"/>
                          <w:lang w:val="en-GB" w:eastAsia="en-AU"/>
                        </w:rPr>
                      </w:pPr>
                      <w:proofErr w:type="gramStart"/>
                      <w:r w:rsidRPr="007540E5">
                        <w:rPr>
                          <w:rFonts w:ascii="Cambria" w:hAnsi="Cambria"/>
                          <w:sz w:val="16"/>
                          <w:szCs w:val="16"/>
                          <w:lang w:val="fr-FR" w:eastAsia="en-AU"/>
                        </w:rPr>
                        <w:t>Source:</w:t>
                      </w:r>
                      <w:proofErr w:type="gramEnd"/>
                      <w:r w:rsidRPr="007540E5">
                        <w:rPr>
                          <w:rFonts w:ascii="Cambria" w:hAnsi="Cambria"/>
                          <w:sz w:val="16"/>
                          <w:szCs w:val="16"/>
                          <w:lang w:val="fr-FR" w:eastAsia="en-AU"/>
                        </w:rPr>
                        <w:t xml:space="preserve"> Sachs J. et al., 2021. </w:t>
                      </w:r>
                      <w:r w:rsidRPr="007540E5">
                        <w:rPr>
                          <w:rFonts w:ascii="Cambria" w:hAnsi="Cambria"/>
                          <w:sz w:val="16"/>
                          <w:szCs w:val="16"/>
                          <w:lang w:eastAsia="en-AU"/>
                        </w:rPr>
                        <w:t xml:space="preserve">“Fixing the Business of Food 2021: Aligning food company practices with the SDGs”, Barilla </w:t>
                      </w:r>
                      <w:proofErr w:type="spellStart"/>
                      <w:r w:rsidRPr="007540E5">
                        <w:rPr>
                          <w:rFonts w:ascii="Cambria" w:hAnsi="Cambria"/>
                          <w:sz w:val="16"/>
                          <w:szCs w:val="16"/>
                          <w:lang w:eastAsia="en-AU"/>
                        </w:rPr>
                        <w:t>Center</w:t>
                      </w:r>
                      <w:proofErr w:type="spellEnd"/>
                      <w:r w:rsidRPr="007540E5">
                        <w:rPr>
                          <w:rFonts w:ascii="Cambria" w:hAnsi="Cambria"/>
                          <w:sz w:val="16"/>
                          <w:szCs w:val="16"/>
                          <w:lang w:eastAsia="en-AU"/>
                        </w:rPr>
                        <w:t xml:space="preserve"> for Food &amp; Nutrition, UN Sustainable Development Solutions Network, Columbia </w:t>
                      </w:r>
                      <w:proofErr w:type="spellStart"/>
                      <w:r w:rsidRPr="007540E5">
                        <w:rPr>
                          <w:rFonts w:ascii="Cambria" w:hAnsi="Cambria"/>
                          <w:sz w:val="16"/>
                          <w:szCs w:val="16"/>
                          <w:lang w:eastAsia="en-AU"/>
                        </w:rPr>
                        <w:t>Center</w:t>
                      </w:r>
                      <w:proofErr w:type="spellEnd"/>
                      <w:r w:rsidRPr="007540E5">
                        <w:rPr>
                          <w:rFonts w:ascii="Cambria" w:hAnsi="Cambria"/>
                          <w:sz w:val="16"/>
                          <w:szCs w:val="16"/>
                          <w:lang w:eastAsia="en-AU"/>
                        </w:rPr>
                        <w:t xml:space="preserve"> on Sustainable Investment, Santa Chiara Lab University of Siena.</w:t>
                      </w:r>
                    </w:p>
                  </w:txbxContent>
                </v:textbox>
                <w10:wrap type="square"/>
              </v:shape>
            </w:pict>
          </mc:Fallback>
        </mc:AlternateContent>
      </w:r>
    </w:p>
    <w:p w14:paraId="544B65EF" w14:textId="71C0C36D" w:rsidR="001933E6" w:rsidRPr="00CE7C64" w:rsidRDefault="001933E6">
      <w:pPr>
        <w:rPr>
          <w:rFonts w:ascii="Cambria" w:hAnsi="Cambria"/>
          <w:b/>
          <w:bCs/>
          <w:sz w:val="24"/>
          <w:szCs w:val="24"/>
        </w:rPr>
      </w:pPr>
      <w:r w:rsidRPr="00CE7C64">
        <w:rPr>
          <w:rFonts w:ascii="Cambria" w:hAnsi="Cambria"/>
          <w:b/>
          <w:bCs/>
          <w:sz w:val="24"/>
          <w:szCs w:val="24"/>
        </w:rPr>
        <w:lastRenderedPageBreak/>
        <w:t>References</w:t>
      </w:r>
    </w:p>
    <w:p w14:paraId="345B2FB2" w14:textId="77777777" w:rsidR="001933E6" w:rsidRPr="00CE7C64" w:rsidRDefault="001933E6" w:rsidP="001933E6">
      <w:pPr>
        <w:pStyle w:val="EndNoteBibliography"/>
        <w:spacing w:after="0"/>
        <w:ind w:left="720" w:hanging="720"/>
        <w:rPr>
          <w:rFonts w:ascii="Cambria" w:hAnsi="Cambria"/>
        </w:rPr>
      </w:pPr>
      <w:r w:rsidRPr="00CE7C64">
        <w:rPr>
          <w:rFonts w:ascii="Cambria" w:hAnsi="Cambria"/>
        </w:rPr>
        <w:fldChar w:fldCharType="begin"/>
      </w:r>
      <w:r w:rsidRPr="00CE7C64">
        <w:rPr>
          <w:rFonts w:ascii="Cambria" w:hAnsi="Cambria"/>
        </w:rPr>
        <w:instrText xml:space="preserve"> ADDIN EN.REFLIST </w:instrText>
      </w:r>
      <w:r w:rsidRPr="00CE7C64">
        <w:rPr>
          <w:rFonts w:ascii="Cambria" w:hAnsi="Cambria"/>
        </w:rPr>
        <w:fldChar w:fldCharType="separate"/>
      </w:r>
      <w:r w:rsidRPr="00CE7C64">
        <w:rPr>
          <w:rFonts w:ascii="Cambria" w:hAnsi="Cambria"/>
        </w:rPr>
        <w:t xml:space="preserve">ABS. (2019). </w:t>
      </w:r>
      <w:r w:rsidRPr="00CE7C64">
        <w:rPr>
          <w:rFonts w:ascii="Cambria" w:hAnsi="Cambria"/>
          <w:i/>
        </w:rPr>
        <w:t>Australian National Accounts: Input-Output Tables</w:t>
      </w:r>
      <w:r w:rsidRPr="00CE7C64">
        <w:rPr>
          <w:rFonts w:ascii="Cambria" w:hAnsi="Cambria"/>
        </w:rPr>
        <w:t xml:space="preserve"> (5209.0). Retrieved from Canberra, Australia: </w:t>
      </w:r>
    </w:p>
    <w:p w14:paraId="52D070E0" w14:textId="7ECCC767" w:rsidR="001933E6" w:rsidRPr="00CE7C64" w:rsidRDefault="001933E6" w:rsidP="001933E6">
      <w:pPr>
        <w:pStyle w:val="EndNoteBibliography"/>
        <w:spacing w:after="0"/>
        <w:ind w:left="720" w:hanging="720"/>
        <w:rPr>
          <w:rFonts w:ascii="Cambria" w:hAnsi="Cambria"/>
        </w:rPr>
      </w:pPr>
      <w:r w:rsidRPr="00CE7C64">
        <w:rPr>
          <w:rFonts w:ascii="Cambria" w:hAnsi="Cambria"/>
        </w:rPr>
        <w:t xml:space="preserve">ATLAS. (2021). </w:t>
      </w:r>
      <w:r w:rsidRPr="00CE7C64">
        <w:rPr>
          <w:rFonts w:ascii="Cambria" w:hAnsi="Cambria"/>
          <w:i/>
        </w:rPr>
        <w:t xml:space="preserve">The Atlas of Economic Complexity: </w:t>
      </w:r>
      <w:hyperlink r:id="rId15" w:history="1">
        <w:r w:rsidRPr="00CE7C64">
          <w:rPr>
            <w:rStyle w:val="Hyperlink"/>
            <w:rFonts w:ascii="Cambria" w:hAnsi="Cambria"/>
            <w:i/>
          </w:rPr>
          <w:t>http://atlas.cid.harvard.edu/</w:t>
        </w:r>
      </w:hyperlink>
      <w:r w:rsidRPr="00CE7C64">
        <w:rPr>
          <w:rFonts w:ascii="Cambria" w:hAnsi="Cambria"/>
        </w:rPr>
        <w:t xml:space="preserve"> (Vol. 2021).</w:t>
      </w:r>
    </w:p>
    <w:p w14:paraId="769AB820" w14:textId="77777777" w:rsidR="001933E6" w:rsidRPr="00CE7C64" w:rsidRDefault="001933E6" w:rsidP="001933E6">
      <w:pPr>
        <w:pStyle w:val="EndNoteBibliography"/>
        <w:spacing w:after="0"/>
        <w:ind w:left="720" w:hanging="720"/>
        <w:rPr>
          <w:rFonts w:ascii="Cambria" w:hAnsi="Cambria"/>
        </w:rPr>
      </w:pPr>
      <w:r w:rsidRPr="00CE7C64">
        <w:rPr>
          <w:rFonts w:ascii="Cambria" w:hAnsi="Cambria"/>
        </w:rPr>
        <w:t xml:space="preserve">Lenzen, M., Geschke, A., West, J., Fry, J., Malik, A., Giljum, S., . . . Schandl, H. (2021). Implementing the Material Footprint to measure progress towards SDGs 8 and 12. </w:t>
      </w:r>
      <w:r w:rsidRPr="00CE7C64">
        <w:rPr>
          <w:rFonts w:ascii="Cambria" w:hAnsi="Cambria"/>
          <w:i/>
        </w:rPr>
        <w:t>Nature Sustainability, accepted</w:t>
      </w:r>
      <w:r w:rsidRPr="00CE7C64">
        <w:rPr>
          <w:rFonts w:ascii="Cambria" w:hAnsi="Cambria"/>
        </w:rPr>
        <w:t xml:space="preserve">. </w:t>
      </w:r>
    </w:p>
    <w:p w14:paraId="0318FF8D" w14:textId="77777777" w:rsidR="001933E6" w:rsidRPr="00CE7C64" w:rsidRDefault="001933E6" w:rsidP="001933E6">
      <w:pPr>
        <w:pStyle w:val="EndNoteBibliography"/>
        <w:spacing w:after="0"/>
        <w:ind w:left="720" w:hanging="720"/>
        <w:rPr>
          <w:rFonts w:ascii="Cambria" w:hAnsi="Cambria"/>
        </w:rPr>
      </w:pPr>
      <w:r w:rsidRPr="00CE7C64">
        <w:rPr>
          <w:rFonts w:ascii="Cambria" w:hAnsi="Cambria"/>
        </w:rPr>
        <w:t xml:space="preserve">Miller, R. E., &amp; Blair, P. D. (2010). </w:t>
      </w:r>
      <w:r w:rsidRPr="00CE7C64">
        <w:rPr>
          <w:rFonts w:ascii="Cambria" w:hAnsi="Cambria"/>
          <w:i/>
        </w:rPr>
        <w:t>Input-Output Analysis: Foundations and Extensions</w:t>
      </w:r>
      <w:r w:rsidRPr="00CE7C64">
        <w:rPr>
          <w:rFonts w:ascii="Cambria" w:hAnsi="Cambria"/>
        </w:rPr>
        <w:t>. Englewood Cliffs, NJ, USA: Prentice-Hall.</w:t>
      </w:r>
    </w:p>
    <w:p w14:paraId="1F37666E" w14:textId="47560F29" w:rsidR="001933E6" w:rsidRPr="00CE7C64" w:rsidRDefault="001933E6" w:rsidP="001933E6">
      <w:pPr>
        <w:pStyle w:val="EndNoteBibliography"/>
        <w:ind w:left="720" w:hanging="720"/>
        <w:rPr>
          <w:rFonts w:ascii="Cambria" w:hAnsi="Cambria"/>
        </w:rPr>
      </w:pPr>
      <w:r w:rsidRPr="00CE7C64">
        <w:rPr>
          <w:rFonts w:ascii="Cambria" w:hAnsi="Cambria"/>
        </w:rPr>
        <w:t xml:space="preserve">SCP-HAT. (2021). </w:t>
      </w:r>
      <w:r w:rsidRPr="00CE7C64">
        <w:rPr>
          <w:rFonts w:ascii="Cambria" w:hAnsi="Cambria"/>
          <w:i/>
        </w:rPr>
        <w:t xml:space="preserve">Hotspot analysis tool for sustainable consumption and production: </w:t>
      </w:r>
      <w:hyperlink r:id="rId16" w:history="1">
        <w:r w:rsidRPr="00CE7C64">
          <w:rPr>
            <w:rStyle w:val="Hyperlink"/>
            <w:rFonts w:ascii="Cambria" w:hAnsi="Cambria"/>
            <w:i/>
          </w:rPr>
          <w:t>http://scp-hat.lifecycleinitiative.org/</w:t>
        </w:r>
      </w:hyperlink>
      <w:r w:rsidRPr="00CE7C64">
        <w:rPr>
          <w:rFonts w:ascii="Cambria" w:hAnsi="Cambria"/>
        </w:rPr>
        <w:t>.</w:t>
      </w:r>
    </w:p>
    <w:p w14:paraId="2CBA93BB" w14:textId="711073CD" w:rsidR="004A5787" w:rsidRDefault="001933E6">
      <w:r w:rsidRPr="00CE7C64">
        <w:rPr>
          <w:rFonts w:ascii="Cambria" w:hAnsi="Cambria"/>
        </w:rPr>
        <w:fldChar w:fldCharType="end"/>
      </w:r>
    </w:p>
    <w:sectPr w:rsidR="004A57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7545D" w14:textId="77777777" w:rsidR="007F651C" w:rsidRDefault="00CE7C64" w:rsidP="000C2D1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3C47A1" w14:textId="77777777" w:rsidR="007F651C" w:rsidRDefault="00CE7C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B883E" w14:textId="77777777" w:rsidR="007F651C" w:rsidRDefault="00CE7C64" w:rsidP="000C2D1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06AF80" w14:textId="77777777" w:rsidR="007F651C" w:rsidRDefault="00CE7C64">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9771C"/>
    <w:multiLevelType w:val="multilevel"/>
    <w:tmpl w:val="3376C41C"/>
    <w:lvl w:ilvl="0">
      <w:start w:val="1"/>
      <w:numFmt w:val="decimal"/>
      <w:pStyle w:val="Heading1"/>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3.1.1."/>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4A7A5CD9"/>
    <w:multiLevelType w:val="hybridMultilevel"/>
    <w:tmpl w:val="8CAC4660"/>
    <w:lvl w:ilvl="0" w:tplc="0C8482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0054636">
    <w:abstractNumId w:val="0"/>
  </w:num>
  <w:num w:numId="2" w16cid:durableId="17605908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trw0rse8z9zxie05fbpfsz9z2dfaawz99df&quot;&gt;My EndNote Library&lt;record-ids&gt;&lt;item&gt;631&lt;/item&gt;&lt;item&gt;855&lt;/item&gt;&lt;item&gt;1741&lt;/item&gt;&lt;item&gt;3284&lt;/item&gt;&lt;item&gt;3285&lt;/item&gt;&lt;/record-ids&gt;&lt;/item&gt;&lt;/Libraries&gt;"/>
  </w:docVars>
  <w:rsids>
    <w:rsidRoot w:val="001063B5"/>
    <w:rsid w:val="001063B5"/>
    <w:rsid w:val="001933E6"/>
    <w:rsid w:val="004177DA"/>
    <w:rsid w:val="004920BD"/>
    <w:rsid w:val="004A5787"/>
    <w:rsid w:val="00751098"/>
    <w:rsid w:val="00B068BB"/>
    <w:rsid w:val="00CE7C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C4E"/>
  <w15:chartTrackingRefBased/>
  <w15:docId w15:val="{747C0CB0-47EF-43A3-974F-0262B39F2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787"/>
  </w:style>
  <w:style w:type="paragraph" w:styleId="Heading1">
    <w:name w:val="heading 1"/>
    <w:basedOn w:val="Normal"/>
    <w:next w:val="Normal"/>
    <w:link w:val="Heading1Char"/>
    <w:uiPriority w:val="9"/>
    <w:qFormat/>
    <w:rsid w:val="004A5787"/>
    <w:pPr>
      <w:keepNext/>
      <w:keepLines/>
      <w:numPr>
        <w:numId w:val="1"/>
      </w:numPr>
      <w:spacing w:before="240" w:after="240"/>
      <w:outlineLvl w:val="0"/>
    </w:pPr>
    <w:rPr>
      <w:rFonts w:ascii="Times New Roman" w:eastAsiaTheme="majorEastAsia" w:hAnsi="Times New Roman" w:cstheme="majorBidi"/>
      <w:b/>
      <w:kern w:val="20"/>
      <w:sz w:val="28"/>
      <w:szCs w:val="32"/>
    </w:rPr>
  </w:style>
  <w:style w:type="paragraph" w:styleId="Heading2">
    <w:name w:val="heading 2"/>
    <w:basedOn w:val="Normal"/>
    <w:next w:val="Normal"/>
    <w:link w:val="Heading2Char"/>
    <w:uiPriority w:val="9"/>
    <w:unhideWhenUsed/>
    <w:qFormat/>
    <w:rsid w:val="004A5787"/>
    <w:pPr>
      <w:keepNext/>
      <w:keepLines/>
      <w:numPr>
        <w:ilvl w:val="1"/>
        <w:numId w:val="1"/>
      </w:numPr>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4A5787"/>
    <w:pPr>
      <w:keepNext/>
      <w:keepLines/>
      <w:numPr>
        <w:ilvl w:val="2"/>
        <w:numId w:val="1"/>
      </w:numPr>
      <w:spacing w:before="40" w:after="0"/>
      <w:outlineLvl w:val="2"/>
    </w:pPr>
    <w:rPr>
      <w:rFonts w:ascii="Times New Roman" w:eastAsiaTheme="majorEastAsia" w:hAnsi="Times New Roman" w:cstheme="majorBid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787"/>
    <w:rPr>
      <w:rFonts w:ascii="Times New Roman" w:eastAsiaTheme="majorEastAsia" w:hAnsi="Times New Roman" w:cstheme="majorBidi"/>
      <w:b/>
      <w:kern w:val="20"/>
      <w:sz w:val="28"/>
      <w:szCs w:val="32"/>
    </w:rPr>
  </w:style>
  <w:style w:type="character" w:customStyle="1" w:styleId="Heading2Char">
    <w:name w:val="Heading 2 Char"/>
    <w:basedOn w:val="DefaultParagraphFont"/>
    <w:link w:val="Heading2"/>
    <w:uiPriority w:val="9"/>
    <w:rsid w:val="004A5787"/>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4A5787"/>
    <w:rPr>
      <w:rFonts w:ascii="Times New Roman" w:eastAsiaTheme="majorEastAsia" w:hAnsi="Times New Roman" w:cstheme="majorBidi"/>
      <w:sz w:val="24"/>
      <w:szCs w:val="24"/>
    </w:rPr>
  </w:style>
  <w:style w:type="paragraph" w:styleId="ListParagraph">
    <w:name w:val="List Paragraph"/>
    <w:aliases w:val="Numbered List Paragraph"/>
    <w:basedOn w:val="Normal"/>
    <w:link w:val="ListParagraphChar"/>
    <w:uiPriority w:val="34"/>
    <w:qFormat/>
    <w:rsid w:val="004A5787"/>
    <w:pPr>
      <w:spacing w:after="200" w:line="276" w:lineRule="auto"/>
      <w:ind w:left="720"/>
      <w:contextualSpacing/>
    </w:pPr>
  </w:style>
  <w:style w:type="paragraph" w:styleId="Footer">
    <w:name w:val="footer"/>
    <w:basedOn w:val="Normal"/>
    <w:link w:val="FooterChar"/>
    <w:uiPriority w:val="99"/>
    <w:unhideWhenUsed/>
    <w:rsid w:val="004A57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787"/>
  </w:style>
  <w:style w:type="character" w:customStyle="1" w:styleId="ListParagraphChar">
    <w:name w:val="List Paragraph Char"/>
    <w:aliases w:val="Numbered List Paragraph Char"/>
    <w:basedOn w:val="DefaultParagraphFont"/>
    <w:link w:val="ListParagraph"/>
    <w:uiPriority w:val="34"/>
    <w:rsid w:val="004A5787"/>
  </w:style>
  <w:style w:type="table" w:customStyle="1" w:styleId="GridTable5Dark-Accent11">
    <w:name w:val="Grid Table 5 Dark - Accent 11"/>
    <w:basedOn w:val="TableNormal"/>
    <w:uiPriority w:val="50"/>
    <w:rsid w:val="004A5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PageNumber">
    <w:name w:val="page number"/>
    <w:basedOn w:val="DefaultParagraphFont"/>
    <w:uiPriority w:val="99"/>
    <w:semiHidden/>
    <w:unhideWhenUsed/>
    <w:rsid w:val="004A5787"/>
  </w:style>
  <w:style w:type="paragraph" w:customStyle="1" w:styleId="EndNoteBibliographyTitle">
    <w:name w:val="EndNote Bibliography Title"/>
    <w:basedOn w:val="Normal"/>
    <w:link w:val="EndNoteBibliographyTitleChar"/>
    <w:rsid w:val="001933E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933E6"/>
    <w:rPr>
      <w:rFonts w:ascii="Calibri" w:hAnsi="Calibri" w:cs="Calibri"/>
      <w:noProof/>
      <w:lang w:val="en-US"/>
    </w:rPr>
  </w:style>
  <w:style w:type="paragraph" w:customStyle="1" w:styleId="EndNoteBibliography">
    <w:name w:val="EndNote Bibliography"/>
    <w:basedOn w:val="Normal"/>
    <w:link w:val="EndNoteBibliographyChar"/>
    <w:rsid w:val="001933E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1933E6"/>
    <w:rPr>
      <w:rFonts w:ascii="Calibri" w:hAnsi="Calibri" w:cs="Calibri"/>
      <w:noProof/>
      <w:lang w:val="en-US"/>
    </w:rPr>
  </w:style>
  <w:style w:type="character" w:styleId="Hyperlink">
    <w:name w:val="Hyperlink"/>
    <w:basedOn w:val="DefaultParagraphFont"/>
    <w:uiPriority w:val="99"/>
    <w:unhideWhenUsed/>
    <w:rsid w:val="001933E6"/>
    <w:rPr>
      <w:color w:val="0563C1" w:themeColor="hyperlink"/>
      <w:u w:val="single"/>
    </w:rPr>
  </w:style>
  <w:style w:type="character" w:styleId="UnresolvedMention">
    <w:name w:val="Unresolved Mention"/>
    <w:basedOn w:val="DefaultParagraphFont"/>
    <w:uiPriority w:val="99"/>
    <w:semiHidden/>
    <w:unhideWhenUsed/>
    <w:rsid w:val="001933E6"/>
    <w:rPr>
      <w:color w:val="605E5C"/>
      <w:shd w:val="clear" w:color="auto" w:fill="E1DFDD"/>
    </w:rPr>
  </w:style>
  <w:style w:type="paragraph" w:styleId="NoSpacing">
    <w:name w:val="No Spacing"/>
    <w:link w:val="NoSpacingChar"/>
    <w:uiPriority w:val="1"/>
    <w:qFormat/>
    <w:rsid w:val="00751098"/>
    <w:pPr>
      <w:spacing w:after="0" w:line="240" w:lineRule="auto"/>
    </w:pPr>
  </w:style>
  <w:style w:type="character" w:customStyle="1" w:styleId="NoSpacingChar">
    <w:name w:val="No Spacing Char"/>
    <w:basedOn w:val="DefaultParagraphFont"/>
    <w:link w:val="NoSpacing"/>
    <w:uiPriority w:val="1"/>
    <w:rsid w:val="00751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p-hat.lifecycleinitiative.org/" TargetMode="Externa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image" Target="media/image5.png"/><Relationship Id="rId5" Type="http://schemas.openxmlformats.org/officeDocument/2006/relationships/footer" Target="footer1.xml"/><Relationship Id="rId15" Type="http://schemas.openxmlformats.org/officeDocument/2006/relationships/hyperlink" Target="http://atlas.cid.harvard.edu/"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Normal</Template>
  <TotalTime>4</TotalTime>
  <Pages>10</Pages>
  <Words>2464</Words>
  <Characters>14049</Characters>
  <Application>Microsoft Office Word</Application>
  <DocSecurity>0</DocSecurity>
  <Lines>117</Lines>
  <Paragraphs>32</Paragraphs>
  <ScaleCrop>false</ScaleCrop>
  <Company/>
  <LinksUpToDate>false</LinksUpToDate>
  <CharactersWithSpaces>16481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Arunima Malik</dc:creator>
  <cp:keywords/>
  <dc:description/>
  <cp:lastModifiedBy>Arunima Malik</cp:lastModifiedBy>
  <cp:revision>7</cp:revision>
  <dcterms:created xsi:type="dcterms:W3CDTF">2023-03-06T05:51:00Z</dcterms:created>
  <dcterms:modified xsi:type="dcterms:W3CDTF">2023-03-06T05:56:00Z</dcterms:modified>
</cp:coreProperties>
</file>