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63" w:rsidRPr="003D47F7" w:rsidRDefault="003B1332" w:rsidP="00FD2F63">
      <w:pPr>
        <w:spacing w:after="0" w:line="240" w:lineRule="auto"/>
        <w:jc w:val="center"/>
        <w:rPr>
          <w:b/>
        </w:rPr>
      </w:pPr>
      <w:r w:rsidRPr="003D47F7">
        <w:rPr>
          <w:b/>
        </w:rPr>
        <w:t>Supplemental Appendix</w:t>
      </w:r>
    </w:p>
    <w:p w:rsidR="003D47F7" w:rsidRDefault="003D47F7" w:rsidP="00FD2F63">
      <w:pPr>
        <w:spacing w:after="0" w:line="240" w:lineRule="auto"/>
        <w:jc w:val="center"/>
      </w:pPr>
      <w:r>
        <w:t>“</w:t>
      </w:r>
      <w:r w:rsidRPr="003214C7">
        <w:t>Explaining Extremism: Western Women in Daesh</w:t>
      </w:r>
      <w:r>
        <w:t xml:space="preserve">” </w:t>
      </w:r>
      <w:r w:rsidRPr="003214C7">
        <w:rPr>
          <w:i/>
        </w:rPr>
        <w:t>European Journal of International Security</w:t>
      </w:r>
    </w:p>
    <w:p w:rsidR="001018F5" w:rsidRPr="00CA4E87" w:rsidRDefault="001018F5" w:rsidP="00226B3B">
      <w:pPr>
        <w:spacing w:after="0" w:line="240" w:lineRule="auto"/>
        <w:jc w:val="center"/>
      </w:pPr>
      <w:r w:rsidRPr="00CA4E87">
        <w:t xml:space="preserve">Meredith Loken and Anna </w:t>
      </w:r>
      <w:proofErr w:type="spellStart"/>
      <w:r w:rsidRPr="00CA4E87">
        <w:t>Zelenz</w:t>
      </w:r>
      <w:proofErr w:type="spellEnd"/>
    </w:p>
    <w:p w:rsidR="00485DE0" w:rsidRDefault="00485DE0" w:rsidP="00226B3B">
      <w:pPr>
        <w:spacing w:line="240" w:lineRule="auto"/>
        <w:rPr>
          <w:b/>
        </w:rPr>
      </w:pPr>
    </w:p>
    <w:p w:rsidR="00553C98" w:rsidRPr="00554CDF" w:rsidRDefault="00553C98" w:rsidP="00553C98">
      <w:pPr>
        <w:rPr>
          <w:b/>
        </w:rPr>
      </w:pPr>
      <w:r>
        <w:rPr>
          <w:b/>
        </w:rPr>
        <w:t>Appendix 1: Se</w:t>
      </w:r>
      <w:r w:rsidR="00CA4E87">
        <w:rPr>
          <w:b/>
        </w:rPr>
        <w:t>lecting and confirming accounts</w:t>
      </w:r>
    </w:p>
    <w:p w:rsidR="00553C98" w:rsidRPr="00A73AB6" w:rsidRDefault="00553C98" w:rsidP="00553C98">
      <w:pPr>
        <w:spacing w:after="0"/>
        <w:contextualSpacing/>
        <w:rPr>
          <w:color w:val="auto"/>
        </w:rPr>
      </w:pPr>
      <w:r w:rsidRPr="00A73AB6">
        <w:rPr>
          <w:color w:val="auto"/>
        </w:rPr>
        <w:t xml:space="preserve">To confirm that the self-identified </w:t>
      </w:r>
      <w:proofErr w:type="spellStart"/>
      <w:r w:rsidRPr="00A73AB6">
        <w:rPr>
          <w:i/>
          <w:iCs/>
          <w:color w:val="auto"/>
        </w:rPr>
        <w:t>muhajirat</w:t>
      </w:r>
      <w:proofErr w:type="spellEnd"/>
      <w:r w:rsidRPr="00A73AB6">
        <w:rPr>
          <w:i/>
          <w:iCs/>
          <w:color w:val="auto"/>
        </w:rPr>
        <w:t xml:space="preserve"> </w:t>
      </w:r>
      <w:r w:rsidRPr="00A73AB6">
        <w:rPr>
          <w:color w:val="auto"/>
        </w:rPr>
        <w:t>are in IS-controlled territory and to determine their region of origin we gathered evidence of online interactions with social medi</w:t>
      </w:r>
      <w:r w:rsidR="00546289">
        <w:rPr>
          <w:color w:val="auto"/>
        </w:rPr>
        <w:t>a users, referenced photographs,</w:t>
      </w:r>
      <w:r w:rsidRPr="00A73AB6">
        <w:rPr>
          <w:color w:val="auto"/>
        </w:rPr>
        <w:t xml:space="preserve"> and examined post content. Examples of confirming factors include primary language, use of Arabic phrases and idioms, self-identification as a Western migrant, references to Western states and their laws, witness testimony of coalition airstrikes, photographs of Raqqa and Mosul, discussion of Ramadan within the Islamic State, conversation with and reference to other </w:t>
      </w:r>
      <w:proofErr w:type="spellStart"/>
      <w:r w:rsidRPr="00A73AB6">
        <w:rPr>
          <w:i/>
          <w:iCs/>
          <w:color w:val="auto"/>
        </w:rPr>
        <w:t>muhajirat</w:t>
      </w:r>
      <w:proofErr w:type="spellEnd"/>
      <w:r w:rsidRPr="00A73AB6">
        <w:rPr>
          <w:i/>
          <w:iCs/>
          <w:color w:val="auto"/>
        </w:rPr>
        <w:t xml:space="preserve"> </w:t>
      </w:r>
      <w:r w:rsidRPr="00A73AB6">
        <w:rPr>
          <w:color w:val="auto"/>
        </w:rPr>
        <w:t xml:space="preserve">on social media, answering questions about life in IS, and reflection on their journeys to the Middle East. Furthermore, communication between </w:t>
      </w:r>
      <w:proofErr w:type="spellStart"/>
      <w:r w:rsidRPr="00A73AB6">
        <w:rPr>
          <w:i/>
          <w:color w:val="auto"/>
        </w:rPr>
        <w:t>muhajirat</w:t>
      </w:r>
      <w:proofErr w:type="spellEnd"/>
      <w:r w:rsidRPr="00A73AB6">
        <w:rPr>
          <w:i/>
          <w:color w:val="auto"/>
        </w:rPr>
        <w:t>,</w:t>
      </w:r>
      <w:r w:rsidRPr="00A73AB6">
        <w:rPr>
          <w:color w:val="auto"/>
        </w:rPr>
        <w:t xml:space="preserve"> their photographs of one another and their daily lives, and their linguistic style enable us to</w:t>
      </w:r>
      <w:r w:rsidR="00C91920">
        <w:rPr>
          <w:color w:val="auto"/>
        </w:rPr>
        <w:t xml:space="preserve"> recognize them as young women.</w:t>
      </w:r>
    </w:p>
    <w:p w:rsidR="00553C98" w:rsidRDefault="00553C98" w:rsidP="00553C98">
      <w:pPr>
        <w:spacing w:after="0"/>
        <w:contextualSpacing/>
      </w:pPr>
    </w:p>
    <w:p w:rsidR="00553C98" w:rsidRDefault="00553C98" w:rsidP="00553C98">
      <w:pPr>
        <w:spacing w:after="0"/>
        <w:contextualSpacing/>
      </w:pPr>
      <w:r>
        <w:t xml:space="preserve">We used the rubric below to standardize our selection process. </w:t>
      </w:r>
    </w:p>
    <w:p w:rsidR="00553C98" w:rsidRDefault="00553C98" w:rsidP="00553C98">
      <w:pPr>
        <w:spacing w:after="0"/>
        <w:contextualSpacing/>
      </w:pPr>
    </w:p>
    <w:tbl>
      <w:tblPr>
        <w:tblW w:w="0" w:type="auto"/>
        <w:tblCellMar>
          <w:top w:w="15" w:type="dxa"/>
          <w:left w:w="15" w:type="dxa"/>
          <w:bottom w:w="15" w:type="dxa"/>
          <w:right w:w="15" w:type="dxa"/>
        </w:tblCellMar>
        <w:tblLook w:val="04A0" w:firstRow="1" w:lastRow="0" w:firstColumn="1" w:lastColumn="0" w:noHBand="0" w:noVBand="1"/>
      </w:tblPr>
      <w:tblGrid>
        <w:gridCol w:w="1285"/>
        <w:gridCol w:w="8285"/>
      </w:tblGrid>
      <w:tr w:rsidR="00553C98" w:rsidRPr="00266003">
        <w:trPr>
          <w:trHeight w:val="525"/>
        </w:trPr>
        <w:tc>
          <w:tcPr>
            <w:tcW w:w="0" w:type="auto"/>
            <w:tcBorders>
              <w:top w:val="single" w:sz="6" w:space="0" w:color="000000"/>
              <w:left w:val="single" w:sz="6" w:space="0" w:color="000000"/>
              <w:bottom w:val="single" w:sz="24" w:space="0" w:color="000000"/>
              <w:right w:val="single" w:sz="6" w:space="0" w:color="000000"/>
            </w:tcBorders>
            <w:shd w:val="clear" w:color="auto" w:fill="FFFFFF"/>
            <w:tcMar>
              <w:top w:w="105" w:type="dxa"/>
              <w:left w:w="105" w:type="dxa"/>
              <w:bottom w:w="105" w:type="dxa"/>
              <w:right w:w="105" w:type="dxa"/>
            </w:tcMar>
          </w:tcPr>
          <w:p w:rsidR="00553C98" w:rsidRPr="00266003" w:rsidRDefault="00553C98" w:rsidP="00A90597">
            <w:pPr>
              <w:rPr>
                <w:rFonts w:eastAsia="Times New Roman"/>
                <w:sz w:val="20"/>
                <w:szCs w:val="20"/>
              </w:rPr>
            </w:pPr>
          </w:p>
        </w:tc>
        <w:tc>
          <w:tcPr>
            <w:tcW w:w="0" w:type="auto"/>
            <w:tcBorders>
              <w:top w:val="single" w:sz="6" w:space="0" w:color="000000"/>
              <w:left w:val="single" w:sz="6" w:space="0" w:color="000000"/>
              <w:bottom w:val="single" w:sz="24" w:space="0" w:color="000000"/>
              <w:right w:val="single" w:sz="6" w:space="0" w:color="000000"/>
            </w:tcBorders>
            <w:shd w:val="clear" w:color="auto" w:fill="FFFFFF"/>
            <w:tcMar>
              <w:top w:w="105" w:type="dxa"/>
              <w:left w:w="105" w:type="dxa"/>
              <w:bottom w:w="105" w:type="dxa"/>
              <w:right w:w="105" w:type="dxa"/>
            </w:tcMar>
          </w:tcPr>
          <w:p w:rsidR="00553C98" w:rsidRPr="00266003" w:rsidRDefault="00553C98" w:rsidP="00A90597">
            <w:pPr>
              <w:pStyle w:val="NormalWeb"/>
              <w:spacing w:before="0" w:beforeAutospacing="0" w:after="0" w:afterAutospacing="0"/>
              <w:jc w:val="both"/>
              <w:rPr>
                <w:rFonts w:ascii="Garamond" w:hAnsi="Garamond"/>
              </w:rPr>
            </w:pPr>
            <w:r>
              <w:rPr>
                <w:rFonts w:ascii="Garamond" w:hAnsi="Garamond"/>
                <w:b/>
                <w:bCs/>
                <w:color w:val="000000"/>
                <w:shd w:val="clear" w:color="auto" w:fill="FFFFFF"/>
              </w:rPr>
              <w:t xml:space="preserve">Selection/Confirmation Rubric </w:t>
            </w:r>
          </w:p>
        </w:tc>
      </w:tr>
      <w:tr w:rsidR="00553C98" w:rsidRPr="00266003">
        <w:tc>
          <w:tcPr>
            <w:tcW w:w="0" w:type="auto"/>
            <w:tcBorders>
              <w:top w:val="single" w:sz="24"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553C98" w:rsidRPr="00266003" w:rsidRDefault="00553C98" w:rsidP="00A90597">
            <w:pPr>
              <w:spacing w:after="240"/>
              <w:rPr>
                <w:rFonts w:eastAsia="Times New Roman"/>
                <w:sz w:val="20"/>
                <w:szCs w:val="20"/>
              </w:rPr>
            </w:pPr>
            <w:r w:rsidRPr="00266003">
              <w:rPr>
                <w:rFonts w:eastAsia="Times New Roman"/>
                <w:sz w:val="20"/>
                <w:szCs w:val="20"/>
              </w:rPr>
              <w:br/>
            </w: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center"/>
              <w:rPr>
                <w:rFonts w:ascii="Garamond" w:hAnsi="Garamond"/>
              </w:rPr>
            </w:pPr>
            <w:r w:rsidRPr="00266003">
              <w:rPr>
                <w:rFonts w:ascii="Garamond" w:hAnsi="Garamond"/>
                <w:color w:val="000000"/>
                <w:shd w:val="clear" w:color="auto" w:fill="FFFFFF"/>
              </w:rPr>
              <w:t>Confirmed</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3C98" w:rsidRPr="00266003" w:rsidRDefault="00553C98" w:rsidP="00A90597">
            <w:pPr>
              <w:pStyle w:val="NormalWeb"/>
              <w:spacing w:before="0" w:beforeAutospacing="0" w:after="0" w:afterAutospacing="0"/>
              <w:jc w:val="both"/>
              <w:rPr>
                <w:rFonts w:ascii="Garamond" w:hAnsi="Garamond"/>
              </w:rPr>
            </w:pPr>
            <w:proofErr w:type="spellStart"/>
            <w:r w:rsidRPr="00266003">
              <w:rPr>
                <w:rFonts w:ascii="Garamond" w:hAnsi="Garamond"/>
                <w:i/>
                <w:iCs/>
                <w:color w:val="000000"/>
              </w:rPr>
              <w:t>Muhajirat</w:t>
            </w:r>
            <w:proofErr w:type="spellEnd"/>
            <w:r w:rsidRPr="00266003">
              <w:rPr>
                <w:rFonts w:ascii="Garamond" w:hAnsi="Garamond"/>
                <w:i/>
                <w:iCs/>
                <w:color w:val="000000"/>
              </w:rPr>
              <w:t xml:space="preserve"> </w:t>
            </w:r>
            <w:r w:rsidRPr="00266003">
              <w:rPr>
                <w:rFonts w:ascii="Garamond" w:hAnsi="Garamond"/>
                <w:color w:val="000000"/>
              </w:rPr>
              <w:t xml:space="preserve">is a Western migrant living in </w:t>
            </w:r>
            <w:r>
              <w:rPr>
                <w:rFonts w:ascii="Garamond" w:hAnsi="Garamond"/>
                <w:color w:val="000000"/>
              </w:rPr>
              <w:t>Daesh</w:t>
            </w:r>
            <w:r w:rsidRPr="00266003">
              <w:rPr>
                <w:rFonts w:ascii="Garamond" w:hAnsi="Garamond"/>
                <w:color w:val="000000"/>
              </w:rPr>
              <w:t xml:space="preserve">: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Identified as a Muslim woman through snowball method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Self-identities as living in Syria, Iraq, Sham, the Islamic State, </w:t>
            </w:r>
            <w:r>
              <w:rPr>
                <w:rFonts w:ascii="Garamond" w:hAnsi="Garamond"/>
                <w:color w:val="000000"/>
              </w:rPr>
              <w:t xml:space="preserve">Daesh, </w:t>
            </w:r>
            <w:r w:rsidRPr="00266003">
              <w:rPr>
                <w:rFonts w:ascii="Garamond" w:hAnsi="Garamond"/>
                <w:color w:val="000000"/>
              </w:rPr>
              <w:t>or the Caliphate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Self-identifies as originating from Europe (excluding Russia and Turkey), the United States of America, Canada, Australia, or New Zealand or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Self-identifies as originating, moving from, or missing  “the West,” or</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Makes repeated references to a Western country and speaks a primary or secondary language suggesting Western origin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Posts information indicating a life un</w:t>
            </w:r>
            <w:r>
              <w:rPr>
                <w:rFonts w:ascii="Garamond" w:hAnsi="Garamond"/>
                <w:color w:val="000000"/>
              </w:rPr>
              <w:t>der Daesh</w:t>
            </w:r>
            <w:r w:rsidRPr="00266003">
              <w:rPr>
                <w:rFonts w:ascii="Garamond" w:hAnsi="Garamond"/>
                <w:color w:val="000000"/>
              </w:rPr>
              <w:t>, including witness testimony of coalition airstrikes, photographs of people and places in Raqqa and Mosul, references to husbands and reactions to martyrdom, discussion of Ramadan within the Islamic State, answering questions about life</w:t>
            </w:r>
            <w:r>
              <w:rPr>
                <w:rFonts w:ascii="Garamond" w:hAnsi="Garamond"/>
                <w:color w:val="000000"/>
              </w:rPr>
              <w:t xml:space="preserve"> in Daesh, and reflection on </w:t>
            </w:r>
            <w:r w:rsidRPr="000A74EC">
              <w:rPr>
                <w:rFonts w:ascii="Garamond" w:hAnsi="Garamond"/>
                <w:i/>
                <w:color w:val="000000"/>
              </w:rPr>
              <w:t>hijra</w:t>
            </w:r>
            <w:r w:rsidRPr="00266003">
              <w:rPr>
                <w:rFonts w:ascii="Garamond" w:hAnsi="Garamond"/>
                <w:color w:val="000000"/>
              </w:rPr>
              <w:t xml:space="preserv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Has social media interactions with other </w:t>
            </w:r>
            <w:proofErr w:type="spellStart"/>
            <w:r w:rsidRPr="00266003">
              <w:rPr>
                <w:rFonts w:ascii="Garamond" w:hAnsi="Garamond"/>
                <w:i/>
                <w:iCs/>
                <w:color w:val="000000"/>
              </w:rPr>
              <w:t>muhajirat</w:t>
            </w:r>
            <w:proofErr w:type="spellEnd"/>
            <w:r w:rsidRPr="00266003">
              <w:rPr>
                <w:rFonts w:ascii="Garamond" w:hAnsi="Garamond"/>
                <w:i/>
                <w:iCs/>
                <w:color w:val="000000"/>
              </w:rPr>
              <w:t xml:space="preserve"> </w:t>
            </w:r>
            <w:r w:rsidRPr="00266003">
              <w:rPr>
                <w:rFonts w:ascii="Garamond" w:hAnsi="Garamond"/>
                <w:color w:val="000000"/>
              </w:rPr>
              <w:t xml:space="preserve">and/or known </w:t>
            </w:r>
            <w:r>
              <w:rPr>
                <w:rFonts w:ascii="Garamond" w:hAnsi="Garamond"/>
                <w:color w:val="000000"/>
              </w:rPr>
              <w:t>Daesh</w:t>
            </w:r>
            <w:r w:rsidRPr="00266003">
              <w:rPr>
                <w:rFonts w:ascii="Garamond" w:hAnsi="Garamond"/>
                <w:color w:val="000000"/>
              </w:rPr>
              <w:t xml:space="preserve"> fighters and male foreign migrants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Confirmed independently by authors through coder-reliability checks and</w:t>
            </w:r>
          </w:p>
          <w:p w:rsidR="00553C98" w:rsidRPr="00266003" w:rsidRDefault="00553C98" w:rsidP="00A90597">
            <w:pPr>
              <w:pStyle w:val="NormalWeb"/>
              <w:spacing w:before="0" w:beforeAutospacing="0" w:after="0" w:afterAutospacing="0" w:line="0" w:lineRule="atLeast"/>
              <w:jc w:val="both"/>
              <w:rPr>
                <w:rFonts w:ascii="Garamond" w:hAnsi="Garamond"/>
              </w:rPr>
            </w:pPr>
            <w:r w:rsidRPr="00266003">
              <w:rPr>
                <w:rFonts w:ascii="Garamond" w:hAnsi="Garamond"/>
                <w:color w:val="000000"/>
              </w:rPr>
              <w:t>·  When possible, verifiable by counte</w:t>
            </w:r>
            <w:r w:rsidR="00717605">
              <w:rPr>
                <w:rFonts w:ascii="Garamond" w:hAnsi="Garamond"/>
                <w:color w:val="000000"/>
              </w:rPr>
              <w:t>rte</w:t>
            </w:r>
            <w:r w:rsidRPr="00266003">
              <w:rPr>
                <w:rFonts w:ascii="Garamond" w:hAnsi="Garamond"/>
                <w:color w:val="000000"/>
              </w:rPr>
              <w:t xml:space="preserve">rrorism </w:t>
            </w:r>
            <w:r w:rsidR="00404FD6">
              <w:rPr>
                <w:rFonts w:ascii="Garamond" w:hAnsi="Garamond"/>
                <w:color w:val="000000"/>
              </w:rPr>
              <w:t>researchers</w:t>
            </w:r>
            <w:r w:rsidRPr="00266003">
              <w:rPr>
                <w:rFonts w:ascii="Garamond" w:hAnsi="Garamond"/>
                <w:color w:val="000000"/>
              </w:rPr>
              <w:t xml:space="preserve"> and/or journalists</w:t>
            </w:r>
          </w:p>
        </w:tc>
      </w:tr>
      <w:tr w:rsidR="00553C98" w:rsidRPr="002660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553C98" w:rsidRDefault="00553C98" w:rsidP="00A90597">
            <w:pPr>
              <w:spacing w:after="240"/>
              <w:rPr>
                <w:rFonts w:eastAsia="Times New Roman"/>
                <w:sz w:val="20"/>
                <w:szCs w:val="20"/>
              </w:rPr>
            </w:pPr>
          </w:p>
          <w:p w:rsidR="00553C98" w:rsidRPr="00617AE3" w:rsidRDefault="00553C98" w:rsidP="00A90597">
            <w:pPr>
              <w:spacing w:after="240"/>
              <w:rPr>
                <w:rFonts w:eastAsia="Times New Roman"/>
                <w:sz w:val="20"/>
                <w:szCs w:val="20"/>
              </w:rPr>
            </w:pPr>
          </w:p>
          <w:p w:rsidR="00553C98" w:rsidRPr="00266003" w:rsidRDefault="00553C98" w:rsidP="00A90597">
            <w:pPr>
              <w:pStyle w:val="NormalWeb"/>
              <w:spacing w:before="0" w:beforeAutospacing="0" w:after="0" w:afterAutospacing="0" w:line="0" w:lineRule="atLeast"/>
              <w:rPr>
                <w:rFonts w:ascii="Garamond" w:hAnsi="Garamond"/>
                <w:color w:val="000000"/>
                <w:shd w:val="clear" w:color="auto" w:fill="FFFFFF"/>
              </w:rPr>
            </w:pPr>
          </w:p>
          <w:p w:rsidR="00553C98" w:rsidRDefault="00553C98" w:rsidP="00A90597">
            <w:pPr>
              <w:pStyle w:val="NormalWeb"/>
              <w:spacing w:before="0" w:beforeAutospacing="0" w:after="0" w:afterAutospacing="0" w:line="0" w:lineRule="atLeast"/>
              <w:jc w:val="center"/>
              <w:rPr>
                <w:rFonts w:ascii="Garamond" w:hAnsi="Garamond"/>
                <w:color w:val="000000"/>
                <w:shd w:val="clear" w:color="auto" w:fill="FFFFFF"/>
              </w:rPr>
            </w:pPr>
            <w:r>
              <w:rPr>
                <w:rFonts w:ascii="Garamond" w:hAnsi="Garamond"/>
                <w:color w:val="000000"/>
                <w:shd w:val="clear" w:color="auto" w:fill="FFFFFF"/>
              </w:rPr>
              <w:t xml:space="preserve">Confirmed but </w:t>
            </w:r>
          </w:p>
          <w:p w:rsidR="00553C98" w:rsidRPr="00266003" w:rsidRDefault="00553C98" w:rsidP="00A90597">
            <w:pPr>
              <w:pStyle w:val="NormalWeb"/>
              <w:spacing w:before="0" w:beforeAutospacing="0" w:after="0" w:afterAutospacing="0" w:line="0" w:lineRule="atLeast"/>
              <w:jc w:val="center"/>
              <w:rPr>
                <w:rFonts w:ascii="Garamond" w:hAnsi="Garamond"/>
              </w:rPr>
            </w:pPr>
            <w:r w:rsidRPr="00266003">
              <w:rPr>
                <w:rFonts w:ascii="Garamond" w:hAnsi="Garamond"/>
                <w:color w:val="000000"/>
                <w:shd w:val="clear" w:color="auto" w:fill="FFFFFF"/>
              </w:rPr>
              <w:t>not Western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3C98" w:rsidRPr="00266003" w:rsidRDefault="00553C98" w:rsidP="00A90597">
            <w:pPr>
              <w:pStyle w:val="NormalWeb"/>
              <w:spacing w:before="0" w:beforeAutospacing="0" w:after="0" w:afterAutospacing="0"/>
              <w:jc w:val="both"/>
              <w:rPr>
                <w:rFonts w:ascii="Garamond" w:hAnsi="Garamond"/>
              </w:rPr>
            </w:pPr>
            <w:proofErr w:type="spellStart"/>
            <w:r w:rsidRPr="00266003">
              <w:rPr>
                <w:rFonts w:ascii="Garamond" w:hAnsi="Garamond"/>
                <w:i/>
                <w:iCs/>
                <w:color w:val="000000"/>
              </w:rPr>
              <w:t>Muhajirat</w:t>
            </w:r>
            <w:proofErr w:type="spellEnd"/>
            <w:r w:rsidRPr="00266003">
              <w:rPr>
                <w:rFonts w:ascii="Garamond" w:hAnsi="Garamond"/>
                <w:i/>
                <w:iCs/>
                <w:color w:val="000000"/>
              </w:rPr>
              <w:t xml:space="preserve"> </w:t>
            </w:r>
            <w:r w:rsidRPr="00266003">
              <w:rPr>
                <w:rFonts w:ascii="Garamond" w:hAnsi="Garamond"/>
                <w:color w:val="000000"/>
              </w:rPr>
              <w:t>is a non-Western migrant living in the</w:t>
            </w:r>
            <w:r>
              <w:rPr>
                <w:rFonts w:ascii="Garamond" w:hAnsi="Garamond"/>
                <w:color w:val="000000"/>
              </w:rPr>
              <w:t xml:space="preserve"> Daesh</w:t>
            </w:r>
            <w:r w:rsidRPr="00266003">
              <w:rPr>
                <w:rFonts w:ascii="Garamond" w:hAnsi="Garamond"/>
                <w:color w:val="000000"/>
              </w:rPr>
              <w:t xml:space="preserve">: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Identified as a Muslim woman through snowball method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Self-identities as living in Syria, Iraq, Sham, </w:t>
            </w:r>
            <w:r>
              <w:rPr>
                <w:rFonts w:ascii="Garamond" w:hAnsi="Garamond"/>
                <w:color w:val="000000"/>
              </w:rPr>
              <w:t>Daesh</w:t>
            </w:r>
            <w:r w:rsidRPr="00266003">
              <w:rPr>
                <w:rFonts w:ascii="Garamond" w:hAnsi="Garamond"/>
                <w:color w:val="000000"/>
              </w:rPr>
              <w:t>, or the Caliphate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Self-identifies as originating from a country that is not in Europe (excluding Russia and Turkey), the United States of America, Canada, Australia, or New Zealand or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Self-identifies as originating, moving from, or missing a non-Western country or</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Makes repeated references to a non-Western country and speaks a primary or secondary language suggesting non-Western origin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Posts information indicating a life under </w:t>
            </w:r>
            <w:r>
              <w:rPr>
                <w:rFonts w:ascii="Garamond" w:hAnsi="Garamond"/>
                <w:color w:val="000000"/>
              </w:rPr>
              <w:t>Daesh</w:t>
            </w:r>
            <w:r w:rsidRPr="00266003">
              <w:rPr>
                <w:rFonts w:ascii="Garamond" w:hAnsi="Garamond"/>
                <w:color w:val="000000"/>
              </w:rPr>
              <w:t xml:space="preserve">, including witness testimony of coalition airstrikes, photographs of people and places in Raqqa and Mosul, references to husbands and reactions to martyrdom, discussion of Ramadan within </w:t>
            </w:r>
            <w:r>
              <w:rPr>
                <w:rFonts w:ascii="Garamond" w:hAnsi="Garamond"/>
                <w:color w:val="000000"/>
              </w:rPr>
              <w:t>Daesh</w:t>
            </w:r>
            <w:r w:rsidRPr="00266003">
              <w:rPr>
                <w:rFonts w:ascii="Garamond" w:hAnsi="Garamond"/>
                <w:color w:val="000000"/>
              </w:rPr>
              <w:t xml:space="preserve">, answering questions about life in </w:t>
            </w:r>
            <w:r>
              <w:rPr>
                <w:rFonts w:ascii="Garamond" w:hAnsi="Garamond"/>
                <w:color w:val="000000"/>
              </w:rPr>
              <w:t>Daesh,</w:t>
            </w:r>
            <w:r w:rsidRPr="00266003">
              <w:rPr>
                <w:rFonts w:ascii="Garamond" w:hAnsi="Garamond"/>
                <w:color w:val="000000"/>
              </w:rPr>
              <w:t xml:space="preserve"> and </w:t>
            </w:r>
            <w:r w:rsidRPr="00266003">
              <w:rPr>
                <w:rFonts w:ascii="Garamond" w:hAnsi="Garamond"/>
                <w:color w:val="000000"/>
              </w:rPr>
              <w:lastRenderedPageBreak/>
              <w:t xml:space="preserve">reflection on </w:t>
            </w:r>
            <w:r w:rsidRPr="000A74EC">
              <w:rPr>
                <w:rFonts w:ascii="Garamond" w:hAnsi="Garamond"/>
                <w:i/>
                <w:color w:val="000000"/>
              </w:rPr>
              <w:t>hijra</w:t>
            </w:r>
            <w:r w:rsidRPr="00266003">
              <w:rPr>
                <w:rFonts w:ascii="Garamond" w:hAnsi="Garamond"/>
                <w:color w:val="000000"/>
              </w:rPr>
              <w:t xml:space="preserv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Has social media interactions with other </w:t>
            </w:r>
            <w:proofErr w:type="spellStart"/>
            <w:r w:rsidRPr="00266003">
              <w:rPr>
                <w:rFonts w:ascii="Garamond" w:hAnsi="Garamond"/>
                <w:i/>
                <w:iCs/>
                <w:color w:val="000000"/>
              </w:rPr>
              <w:t>muhajirat</w:t>
            </w:r>
            <w:proofErr w:type="spellEnd"/>
            <w:r w:rsidRPr="00266003">
              <w:rPr>
                <w:rFonts w:ascii="Garamond" w:hAnsi="Garamond"/>
                <w:i/>
                <w:iCs/>
                <w:color w:val="000000"/>
              </w:rPr>
              <w:t xml:space="preserve"> </w:t>
            </w:r>
            <w:r w:rsidRPr="00266003">
              <w:rPr>
                <w:rFonts w:ascii="Garamond" w:hAnsi="Garamond"/>
                <w:color w:val="000000"/>
              </w:rPr>
              <w:t>and/or known IS fighters and male foreign migrants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Confirmed independently by authors through coder-reliability checks and</w:t>
            </w:r>
          </w:p>
          <w:p w:rsidR="00553C98" w:rsidRPr="00266003" w:rsidRDefault="00717605" w:rsidP="00A90597">
            <w:pPr>
              <w:pStyle w:val="NormalWeb"/>
              <w:spacing w:before="0" w:beforeAutospacing="0" w:after="0" w:afterAutospacing="0" w:line="0" w:lineRule="atLeast"/>
              <w:jc w:val="both"/>
              <w:rPr>
                <w:rFonts w:ascii="Garamond" w:hAnsi="Garamond"/>
              </w:rPr>
            </w:pPr>
            <w:r>
              <w:rPr>
                <w:rFonts w:ascii="Garamond" w:hAnsi="Garamond"/>
                <w:color w:val="000000"/>
              </w:rPr>
              <w:t xml:space="preserve">·  When possible, verifiable by </w:t>
            </w:r>
            <w:r w:rsidRPr="00266003">
              <w:rPr>
                <w:rFonts w:ascii="Garamond" w:hAnsi="Garamond"/>
                <w:color w:val="000000"/>
              </w:rPr>
              <w:t>counte</w:t>
            </w:r>
            <w:r>
              <w:rPr>
                <w:rFonts w:ascii="Garamond" w:hAnsi="Garamond"/>
                <w:color w:val="000000"/>
              </w:rPr>
              <w:t>rte</w:t>
            </w:r>
            <w:r w:rsidRPr="00266003">
              <w:rPr>
                <w:rFonts w:ascii="Garamond" w:hAnsi="Garamond"/>
                <w:color w:val="000000"/>
              </w:rPr>
              <w:t xml:space="preserve">rrorism </w:t>
            </w:r>
            <w:r w:rsidR="00404FD6">
              <w:rPr>
                <w:rFonts w:ascii="Garamond" w:hAnsi="Garamond"/>
                <w:color w:val="000000"/>
              </w:rPr>
              <w:t>researchers</w:t>
            </w:r>
            <w:r w:rsidR="00404FD6" w:rsidRPr="00266003">
              <w:rPr>
                <w:rFonts w:ascii="Garamond" w:hAnsi="Garamond"/>
                <w:color w:val="000000"/>
              </w:rPr>
              <w:t xml:space="preserve"> </w:t>
            </w:r>
            <w:r w:rsidR="00553C98" w:rsidRPr="00266003">
              <w:rPr>
                <w:rFonts w:ascii="Garamond" w:hAnsi="Garamond"/>
                <w:color w:val="000000"/>
              </w:rPr>
              <w:t>and/or journalists</w:t>
            </w:r>
          </w:p>
        </w:tc>
      </w:tr>
      <w:tr w:rsidR="00553C98" w:rsidRPr="002660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both"/>
              <w:rPr>
                <w:rFonts w:ascii="Garamond" w:hAnsi="Garamond"/>
                <w:color w:val="000000"/>
                <w:shd w:val="clear" w:color="auto" w:fill="FFFFFF"/>
              </w:rPr>
            </w:pPr>
          </w:p>
          <w:p w:rsidR="00553C98" w:rsidRPr="00266003" w:rsidRDefault="00553C98" w:rsidP="00A90597">
            <w:pPr>
              <w:pStyle w:val="NormalWeb"/>
              <w:spacing w:before="0" w:beforeAutospacing="0" w:after="0" w:afterAutospacing="0" w:line="0" w:lineRule="atLeast"/>
              <w:jc w:val="center"/>
              <w:rPr>
                <w:rFonts w:ascii="Garamond" w:hAnsi="Garamond"/>
              </w:rPr>
            </w:pPr>
            <w:r w:rsidRPr="00266003">
              <w:rPr>
                <w:rFonts w:ascii="Garamond" w:hAnsi="Garamond"/>
                <w:color w:val="000000"/>
                <w:shd w:val="clear" w:color="auto" w:fill="FFFFFF"/>
              </w:rPr>
              <w:t>Unconfirmed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Account author is not living in</w:t>
            </w:r>
            <w:r>
              <w:rPr>
                <w:rFonts w:ascii="Garamond" w:hAnsi="Garamond"/>
                <w:color w:val="000000"/>
              </w:rPr>
              <w:t xml:space="preserve"> Daesh </w:t>
            </w:r>
            <w:r w:rsidRPr="00266003">
              <w:rPr>
                <w:rFonts w:ascii="Garamond" w:hAnsi="Garamond"/>
                <w:color w:val="000000"/>
              </w:rPr>
              <w:t xml:space="preserve">or has unverifiable whereabouts and origin: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Identified as a woman through snowball method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May or may not self-identify as living in Syria, Iraq, Sham, the Islamic State, </w:t>
            </w:r>
            <w:r>
              <w:rPr>
                <w:rFonts w:ascii="Garamond" w:hAnsi="Garamond"/>
                <w:color w:val="000000"/>
              </w:rPr>
              <w:t xml:space="preserve">Daesh, </w:t>
            </w:r>
            <w:r w:rsidRPr="00266003">
              <w:rPr>
                <w:rFonts w:ascii="Garamond" w:hAnsi="Garamond"/>
                <w:color w:val="000000"/>
              </w:rPr>
              <w:t>or the Caliphate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May or may not self-identify as originating from a Western state or </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May or may not self-identify as originating, moving from, or missing a Western country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May or may make repeated references to a Western state and may or may not speak a primary language suggesting Western origin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Does not post information or posts inconclusive information indicating a life under </w:t>
            </w:r>
            <w:r>
              <w:rPr>
                <w:rFonts w:ascii="Garamond" w:hAnsi="Garamond"/>
                <w:color w:val="000000"/>
              </w:rPr>
              <w:t>Daesh</w:t>
            </w:r>
            <w:r w:rsidRPr="00266003">
              <w:rPr>
                <w:rFonts w:ascii="Garamond" w:hAnsi="Garamond"/>
                <w:color w:val="000000"/>
              </w:rPr>
              <w:t xml:space="preserve"> or making </w:t>
            </w:r>
            <w:r w:rsidRPr="000A74EC">
              <w:rPr>
                <w:rFonts w:ascii="Garamond" w:hAnsi="Garamond"/>
                <w:i/>
                <w:color w:val="000000"/>
              </w:rPr>
              <w:t>hijra</w:t>
            </w:r>
            <w:r w:rsidRPr="00266003">
              <w:rPr>
                <w:rFonts w:ascii="Garamond" w:hAnsi="Garamond"/>
                <w:color w:val="000000"/>
              </w:rPr>
              <w:t xml:space="preserve">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xml:space="preserve">·  Has social media interactions with </w:t>
            </w:r>
            <w:proofErr w:type="spellStart"/>
            <w:r w:rsidRPr="00266003">
              <w:rPr>
                <w:rFonts w:ascii="Garamond" w:hAnsi="Garamond"/>
                <w:i/>
                <w:iCs/>
                <w:color w:val="000000"/>
              </w:rPr>
              <w:t>muhajirat</w:t>
            </w:r>
            <w:proofErr w:type="spellEnd"/>
            <w:r w:rsidRPr="00266003">
              <w:rPr>
                <w:rFonts w:ascii="Garamond" w:hAnsi="Garamond"/>
                <w:i/>
                <w:iCs/>
                <w:color w:val="000000"/>
              </w:rPr>
              <w:t xml:space="preserve"> </w:t>
            </w:r>
            <w:r w:rsidRPr="00266003">
              <w:rPr>
                <w:rFonts w:ascii="Garamond" w:hAnsi="Garamond"/>
                <w:color w:val="000000"/>
              </w:rPr>
              <w:t xml:space="preserve">and/or known </w:t>
            </w:r>
            <w:r>
              <w:rPr>
                <w:rFonts w:ascii="Garamond" w:hAnsi="Garamond"/>
                <w:color w:val="000000"/>
              </w:rPr>
              <w:t xml:space="preserve">Daesh </w:t>
            </w:r>
            <w:r w:rsidRPr="00266003">
              <w:rPr>
                <w:rFonts w:ascii="Garamond" w:hAnsi="Garamond"/>
                <w:color w:val="000000"/>
              </w:rPr>
              <w:t>fighters and male foreign migrants and</w:t>
            </w:r>
          </w:p>
          <w:p w:rsidR="00553C98" w:rsidRPr="00266003" w:rsidRDefault="00553C98" w:rsidP="00A90597">
            <w:pPr>
              <w:pStyle w:val="NormalWeb"/>
              <w:spacing w:before="0" w:beforeAutospacing="0" w:after="0" w:afterAutospacing="0"/>
              <w:jc w:val="both"/>
              <w:rPr>
                <w:rFonts w:ascii="Garamond" w:hAnsi="Garamond"/>
              </w:rPr>
            </w:pPr>
            <w:r w:rsidRPr="00266003">
              <w:rPr>
                <w:rFonts w:ascii="Garamond" w:hAnsi="Garamond"/>
                <w:color w:val="000000"/>
              </w:rPr>
              <w:t>·  Rejected independently by authors through coder-reliability checks and</w:t>
            </w:r>
          </w:p>
          <w:p w:rsidR="00553C98" w:rsidRPr="00266003" w:rsidRDefault="00553C98" w:rsidP="00A90597">
            <w:pPr>
              <w:pStyle w:val="NormalWeb"/>
              <w:spacing w:before="0" w:beforeAutospacing="0" w:after="0" w:afterAutospacing="0" w:line="0" w:lineRule="atLeast"/>
              <w:jc w:val="both"/>
              <w:rPr>
                <w:rFonts w:ascii="Garamond" w:hAnsi="Garamond"/>
              </w:rPr>
            </w:pPr>
            <w:r w:rsidRPr="00266003">
              <w:rPr>
                <w:rFonts w:ascii="Garamond" w:hAnsi="Garamond"/>
                <w:color w:val="000000"/>
              </w:rPr>
              <w:t xml:space="preserve">·  Not verifiable by </w:t>
            </w:r>
            <w:r w:rsidR="00717605" w:rsidRPr="00266003">
              <w:rPr>
                <w:rFonts w:ascii="Garamond" w:hAnsi="Garamond"/>
                <w:color w:val="000000"/>
              </w:rPr>
              <w:t>counte</w:t>
            </w:r>
            <w:r w:rsidR="00717605">
              <w:rPr>
                <w:rFonts w:ascii="Garamond" w:hAnsi="Garamond"/>
                <w:color w:val="000000"/>
              </w:rPr>
              <w:t>rte</w:t>
            </w:r>
            <w:r w:rsidR="00717605" w:rsidRPr="00266003">
              <w:rPr>
                <w:rFonts w:ascii="Garamond" w:hAnsi="Garamond"/>
                <w:color w:val="000000"/>
              </w:rPr>
              <w:t xml:space="preserve">rrorism </w:t>
            </w:r>
            <w:r w:rsidR="00404FD6">
              <w:rPr>
                <w:rFonts w:ascii="Garamond" w:hAnsi="Garamond"/>
                <w:color w:val="000000"/>
              </w:rPr>
              <w:t>researchers</w:t>
            </w:r>
            <w:r w:rsidRPr="00266003">
              <w:rPr>
                <w:rFonts w:ascii="Garamond" w:hAnsi="Garamond"/>
                <w:color w:val="000000"/>
              </w:rPr>
              <w:t xml:space="preserve"> and/or journalists</w:t>
            </w:r>
          </w:p>
        </w:tc>
      </w:tr>
    </w:tbl>
    <w:p w:rsidR="00553C98" w:rsidRPr="00617AE3" w:rsidRDefault="00553C98" w:rsidP="00553C98">
      <w:pPr>
        <w:spacing w:after="0"/>
        <w:contextualSpacing/>
      </w:pPr>
    </w:p>
    <w:p w:rsidR="00553C98" w:rsidRPr="00B97623" w:rsidRDefault="00553C98" w:rsidP="00553C98">
      <w:pPr>
        <w:spacing w:after="0"/>
        <w:contextualSpacing/>
        <w:rPr>
          <w:b/>
        </w:rPr>
      </w:pPr>
    </w:p>
    <w:p w:rsidR="00553C98" w:rsidRPr="003F1E1D" w:rsidRDefault="00553C98" w:rsidP="00553C98">
      <w:pPr>
        <w:rPr>
          <w:b/>
        </w:rPr>
      </w:pPr>
      <w:r>
        <w:rPr>
          <w:b/>
        </w:rPr>
        <w:t xml:space="preserve">Appendix 2.1: Code Cloud and Description of Data </w:t>
      </w:r>
    </w:p>
    <w:p w:rsidR="00553C98" w:rsidRDefault="00553C98" w:rsidP="00553C98">
      <w:pPr>
        <w:spacing w:after="0"/>
        <w:contextualSpacing/>
      </w:pPr>
      <w:r>
        <w:t xml:space="preserve">The following code cloud includes both </w:t>
      </w:r>
      <w:r w:rsidR="00616F0D">
        <w:t xml:space="preserve">the </w:t>
      </w:r>
      <w:r>
        <w:t>dedu</w:t>
      </w:r>
      <w:r w:rsidR="00616F0D">
        <w:t>ctive and inductive codes used to assess this data.</w:t>
      </w:r>
      <w:r w:rsidR="00427A77">
        <w:rPr>
          <w:rStyle w:val="FootnoteReference"/>
        </w:rPr>
        <w:footnoteReference w:id="1"/>
      </w:r>
      <w:r>
        <w:t xml:space="preserve"> The deductive codes are labeled with c</w:t>
      </w:r>
      <w:r w:rsidR="00D1573D">
        <w:t>olor by theoretical framework (</w:t>
      </w:r>
      <w:r w:rsidR="001C67B4">
        <w:t>erotomania</w:t>
      </w:r>
      <w:r w:rsidR="00D1573D">
        <w:t xml:space="preserve"> = red; deception = orange; isolation = blue; religion/i</w:t>
      </w:r>
      <w:r>
        <w:t>deology = green).</w:t>
      </w:r>
      <w:r w:rsidR="00973E27">
        <w:rPr>
          <w:rStyle w:val="FootnoteReference"/>
        </w:rPr>
        <w:footnoteReference w:id="2"/>
      </w:r>
      <w:r>
        <w:t xml:space="preserve"> The emergent</w:t>
      </w:r>
      <w:r w:rsidR="00616F0D">
        <w:t>, inductively produced</w:t>
      </w:r>
      <w:r>
        <w:t xml:space="preserve"> codes are bracketed in gray. This provides a visual representation of code frequency and dominance within the complete dataset. </w:t>
      </w:r>
    </w:p>
    <w:p w:rsidR="00553C98" w:rsidRDefault="00553C98" w:rsidP="00553C98">
      <w:pPr>
        <w:spacing w:after="0"/>
        <w:contextualSpacing/>
      </w:pPr>
    </w:p>
    <w:p w:rsidR="00553C98" w:rsidRDefault="00553C98" w:rsidP="00553C98">
      <w:pPr>
        <w:spacing w:after="0"/>
        <w:contextualSpacing/>
      </w:pPr>
      <w:r>
        <w:rPr>
          <w:noProof/>
        </w:rPr>
        <w:drawing>
          <wp:inline distT="0" distB="0" distL="0" distR="0">
            <wp:extent cx="5943600" cy="2084070"/>
            <wp:effectExtent l="25400" t="0" r="0" b="0"/>
            <wp:docPr id="4" name="Picture 1" descr="::Desktop:Screen Shot 2017-04-24 at 6.1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7-04-24 at 6.11.48 PM.png"/>
                    <pic:cNvPicPr>
                      <a:picLocks noChangeAspect="1" noChangeArrowheads="1"/>
                    </pic:cNvPicPr>
                  </pic:nvPicPr>
                  <pic:blipFill>
                    <a:blip r:embed="rId6"/>
                    <a:srcRect/>
                    <a:stretch>
                      <a:fillRect/>
                    </a:stretch>
                  </pic:blipFill>
                  <pic:spPr bwMode="auto">
                    <a:xfrm>
                      <a:off x="0" y="0"/>
                      <a:ext cx="5943600" cy="2084070"/>
                    </a:xfrm>
                    <a:prstGeom prst="rect">
                      <a:avLst/>
                    </a:prstGeom>
                    <a:noFill/>
                    <a:ln w="9525">
                      <a:noFill/>
                      <a:miter lim="800000"/>
                      <a:headEnd/>
                      <a:tailEnd/>
                    </a:ln>
                  </pic:spPr>
                </pic:pic>
              </a:graphicData>
            </a:graphic>
          </wp:inline>
        </w:drawing>
      </w:r>
    </w:p>
    <w:p w:rsidR="00553C98" w:rsidRDefault="00553C98" w:rsidP="00553C98">
      <w:pPr>
        <w:spacing w:after="0"/>
        <w:contextualSpacing/>
      </w:pPr>
    </w:p>
    <w:p w:rsidR="00553C98" w:rsidRDefault="00553C98" w:rsidP="00553C98">
      <w:pPr>
        <w:spacing w:after="0"/>
        <w:contextualSpacing/>
        <w:rPr>
          <w:rFonts w:cs="Times New Roman"/>
        </w:rPr>
      </w:pPr>
      <w:r>
        <w:lastRenderedPageBreak/>
        <w:t xml:space="preserve">Beginning with the deductive codes, the overwhelming presence of religious language dominated the data. This includes references to Islam, invocations of religious phrases, and </w:t>
      </w:r>
      <w:r w:rsidRPr="00245D24">
        <w:t xml:space="preserve">propagation of Islamist ideas. The idea that </w:t>
      </w:r>
      <w:r w:rsidRPr="00245D24">
        <w:rPr>
          <w:i/>
        </w:rPr>
        <w:t>hijra</w:t>
      </w:r>
      <w:r w:rsidRPr="00245D24">
        <w:rPr>
          <w:rFonts w:cs="Times New Roman"/>
        </w:rPr>
        <w:t xml:space="preserve"> i</w:t>
      </w:r>
      <w:r>
        <w:rPr>
          <w:rFonts w:cs="Times New Roman"/>
        </w:rPr>
        <w:t xml:space="preserve">s a duty was also quite present. Beyond these concepts, hostility towards the West and references to discrimination against Muslims was a strong theme. While conversation or references to marriage occurred often (and are analyzed in this paper), it should be noted that reference to romance, love, lust, and sex were not frequent. </w:t>
      </w:r>
    </w:p>
    <w:p w:rsidR="00553C98" w:rsidRDefault="00553C98" w:rsidP="00553C98">
      <w:pPr>
        <w:spacing w:after="0"/>
        <w:contextualSpacing/>
        <w:rPr>
          <w:rFonts w:cs="Times New Roman"/>
        </w:rPr>
      </w:pPr>
    </w:p>
    <w:p w:rsidR="00553C98" w:rsidRDefault="00553C98" w:rsidP="00616F0D">
      <w:pPr>
        <w:spacing w:after="0"/>
        <w:contextualSpacing/>
        <w:rPr>
          <w:rFonts w:cs="Times New Roman"/>
        </w:rPr>
      </w:pPr>
      <w:r>
        <w:rPr>
          <w:rFonts w:cs="Times New Roman"/>
        </w:rPr>
        <w:t>Codes that ‘emerged’ from the data</w:t>
      </w:r>
      <w:r w:rsidR="00616F0D">
        <w:rPr>
          <w:rFonts w:cs="Times New Roman"/>
        </w:rPr>
        <w:t xml:space="preserve"> with consistency across cases</w:t>
      </w:r>
      <w:r>
        <w:rPr>
          <w:rFonts w:cs="Times New Roman"/>
        </w:rPr>
        <w:t xml:space="preserve"> include references to newfound </w:t>
      </w:r>
      <w:r w:rsidR="00616F0D">
        <w:rPr>
          <w:rFonts w:cs="Times New Roman"/>
        </w:rPr>
        <w:t>sisterhood and women friendships</w:t>
      </w:r>
      <w:r>
        <w:rPr>
          <w:rFonts w:cs="Times New Roman"/>
        </w:rPr>
        <w:t>. This supplements our theory about isolation and the desire for community driving migration. The gendered nature of these posts is also clear in the frequency with which women’s duties are explicitly</w:t>
      </w:r>
      <w:r w:rsidR="00FD63BA">
        <w:rPr>
          <w:rFonts w:cs="Times New Roman"/>
        </w:rPr>
        <w:t xml:space="preserve"> discussed. Many</w:t>
      </w:r>
      <w:r>
        <w:rPr>
          <w:rFonts w:cs="Times New Roman"/>
        </w:rPr>
        <w:t xml:space="preserve"> of these posts are also religiously oriented. Furthermore, many of the posts invoke violence (against the West). While the data do discuss hardship and danger, it is important to note that they also include references to the importance of </w:t>
      </w:r>
      <w:r>
        <w:rPr>
          <w:rFonts w:cs="Times New Roman"/>
          <w:i/>
        </w:rPr>
        <w:t>enduring</w:t>
      </w:r>
      <w:r>
        <w:rPr>
          <w:rFonts w:cs="Times New Roman"/>
        </w:rPr>
        <w:t xml:space="preserve"> hardship and danger – themes that emerged from the data. Finally, the code “</w:t>
      </w:r>
      <w:proofErr w:type="spellStart"/>
      <w:r>
        <w:rPr>
          <w:rFonts w:cs="Times New Roman"/>
        </w:rPr>
        <w:t>hijrahadvice</w:t>
      </w:r>
      <w:proofErr w:type="spellEnd"/>
      <w:r>
        <w:rPr>
          <w:rFonts w:cs="Times New Roman"/>
        </w:rPr>
        <w:t xml:space="preserve">” is evident in this cloud. It was quite common for posts to give advice regarding how to travel to Iraq or Syria, what to bring, how to avoid detection, etc. The emergence of this code is not surprising, considering the focus of the dataset is largely on migration.  </w:t>
      </w:r>
    </w:p>
    <w:p w:rsidR="00553C98" w:rsidRDefault="00553C98" w:rsidP="00553C98">
      <w:pPr>
        <w:spacing w:after="0"/>
        <w:contextualSpacing/>
        <w:rPr>
          <w:b/>
        </w:rPr>
      </w:pPr>
    </w:p>
    <w:p w:rsidR="00553C98" w:rsidRPr="003F1E1D" w:rsidRDefault="00553C98" w:rsidP="00553C98">
      <w:pPr>
        <w:spacing w:after="0"/>
        <w:contextualSpacing/>
        <w:rPr>
          <w:rFonts w:cs="Times New Roman"/>
        </w:rPr>
      </w:pPr>
      <w:r>
        <w:rPr>
          <w:b/>
        </w:rPr>
        <w:t xml:space="preserve">Appendix 2.2: Descriptive statistics regarding deductive code </w:t>
      </w:r>
    </w:p>
    <w:p w:rsidR="00553C98" w:rsidRPr="00245D24" w:rsidRDefault="00553C98" w:rsidP="00553C98">
      <w:pPr>
        <w:spacing w:after="0"/>
        <w:contextualSpacing/>
        <w:rPr>
          <w:rFonts w:ascii="Times New Roman" w:hAnsi="Times New Roman" w:cs="Times New Roman"/>
        </w:rPr>
      </w:pPr>
    </w:p>
    <w:p w:rsidR="00553C98" w:rsidRDefault="00553C98" w:rsidP="00553C98">
      <w:pPr>
        <w:spacing w:after="0"/>
        <w:contextualSpacing/>
      </w:pPr>
      <w:r>
        <w:t>The following table provides key information on the frequency of the deductive codes within each case.</w:t>
      </w:r>
      <w:r w:rsidR="00427A77">
        <w:rPr>
          <w:rStyle w:val="FootnoteReference"/>
        </w:rPr>
        <w:footnoteReference w:id="3"/>
      </w:r>
      <w:r>
        <w:t xml:space="preserve"> Importantly, 46% of posts include one or more of the “ideology” codes (caliphate, </w:t>
      </w:r>
      <w:proofErr w:type="spellStart"/>
      <w:r>
        <w:t>hijrah</w:t>
      </w:r>
      <w:proofErr w:type="spellEnd"/>
      <w:r>
        <w:t xml:space="preserve"> duty, religion, or vers</w:t>
      </w:r>
      <w:r w:rsidR="00042E66">
        <w:t xml:space="preserve">e). Comparatively, “erotomania” </w:t>
      </w:r>
      <w:r>
        <w:t>and “deception” codes combined appear in less than 20% of all posts. If we account for the number of marriage posts that are religious rather than erotic, or the hardship posts that encourage women to endure, this number would be even smaller.</w:t>
      </w:r>
    </w:p>
    <w:p w:rsidR="00553C98" w:rsidRDefault="00553C98" w:rsidP="00616F0D">
      <w:pPr>
        <w:spacing w:after="0"/>
        <w:contextualSpacing/>
      </w:pPr>
      <w:r>
        <w:rPr>
          <w:noProof/>
        </w:rPr>
        <w:lastRenderedPageBreak/>
        <w:drawing>
          <wp:inline distT="0" distB="0" distL="0" distR="0">
            <wp:extent cx="5803900" cy="6011625"/>
            <wp:effectExtent l="25400" t="0" r="0" b="0"/>
            <wp:docPr id="9" name="Picture 2" descr="::Desktop:Screen Shot 2017-04-24 at 6.10.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7-04-24 at 6.10.06 PM.png"/>
                    <pic:cNvPicPr>
                      <a:picLocks noChangeAspect="1" noChangeArrowheads="1"/>
                    </pic:cNvPicPr>
                  </pic:nvPicPr>
                  <pic:blipFill>
                    <a:blip r:embed="rId7"/>
                    <a:srcRect/>
                    <a:stretch>
                      <a:fillRect/>
                    </a:stretch>
                  </pic:blipFill>
                  <pic:spPr bwMode="auto">
                    <a:xfrm>
                      <a:off x="0" y="0"/>
                      <a:ext cx="5811123" cy="6019106"/>
                    </a:xfrm>
                    <a:prstGeom prst="rect">
                      <a:avLst/>
                    </a:prstGeom>
                    <a:noFill/>
                    <a:ln w="9525">
                      <a:noFill/>
                      <a:miter lim="800000"/>
                      <a:headEnd/>
                      <a:tailEnd/>
                    </a:ln>
                  </pic:spPr>
                </pic:pic>
              </a:graphicData>
            </a:graphic>
          </wp:inline>
        </w:drawing>
      </w:r>
    </w:p>
    <w:p w:rsidR="00553C98" w:rsidRDefault="00553C98" w:rsidP="00553C98">
      <w:pPr>
        <w:spacing w:after="0"/>
        <w:contextualSpacing/>
      </w:pPr>
    </w:p>
    <w:p w:rsidR="00553C98" w:rsidRDefault="00553C98" w:rsidP="00553C98">
      <w:pPr>
        <w:spacing w:after="0"/>
        <w:contextualSpacing/>
      </w:pPr>
    </w:p>
    <w:p w:rsidR="00553C98" w:rsidRDefault="00553C98" w:rsidP="00553C98">
      <w:pPr>
        <w:spacing w:after="0"/>
        <w:contextualSpacing/>
      </w:pPr>
    </w:p>
    <w:p w:rsidR="00553C98" w:rsidRDefault="00553C98" w:rsidP="00553C98">
      <w:pPr>
        <w:spacing w:after="0"/>
        <w:contextualSpacing/>
      </w:pPr>
    </w:p>
    <w:p w:rsidR="002062E4" w:rsidRPr="00553C98" w:rsidRDefault="002062E4" w:rsidP="00553C98"/>
    <w:sectPr w:rsidR="002062E4" w:rsidRPr="00553C98" w:rsidSect="00767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82F" w:rsidRDefault="0044182F">
      <w:pPr>
        <w:spacing w:after="0" w:line="240" w:lineRule="auto"/>
      </w:pPr>
      <w:r>
        <w:separator/>
      </w:r>
    </w:p>
  </w:endnote>
  <w:endnote w:type="continuationSeparator" w:id="0">
    <w:p w:rsidR="0044182F" w:rsidRDefault="0044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80034"/>
      <w:docPartObj>
        <w:docPartGallery w:val="Page Numbers (Bottom of Page)"/>
        <w:docPartUnique/>
      </w:docPartObj>
    </w:sdtPr>
    <w:sdtEndPr>
      <w:rPr>
        <w:noProof/>
      </w:rPr>
    </w:sdtEndPr>
    <w:sdtContent>
      <w:p w:rsidR="00995E1F" w:rsidRDefault="0044182F">
        <w:pPr>
          <w:pStyle w:val="Footer"/>
          <w:jc w:val="right"/>
        </w:pPr>
      </w:p>
      <w:p w:rsidR="00995E1F" w:rsidRDefault="0044182F">
        <w:pPr>
          <w:pStyle w:val="Footer"/>
          <w:jc w:val="right"/>
        </w:pPr>
        <w:r>
          <w:fldChar w:fldCharType="begin"/>
        </w:r>
        <w:r>
          <w:instrText xml:space="preserve"> PAGE   \* MERGEFORMAT </w:instrText>
        </w:r>
        <w:r>
          <w:fldChar w:fldCharType="separate"/>
        </w:r>
        <w:r w:rsidR="003D7D2D">
          <w:rPr>
            <w:noProof/>
          </w:rPr>
          <w:t>4</w:t>
        </w:r>
        <w:r>
          <w:rPr>
            <w:noProof/>
          </w:rPr>
          <w:fldChar w:fldCharType="end"/>
        </w:r>
      </w:p>
    </w:sdtContent>
  </w:sdt>
  <w:p w:rsidR="00995E1F" w:rsidRDefault="0044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82F" w:rsidRDefault="0044182F">
      <w:pPr>
        <w:spacing w:after="0" w:line="240" w:lineRule="auto"/>
      </w:pPr>
      <w:r>
        <w:separator/>
      </w:r>
    </w:p>
  </w:footnote>
  <w:footnote w:type="continuationSeparator" w:id="0">
    <w:p w:rsidR="0044182F" w:rsidRDefault="0044182F">
      <w:pPr>
        <w:spacing w:after="0" w:line="240" w:lineRule="auto"/>
      </w:pPr>
      <w:r>
        <w:continuationSeparator/>
      </w:r>
    </w:p>
  </w:footnote>
  <w:footnote w:id="1">
    <w:p w:rsidR="00427A77" w:rsidRDefault="00427A77">
      <w:pPr>
        <w:pStyle w:val="FootnoteText"/>
      </w:pPr>
      <w:r>
        <w:rPr>
          <w:rStyle w:val="FootnoteReference"/>
        </w:rPr>
        <w:footnoteRef/>
      </w:r>
      <w:r>
        <w:t xml:space="preserve"> </w:t>
      </w:r>
      <w:r w:rsidR="003D7D2D">
        <w:t xml:space="preserve">A single </w:t>
      </w:r>
      <w:r>
        <w:t>researcher</w:t>
      </w:r>
      <w:r w:rsidR="003D7D2D">
        <w:t xml:space="preserve"> hand coded this data</w:t>
      </w:r>
      <w:r>
        <w:t xml:space="preserve">. Future work should re-code the same data for reliability, and/or seek out new data sets on which to test the codes generated here. Because this work is exploratory, we feel there is still much to be learned from even this first look at the new data. </w:t>
      </w:r>
    </w:p>
  </w:footnote>
  <w:footnote w:id="2">
    <w:p w:rsidR="00973E27" w:rsidRDefault="00973E27">
      <w:pPr>
        <w:pStyle w:val="FootnoteText"/>
      </w:pPr>
      <w:r>
        <w:rPr>
          <w:rStyle w:val="FootnoteReference"/>
        </w:rPr>
        <w:footnoteRef/>
      </w:r>
      <w:r>
        <w:t xml:space="preserve"> “Erotomania” </w:t>
      </w:r>
      <w:r w:rsidR="00227B3F">
        <w:t xml:space="preserve">codes reflect the sex and romance hypotheses laid out in the </w:t>
      </w:r>
      <w:r w:rsidR="00301708">
        <w:t>article.</w:t>
      </w:r>
    </w:p>
  </w:footnote>
  <w:footnote w:id="3">
    <w:p w:rsidR="00427A77" w:rsidRDefault="00427A77">
      <w:pPr>
        <w:pStyle w:val="FootnoteText"/>
      </w:pPr>
      <w:r>
        <w:rPr>
          <w:rStyle w:val="FootnoteReference"/>
        </w:rPr>
        <w:footnoteRef/>
      </w:r>
      <w:r>
        <w:t xml:space="preserve"> </w:t>
      </w:r>
      <w:r w:rsidR="003D7D2D">
        <w:t xml:space="preserve">A single researcher hand coded this data. </w:t>
      </w:r>
      <w:r>
        <w:t xml:space="preserve">Future work should re-code the same data for reliability, and/or seek out new data sets on which to test the codes generated here. Because this work is exploratory, we feel there is still much to be learned from even this first look at the new data.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634D"/>
    <w:rsid w:val="00042E66"/>
    <w:rsid w:val="001018F5"/>
    <w:rsid w:val="001C67B4"/>
    <w:rsid w:val="002062E4"/>
    <w:rsid w:val="00226B3B"/>
    <w:rsid w:val="00227B3F"/>
    <w:rsid w:val="00301708"/>
    <w:rsid w:val="003214C7"/>
    <w:rsid w:val="003275AF"/>
    <w:rsid w:val="003B1332"/>
    <w:rsid w:val="003D47F7"/>
    <w:rsid w:val="003D7D2D"/>
    <w:rsid w:val="00404FD6"/>
    <w:rsid w:val="00424F56"/>
    <w:rsid w:val="00427A77"/>
    <w:rsid w:val="0044182F"/>
    <w:rsid w:val="00485DE0"/>
    <w:rsid w:val="004B192E"/>
    <w:rsid w:val="004B20D9"/>
    <w:rsid w:val="00546289"/>
    <w:rsid w:val="00553C98"/>
    <w:rsid w:val="00564EFB"/>
    <w:rsid w:val="005E6B4B"/>
    <w:rsid w:val="00616F0D"/>
    <w:rsid w:val="00621600"/>
    <w:rsid w:val="00645330"/>
    <w:rsid w:val="00717605"/>
    <w:rsid w:val="00745D68"/>
    <w:rsid w:val="007A102C"/>
    <w:rsid w:val="007D06E1"/>
    <w:rsid w:val="0087543A"/>
    <w:rsid w:val="0091634D"/>
    <w:rsid w:val="00973E27"/>
    <w:rsid w:val="00984AC4"/>
    <w:rsid w:val="009C0513"/>
    <w:rsid w:val="00A95D8F"/>
    <w:rsid w:val="00BE496D"/>
    <w:rsid w:val="00C91920"/>
    <w:rsid w:val="00CA4E87"/>
    <w:rsid w:val="00CB7530"/>
    <w:rsid w:val="00CF285E"/>
    <w:rsid w:val="00D1573D"/>
    <w:rsid w:val="00DB6E37"/>
    <w:rsid w:val="00DF0D52"/>
    <w:rsid w:val="00EF6540"/>
    <w:rsid w:val="00FB0681"/>
    <w:rsid w:val="00FD2F63"/>
    <w:rsid w:val="00FD63BA"/>
    <w:rsid w:val="00FF19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57C4"/>
  <w15:docId w15:val="{F706952E-B388-49F0-B073-44FB0EF6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Arial"/>
        <w:b/>
        <w:bCs/>
        <w:color w:val="222222"/>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4B"/>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4B"/>
    <w:rPr>
      <w:b w:val="0"/>
      <w:bCs w:val="0"/>
    </w:rPr>
  </w:style>
  <w:style w:type="paragraph" w:styleId="NormalWeb">
    <w:name w:val="Normal (Web)"/>
    <w:basedOn w:val="Normal"/>
    <w:uiPriority w:val="99"/>
    <w:unhideWhenUsed/>
    <w:rsid w:val="005E6B4B"/>
    <w:pPr>
      <w:spacing w:before="100" w:beforeAutospacing="1" w:after="100" w:afterAutospacing="1" w:line="240" w:lineRule="auto"/>
      <w:jc w:val="left"/>
    </w:pPr>
    <w:rPr>
      <w:rFonts w:ascii="Times" w:eastAsiaTheme="minorEastAsia" w:hAnsi="Times" w:cs="Times New Roman"/>
      <w:color w:val="auto"/>
      <w:sz w:val="20"/>
      <w:szCs w:val="20"/>
    </w:rPr>
  </w:style>
  <w:style w:type="character" w:styleId="CommentReference">
    <w:name w:val="annotation reference"/>
    <w:basedOn w:val="DefaultParagraphFont"/>
    <w:unhideWhenUsed/>
    <w:rsid w:val="00553C98"/>
    <w:rPr>
      <w:sz w:val="18"/>
      <w:szCs w:val="18"/>
    </w:rPr>
  </w:style>
  <w:style w:type="paragraph" w:styleId="CommentText">
    <w:name w:val="annotation text"/>
    <w:basedOn w:val="Normal"/>
    <w:link w:val="CommentTextChar"/>
    <w:unhideWhenUsed/>
    <w:rsid w:val="00553C98"/>
    <w:pPr>
      <w:spacing w:line="240" w:lineRule="auto"/>
    </w:pPr>
  </w:style>
  <w:style w:type="character" w:customStyle="1" w:styleId="CommentTextChar">
    <w:name w:val="Comment Text Char"/>
    <w:basedOn w:val="DefaultParagraphFont"/>
    <w:link w:val="CommentText"/>
    <w:rsid w:val="00553C98"/>
    <w:rPr>
      <w:b w:val="0"/>
      <w:bCs w:val="0"/>
    </w:rPr>
  </w:style>
  <w:style w:type="paragraph" w:styleId="BalloonText">
    <w:name w:val="Balloon Text"/>
    <w:basedOn w:val="Normal"/>
    <w:link w:val="BalloonTextChar"/>
    <w:uiPriority w:val="99"/>
    <w:semiHidden/>
    <w:unhideWhenUsed/>
    <w:rsid w:val="0055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98"/>
    <w:rPr>
      <w:rFonts w:ascii="Segoe UI" w:hAnsi="Segoe UI" w:cs="Segoe UI"/>
      <w:b w:val="0"/>
      <w:bCs w:val="0"/>
      <w:sz w:val="18"/>
      <w:szCs w:val="18"/>
    </w:rPr>
  </w:style>
  <w:style w:type="paragraph" w:styleId="CommentSubject">
    <w:name w:val="annotation subject"/>
    <w:basedOn w:val="CommentText"/>
    <w:next w:val="CommentText"/>
    <w:link w:val="CommentSubjectChar"/>
    <w:uiPriority w:val="99"/>
    <w:semiHidden/>
    <w:unhideWhenUsed/>
    <w:rsid w:val="00553C98"/>
    <w:rPr>
      <w:b/>
      <w:bCs/>
      <w:sz w:val="20"/>
      <w:szCs w:val="20"/>
    </w:rPr>
  </w:style>
  <w:style w:type="character" w:customStyle="1" w:styleId="CommentSubjectChar">
    <w:name w:val="Comment Subject Char"/>
    <w:basedOn w:val="CommentTextChar"/>
    <w:link w:val="CommentSubject"/>
    <w:uiPriority w:val="99"/>
    <w:semiHidden/>
    <w:rsid w:val="00553C98"/>
    <w:rPr>
      <w:b/>
      <w:bCs/>
      <w:sz w:val="20"/>
      <w:szCs w:val="20"/>
    </w:rPr>
  </w:style>
  <w:style w:type="paragraph" w:styleId="FootnoteText">
    <w:name w:val="footnote text"/>
    <w:basedOn w:val="Normal"/>
    <w:link w:val="FootnoteTextChar"/>
    <w:uiPriority w:val="99"/>
    <w:semiHidden/>
    <w:unhideWhenUsed/>
    <w:rsid w:val="00973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E27"/>
    <w:rPr>
      <w:b w:val="0"/>
      <w:bCs w:val="0"/>
      <w:sz w:val="20"/>
      <w:szCs w:val="20"/>
    </w:rPr>
  </w:style>
  <w:style w:type="character" w:styleId="FootnoteReference">
    <w:name w:val="footnote reference"/>
    <w:basedOn w:val="DefaultParagraphFont"/>
    <w:uiPriority w:val="99"/>
    <w:semiHidden/>
    <w:unhideWhenUsed/>
    <w:rsid w:val="0097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Loken</dc:creator>
  <cp:keywords/>
  <dc:description/>
  <cp:lastModifiedBy>Meredith Loken</cp:lastModifiedBy>
  <cp:revision>5</cp:revision>
  <dcterms:created xsi:type="dcterms:W3CDTF">2017-06-25T03:07:00Z</dcterms:created>
  <dcterms:modified xsi:type="dcterms:W3CDTF">2017-07-05T05:33:00Z</dcterms:modified>
</cp:coreProperties>
</file>