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CC82" w14:textId="21C5D9C8" w:rsidR="00255AFB" w:rsidRPr="002C22ED" w:rsidRDefault="00255AFB" w:rsidP="002D5284">
      <w:pPr>
        <w:spacing w:after="0" w:line="480" w:lineRule="auto"/>
        <w:jc w:val="center"/>
        <w:rPr>
          <w:rFonts w:ascii="Garamond" w:eastAsia="SimSun" w:hAnsi="Garamond" w:cs="Times New Roman"/>
          <w:b/>
          <w:bCs/>
          <w:spacing w:val="-2"/>
          <w:sz w:val="24"/>
          <w:szCs w:val="24"/>
        </w:rPr>
      </w:pPr>
      <w:r w:rsidRPr="002C22ED">
        <w:rPr>
          <w:rFonts w:ascii="Garamond" w:eastAsia="SimSun" w:hAnsi="Garamond" w:cs="Times New Roman"/>
          <w:b/>
          <w:bCs/>
          <w:spacing w:val="-2"/>
          <w:sz w:val="24"/>
          <w:szCs w:val="24"/>
        </w:rPr>
        <w:t xml:space="preserve">Immigration, </w:t>
      </w:r>
      <w:r w:rsidR="00014166">
        <w:rPr>
          <w:rFonts w:ascii="Garamond" w:eastAsia="SimSun" w:hAnsi="Garamond" w:cs="Times New Roman"/>
          <w:b/>
          <w:bCs/>
          <w:spacing w:val="-2"/>
          <w:sz w:val="24"/>
          <w:szCs w:val="24"/>
        </w:rPr>
        <w:t xml:space="preserve">Policy </w:t>
      </w:r>
      <w:r w:rsidRPr="002C22ED">
        <w:rPr>
          <w:rFonts w:ascii="Garamond" w:eastAsia="SimSun" w:hAnsi="Garamond" w:cs="Times New Roman"/>
          <w:b/>
          <w:bCs/>
          <w:spacing w:val="-2"/>
          <w:sz w:val="24"/>
          <w:szCs w:val="24"/>
        </w:rPr>
        <w:t xml:space="preserve">Exclusion, and State-Level Inequality in TANF </w:t>
      </w:r>
      <w:r w:rsidR="008905F9">
        <w:rPr>
          <w:rFonts w:ascii="Garamond" w:eastAsia="SimSun" w:hAnsi="Garamond" w:cs="Times New Roman"/>
          <w:b/>
          <w:bCs/>
          <w:spacing w:val="-2"/>
          <w:sz w:val="24"/>
          <w:szCs w:val="24"/>
        </w:rPr>
        <w:t>Usage</w:t>
      </w:r>
    </w:p>
    <w:p w14:paraId="78416779" w14:textId="12CBCF64" w:rsidR="00255AFB" w:rsidRPr="002C22ED" w:rsidRDefault="004B5A87" w:rsidP="00872384">
      <w:pPr>
        <w:spacing w:after="0" w:line="480" w:lineRule="auto"/>
        <w:jc w:val="center"/>
        <w:rPr>
          <w:rFonts w:ascii="Garamond" w:eastAsia="SimSun" w:hAnsi="Garamond" w:cs="Times New Roman"/>
          <w:b/>
          <w:bCs/>
          <w:spacing w:val="-2"/>
          <w:sz w:val="24"/>
          <w:szCs w:val="24"/>
        </w:rPr>
      </w:pPr>
      <w:r w:rsidRPr="002C22ED">
        <w:rPr>
          <w:rFonts w:ascii="Garamond" w:eastAsia="SimSun" w:hAnsi="Garamond" w:cs="Times New Roman"/>
          <w:b/>
          <w:bCs/>
          <w:spacing w:val="-2"/>
          <w:sz w:val="24"/>
          <w:szCs w:val="24"/>
        </w:rPr>
        <w:t>Supplementary Material</w:t>
      </w:r>
    </w:p>
    <w:p w14:paraId="7689BA72" w14:textId="77777777" w:rsidR="002D5284" w:rsidRPr="002C22ED" w:rsidRDefault="002D5284" w:rsidP="00872384">
      <w:pPr>
        <w:spacing w:after="0" w:line="480" w:lineRule="auto"/>
        <w:rPr>
          <w:rFonts w:ascii="Garamond" w:eastAsia="SimSun" w:hAnsi="Garamond" w:cs="Times New Roman"/>
          <w:b/>
          <w:bCs/>
          <w:spacing w:val="-2"/>
          <w:sz w:val="24"/>
          <w:szCs w:val="24"/>
        </w:rPr>
      </w:pPr>
    </w:p>
    <w:p w14:paraId="32F39106" w14:textId="21936DA5" w:rsidR="00B52A23" w:rsidRDefault="00255AFB" w:rsidP="00B52A23">
      <w:pPr>
        <w:autoSpaceDE w:val="0"/>
        <w:autoSpaceDN w:val="0"/>
        <w:adjustRightInd w:val="0"/>
        <w:spacing w:after="0" w:line="480" w:lineRule="auto"/>
        <w:ind w:firstLine="720"/>
        <w:rPr>
          <w:rFonts w:ascii="Garamond" w:hAnsi="Garamond"/>
          <w:sz w:val="24"/>
          <w:szCs w:val="24"/>
        </w:rPr>
      </w:pPr>
      <w:r w:rsidRPr="002C22ED">
        <w:rPr>
          <w:rFonts w:ascii="Garamond" w:hAnsi="Garamond"/>
          <w:sz w:val="24"/>
          <w:szCs w:val="24"/>
        </w:rPr>
        <w:t xml:space="preserve">In this </w:t>
      </w:r>
      <w:r w:rsidR="004B5A87" w:rsidRPr="002C22ED">
        <w:rPr>
          <w:rFonts w:ascii="Garamond" w:hAnsi="Garamond"/>
          <w:i/>
          <w:sz w:val="24"/>
          <w:szCs w:val="24"/>
        </w:rPr>
        <w:t>Supplementa</w:t>
      </w:r>
      <w:r w:rsidR="001F49F4" w:rsidRPr="002C22ED">
        <w:rPr>
          <w:rFonts w:ascii="Garamond" w:hAnsi="Garamond"/>
          <w:i/>
          <w:sz w:val="24"/>
          <w:szCs w:val="24"/>
        </w:rPr>
        <w:t>ry</w:t>
      </w:r>
      <w:r w:rsidR="004B5A87" w:rsidRPr="002C22ED">
        <w:rPr>
          <w:rFonts w:ascii="Garamond" w:hAnsi="Garamond"/>
          <w:i/>
          <w:sz w:val="24"/>
          <w:szCs w:val="24"/>
        </w:rPr>
        <w:t xml:space="preserve"> Material</w:t>
      </w:r>
      <w:r w:rsidRPr="002C22ED">
        <w:rPr>
          <w:rFonts w:ascii="Garamond" w:hAnsi="Garamond"/>
          <w:sz w:val="24"/>
          <w:szCs w:val="24"/>
        </w:rPr>
        <w:t>, we present</w:t>
      </w:r>
      <w:r w:rsidR="00174FE8">
        <w:rPr>
          <w:rFonts w:ascii="Garamond" w:hAnsi="Garamond"/>
          <w:sz w:val="24"/>
          <w:szCs w:val="24"/>
        </w:rPr>
        <w:t xml:space="preserve"> (1)</w:t>
      </w:r>
      <w:r w:rsidR="00BC62DF">
        <w:rPr>
          <w:rFonts w:ascii="Garamond" w:hAnsi="Garamond"/>
          <w:sz w:val="24"/>
          <w:szCs w:val="24"/>
        </w:rPr>
        <w:t xml:space="preserve"> diagnostic</w:t>
      </w:r>
      <w:r w:rsidR="008C7DD8">
        <w:rPr>
          <w:rFonts w:ascii="Garamond" w:hAnsi="Garamond"/>
          <w:sz w:val="24"/>
          <w:szCs w:val="24"/>
        </w:rPr>
        <w:t xml:space="preserve"> analys</w:t>
      </w:r>
      <w:r w:rsidR="00FC3B67">
        <w:rPr>
          <w:rFonts w:ascii="Garamond" w:hAnsi="Garamond"/>
          <w:sz w:val="24"/>
          <w:szCs w:val="24"/>
        </w:rPr>
        <w:t>e</w:t>
      </w:r>
      <w:r w:rsidR="008C7DD8">
        <w:rPr>
          <w:rFonts w:ascii="Garamond" w:hAnsi="Garamond"/>
          <w:sz w:val="24"/>
          <w:szCs w:val="24"/>
        </w:rPr>
        <w:t>s</w:t>
      </w:r>
      <w:r w:rsidR="00BC62DF">
        <w:rPr>
          <w:rFonts w:ascii="Garamond" w:hAnsi="Garamond"/>
          <w:sz w:val="24"/>
          <w:szCs w:val="24"/>
        </w:rPr>
        <w:t xml:space="preserve"> pertaining to our model specification and results based on alternative model specifications</w:t>
      </w:r>
      <w:r w:rsidR="00174FE8">
        <w:rPr>
          <w:rFonts w:ascii="Garamond" w:hAnsi="Garamond"/>
          <w:sz w:val="24"/>
          <w:szCs w:val="24"/>
        </w:rPr>
        <w:t>, and (2) robustness checks results.</w:t>
      </w:r>
    </w:p>
    <w:p w14:paraId="35327389" w14:textId="335EE046" w:rsidR="00B52A23" w:rsidRPr="00174FE8" w:rsidRDefault="00B52A23" w:rsidP="00174FE8">
      <w:pPr>
        <w:pStyle w:val="ListParagraph"/>
        <w:numPr>
          <w:ilvl w:val="0"/>
          <w:numId w:val="4"/>
        </w:numPr>
        <w:autoSpaceDE w:val="0"/>
        <w:autoSpaceDN w:val="0"/>
        <w:adjustRightInd w:val="0"/>
        <w:spacing w:after="0" w:line="480" w:lineRule="auto"/>
        <w:rPr>
          <w:rFonts w:ascii="Garamond" w:hAnsi="Garamond"/>
          <w:b/>
          <w:iCs/>
          <w:sz w:val="24"/>
          <w:szCs w:val="24"/>
        </w:rPr>
      </w:pPr>
      <w:r w:rsidRPr="00174FE8">
        <w:rPr>
          <w:rFonts w:ascii="Garamond" w:hAnsi="Garamond"/>
          <w:b/>
          <w:iCs/>
          <w:sz w:val="24"/>
          <w:szCs w:val="24"/>
        </w:rPr>
        <w:t xml:space="preserve">Data Diagnosis and Alternative Model Specifications </w:t>
      </w:r>
    </w:p>
    <w:p w14:paraId="1F29EE5E" w14:textId="0DBC9EFC" w:rsidR="00255AFB" w:rsidRPr="002C22ED" w:rsidRDefault="00DA3D97" w:rsidP="00B52A23">
      <w:pPr>
        <w:autoSpaceDE w:val="0"/>
        <w:autoSpaceDN w:val="0"/>
        <w:adjustRightInd w:val="0"/>
        <w:spacing w:after="0" w:line="480" w:lineRule="auto"/>
        <w:ind w:firstLine="720"/>
        <w:rPr>
          <w:rFonts w:ascii="Garamond" w:eastAsia="SimSun" w:hAnsi="Garamond" w:cs="Times New Roman"/>
          <w:b/>
          <w:bCs/>
          <w:spacing w:val="-2"/>
          <w:sz w:val="24"/>
          <w:szCs w:val="24"/>
        </w:rPr>
      </w:pPr>
      <w:r>
        <w:rPr>
          <w:rFonts w:ascii="Garamond" w:hAnsi="Garamond"/>
          <w:sz w:val="24"/>
          <w:szCs w:val="24"/>
        </w:rPr>
        <w:t>We</w:t>
      </w:r>
      <w:r w:rsidR="00B52A23">
        <w:rPr>
          <w:rFonts w:ascii="Garamond" w:hAnsi="Garamond"/>
          <w:sz w:val="24"/>
          <w:szCs w:val="24"/>
        </w:rPr>
        <w:t xml:space="preserve"> present our data diagnosis process and</w:t>
      </w:r>
      <w:r>
        <w:rPr>
          <w:rFonts w:ascii="Garamond" w:hAnsi="Garamond"/>
          <w:sz w:val="24"/>
          <w:szCs w:val="24"/>
        </w:rPr>
        <w:t xml:space="preserve"> alternative </w:t>
      </w:r>
      <w:r w:rsidR="00B52A23">
        <w:rPr>
          <w:rFonts w:ascii="Garamond" w:hAnsi="Garamond"/>
          <w:sz w:val="24"/>
          <w:szCs w:val="24"/>
        </w:rPr>
        <w:t xml:space="preserve">model </w:t>
      </w:r>
      <w:r>
        <w:rPr>
          <w:rFonts w:ascii="Garamond" w:hAnsi="Garamond"/>
          <w:sz w:val="24"/>
          <w:szCs w:val="24"/>
        </w:rPr>
        <w:t xml:space="preserve">specifications to illustrate the process by which we choose the generalized ECM specification in our manuscript. </w:t>
      </w:r>
      <w:r w:rsidR="001F49F4" w:rsidRPr="002C22ED">
        <w:rPr>
          <w:rFonts w:ascii="Garamond" w:hAnsi="Garamond" w:cs="Times New Roman"/>
          <w:sz w:val="24"/>
          <w:szCs w:val="24"/>
        </w:rPr>
        <w:t xml:space="preserve"> </w:t>
      </w:r>
      <w:r w:rsidR="00C25528" w:rsidRPr="002C22ED">
        <w:rPr>
          <w:rFonts w:ascii="Garamond" w:hAnsi="Garamond" w:cs="Times New Roman"/>
          <w:sz w:val="24"/>
          <w:szCs w:val="24"/>
        </w:rPr>
        <w:t xml:space="preserve">We use </w:t>
      </w:r>
      <w:r w:rsidR="00C25528" w:rsidRPr="002C22ED">
        <w:rPr>
          <w:rFonts w:ascii="Garamond" w:hAnsi="Garamond" w:cs="Times New Roman"/>
          <w:i/>
          <w:sz w:val="24"/>
          <w:szCs w:val="24"/>
        </w:rPr>
        <w:t>Citizen-Immigrant TANF</w:t>
      </w:r>
      <w:r w:rsidR="00505A63">
        <w:rPr>
          <w:rFonts w:ascii="Garamond" w:hAnsi="Garamond" w:cs="Times New Roman"/>
          <w:i/>
          <w:sz w:val="24"/>
          <w:szCs w:val="24"/>
        </w:rPr>
        <w:t xml:space="preserve"> Caseload</w:t>
      </w:r>
      <w:r w:rsidR="00C25528" w:rsidRPr="002C22ED">
        <w:rPr>
          <w:rFonts w:ascii="Garamond" w:hAnsi="Garamond" w:cs="Times New Roman"/>
          <w:i/>
          <w:sz w:val="24"/>
          <w:szCs w:val="24"/>
        </w:rPr>
        <w:t xml:space="preserve"> Gap</w:t>
      </w:r>
      <w:r w:rsidR="00C25528" w:rsidRPr="002C22ED">
        <w:rPr>
          <w:rFonts w:ascii="Garamond" w:hAnsi="Garamond" w:cs="Times New Roman"/>
          <w:sz w:val="24"/>
          <w:szCs w:val="24"/>
        </w:rPr>
        <w:t xml:space="preserve"> as </w:t>
      </w:r>
      <w:r w:rsidR="008C7DD8">
        <w:rPr>
          <w:rFonts w:ascii="Garamond" w:hAnsi="Garamond" w:cs="Times New Roman"/>
          <w:sz w:val="24"/>
          <w:szCs w:val="24"/>
        </w:rPr>
        <w:t>the main dependent variable in models presented in this</w:t>
      </w:r>
      <w:r w:rsidR="00844604">
        <w:rPr>
          <w:rFonts w:ascii="Garamond" w:hAnsi="Garamond" w:cs="Times New Roman"/>
          <w:sz w:val="24"/>
          <w:szCs w:val="24"/>
        </w:rPr>
        <w:t xml:space="preserve"> section. We</w:t>
      </w:r>
      <w:r w:rsidR="00014166">
        <w:rPr>
          <w:rFonts w:ascii="Garamond" w:hAnsi="Garamond" w:cs="Times New Roman"/>
          <w:sz w:val="24"/>
          <w:szCs w:val="24"/>
        </w:rPr>
        <w:t xml:space="preserve"> conducted a similar process of data diagnosis for </w:t>
      </w:r>
      <w:r w:rsidR="00014166">
        <w:rPr>
          <w:rFonts w:ascii="Garamond" w:hAnsi="Garamond" w:cs="Times New Roman"/>
          <w:i/>
          <w:sz w:val="24"/>
          <w:szCs w:val="24"/>
        </w:rPr>
        <w:t xml:space="preserve">Immigrant TANF </w:t>
      </w:r>
      <w:r w:rsidR="00505A63">
        <w:rPr>
          <w:rFonts w:ascii="Garamond" w:hAnsi="Garamond" w:cs="Times New Roman"/>
          <w:i/>
          <w:sz w:val="24"/>
          <w:szCs w:val="24"/>
        </w:rPr>
        <w:t>Caseload</w:t>
      </w:r>
      <w:r w:rsidR="00014166">
        <w:rPr>
          <w:rFonts w:ascii="Garamond" w:hAnsi="Garamond" w:cs="Times New Roman"/>
          <w:i/>
          <w:sz w:val="24"/>
          <w:szCs w:val="24"/>
        </w:rPr>
        <w:t xml:space="preserve"> Rates. </w:t>
      </w:r>
      <w:r w:rsidR="001F49F4" w:rsidRPr="002C22ED">
        <w:rPr>
          <w:rFonts w:ascii="Garamond" w:hAnsi="Garamond" w:cs="Times New Roman"/>
          <w:sz w:val="24"/>
          <w:szCs w:val="24"/>
        </w:rPr>
        <w:t>Our Cross Section and Time Series (CSTS) data contain</w:t>
      </w:r>
      <w:r w:rsidR="00F556AA">
        <w:rPr>
          <w:rFonts w:ascii="Garamond" w:hAnsi="Garamond" w:cs="Times New Roman"/>
          <w:sz w:val="24"/>
          <w:szCs w:val="24"/>
        </w:rPr>
        <w:t xml:space="preserve"> cases for </w:t>
      </w:r>
      <w:r w:rsidR="001F49F4" w:rsidRPr="002C22ED">
        <w:rPr>
          <w:rFonts w:ascii="Garamond" w:hAnsi="Garamond" w:cs="Times New Roman"/>
          <w:sz w:val="24"/>
          <w:szCs w:val="24"/>
        </w:rPr>
        <w:t xml:space="preserve">49 states and 16 years. </w:t>
      </w:r>
      <w:r w:rsidR="007A5AFF" w:rsidRPr="002C22ED">
        <w:rPr>
          <w:rFonts w:ascii="Garamond" w:hAnsi="Garamond" w:cs="Times New Roman"/>
          <w:sz w:val="24"/>
          <w:szCs w:val="24"/>
        </w:rPr>
        <w:t>We start with a simple OLS model and then estimate the fixed effect and random effect models</w:t>
      </w:r>
      <w:r w:rsidR="00D23030">
        <w:rPr>
          <w:rFonts w:ascii="Garamond" w:hAnsi="Garamond" w:cs="Times New Roman"/>
          <w:sz w:val="24"/>
          <w:szCs w:val="24"/>
        </w:rPr>
        <w:t>. I</w:t>
      </w:r>
      <w:r w:rsidR="007A5AFF" w:rsidRPr="002C22ED">
        <w:rPr>
          <w:rFonts w:ascii="Garamond" w:hAnsi="Garamond" w:cs="Times New Roman"/>
          <w:sz w:val="24"/>
          <w:szCs w:val="24"/>
        </w:rPr>
        <w:t xml:space="preserve">n the end, we estimate the dynamic error correction models. </w:t>
      </w:r>
    </w:p>
    <w:p w14:paraId="1E7CAE45" w14:textId="4820BEA5" w:rsidR="001F49F4" w:rsidRPr="002C22ED" w:rsidRDefault="001F49F4" w:rsidP="001F49F4">
      <w:pPr>
        <w:autoSpaceDE w:val="0"/>
        <w:autoSpaceDN w:val="0"/>
        <w:adjustRightInd w:val="0"/>
        <w:spacing w:after="0" w:line="480" w:lineRule="auto"/>
        <w:rPr>
          <w:rFonts w:ascii="Garamond" w:hAnsi="Garamond" w:cs="Times New Roman"/>
          <w:b/>
          <w:i/>
          <w:sz w:val="24"/>
          <w:szCs w:val="24"/>
        </w:rPr>
      </w:pPr>
      <w:r w:rsidRPr="002C22ED">
        <w:rPr>
          <w:rFonts w:ascii="Garamond" w:hAnsi="Garamond" w:cs="Times New Roman"/>
          <w:b/>
          <w:i/>
          <w:sz w:val="24"/>
          <w:szCs w:val="24"/>
        </w:rPr>
        <w:t>OLS, FE and RE Models Comparison</w:t>
      </w:r>
    </w:p>
    <w:p w14:paraId="569181EC" w14:textId="290D5A3B" w:rsidR="007E0A95" w:rsidRPr="002C22ED" w:rsidRDefault="007A5AFF" w:rsidP="001500F5">
      <w:pPr>
        <w:autoSpaceDE w:val="0"/>
        <w:autoSpaceDN w:val="0"/>
        <w:adjustRightInd w:val="0"/>
        <w:spacing w:after="0" w:line="480" w:lineRule="auto"/>
        <w:ind w:firstLine="720"/>
        <w:rPr>
          <w:rFonts w:ascii="Garamond" w:hAnsi="Garamond" w:cs="Times New Roman"/>
          <w:sz w:val="24"/>
          <w:szCs w:val="24"/>
        </w:rPr>
      </w:pPr>
      <w:r w:rsidRPr="002C22ED">
        <w:rPr>
          <w:rFonts w:ascii="Garamond" w:hAnsi="Garamond" w:cs="Times New Roman"/>
          <w:sz w:val="24"/>
          <w:szCs w:val="24"/>
        </w:rPr>
        <w:t xml:space="preserve">We start with a simple </w:t>
      </w:r>
      <w:r w:rsidR="00581928">
        <w:rPr>
          <w:rFonts w:ascii="Garamond" w:hAnsi="Garamond" w:cs="Times New Roman"/>
          <w:sz w:val="24"/>
          <w:szCs w:val="24"/>
        </w:rPr>
        <w:t xml:space="preserve">static </w:t>
      </w:r>
      <w:r w:rsidRPr="002C22ED">
        <w:rPr>
          <w:rFonts w:ascii="Garamond" w:hAnsi="Garamond" w:cs="Times New Roman"/>
          <w:sz w:val="24"/>
          <w:szCs w:val="24"/>
        </w:rPr>
        <w:t xml:space="preserve">OLS </w:t>
      </w:r>
      <w:proofErr w:type="gramStart"/>
      <w:r w:rsidRPr="002C22ED">
        <w:rPr>
          <w:rFonts w:ascii="Garamond" w:hAnsi="Garamond" w:cs="Times New Roman"/>
          <w:sz w:val="24"/>
          <w:szCs w:val="24"/>
        </w:rPr>
        <w:t>model</w:t>
      </w:r>
      <w:proofErr w:type="gramEnd"/>
      <w:r w:rsidRPr="002C22ED">
        <w:rPr>
          <w:rFonts w:ascii="Garamond" w:hAnsi="Garamond" w:cs="Times New Roman"/>
          <w:sz w:val="24"/>
          <w:szCs w:val="24"/>
        </w:rPr>
        <w:t xml:space="preserve"> and the results are presented in Table 1 Model (1). </w:t>
      </w:r>
      <w:r w:rsidR="00FA50E8">
        <w:rPr>
          <w:rFonts w:ascii="Garamond" w:hAnsi="Garamond" w:cs="Times New Roman"/>
          <w:sz w:val="24"/>
          <w:szCs w:val="24"/>
        </w:rPr>
        <w:t>The</w:t>
      </w:r>
      <w:r w:rsidRPr="002C22ED">
        <w:rPr>
          <w:rFonts w:ascii="Garamond" w:hAnsi="Garamond" w:cs="Times New Roman"/>
          <w:sz w:val="24"/>
          <w:szCs w:val="24"/>
        </w:rPr>
        <w:t xml:space="preserve"> OLS model </w:t>
      </w:r>
      <w:r w:rsidR="00FA50E8">
        <w:rPr>
          <w:rFonts w:ascii="Garamond" w:hAnsi="Garamond" w:cs="Times New Roman"/>
          <w:sz w:val="24"/>
          <w:szCs w:val="24"/>
        </w:rPr>
        <w:t>is based on complete pooling</w:t>
      </w:r>
      <w:r w:rsidR="002B78B4">
        <w:rPr>
          <w:rFonts w:ascii="Garamond" w:hAnsi="Garamond" w:cs="Times New Roman"/>
          <w:sz w:val="24"/>
          <w:szCs w:val="24"/>
        </w:rPr>
        <w:t xml:space="preserve">, </w:t>
      </w:r>
      <w:r w:rsidR="00D23030">
        <w:rPr>
          <w:rFonts w:ascii="Garamond" w:hAnsi="Garamond" w:cs="Times New Roman"/>
          <w:sz w:val="24"/>
          <w:szCs w:val="24"/>
        </w:rPr>
        <w:t>we</w:t>
      </w:r>
      <w:r w:rsidR="0014004B">
        <w:rPr>
          <w:rFonts w:ascii="Garamond" w:hAnsi="Garamond" w:cs="Times New Roman"/>
          <w:sz w:val="24"/>
          <w:szCs w:val="24"/>
        </w:rPr>
        <w:t xml:space="preserve"> include the OLS specification so that we can show how results might change while adding fixed effects, random effects, and d</w:t>
      </w:r>
      <w:r w:rsidR="00F12D43">
        <w:rPr>
          <w:rFonts w:ascii="Garamond" w:hAnsi="Garamond" w:cs="Times New Roman"/>
          <w:sz w:val="24"/>
          <w:szCs w:val="24"/>
        </w:rPr>
        <w:t>ynamic specifica</w:t>
      </w:r>
      <w:r w:rsidR="0014004B">
        <w:rPr>
          <w:rFonts w:ascii="Garamond" w:hAnsi="Garamond" w:cs="Times New Roman"/>
          <w:sz w:val="24"/>
          <w:szCs w:val="24"/>
        </w:rPr>
        <w:t>t</w:t>
      </w:r>
      <w:r w:rsidR="00F12D43">
        <w:rPr>
          <w:rFonts w:ascii="Garamond" w:hAnsi="Garamond" w:cs="Times New Roman"/>
          <w:sz w:val="24"/>
          <w:szCs w:val="24"/>
        </w:rPr>
        <w:t>i</w:t>
      </w:r>
      <w:r w:rsidR="0014004B">
        <w:rPr>
          <w:rFonts w:ascii="Garamond" w:hAnsi="Garamond" w:cs="Times New Roman"/>
          <w:sz w:val="24"/>
          <w:szCs w:val="24"/>
        </w:rPr>
        <w:t xml:space="preserve">ons. </w:t>
      </w:r>
      <w:r w:rsidR="001500F5">
        <w:rPr>
          <w:rFonts w:ascii="Garamond" w:hAnsi="Garamond" w:cs="Times New Roman"/>
          <w:sz w:val="24"/>
          <w:szCs w:val="24"/>
        </w:rPr>
        <w:t xml:space="preserve">In Table 1, </w:t>
      </w:r>
      <w:r w:rsidRPr="002C22ED">
        <w:rPr>
          <w:rFonts w:ascii="Garamond" w:hAnsi="Garamond" w:cs="Times New Roman"/>
          <w:sz w:val="24"/>
          <w:szCs w:val="24"/>
        </w:rPr>
        <w:t xml:space="preserve">we </w:t>
      </w:r>
      <w:r w:rsidR="001500F5">
        <w:rPr>
          <w:rFonts w:ascii="Garamond" w:hAnsi="Garamond" w:cs="Times New Roman"/>
          <w:sz w:val="24"/>
          <w:szCs w:val="24"/>
        </w:rPr>
        <w:t>present</w:t>
      </w:r>
      <w:r w:rsidRPr="002C22ED">
        <w:rPr>
          <w:rFonts w:ascii="Garamond" w:hAnsi="Garamond" w:cs="Times New Roman"/>
          <w:sz w:val="24"/>
          <w:szCs w:val="24"/>
        </w:rPr>
        <w:t xml:space="preserve"> two fixed effect (FE) models to compare with the OLS model. FE models go beyond OLS by estimating </w:t>
      </w:r>
      <w:r w:rsidR="00183A4A">
        <w:rPr>
          <w:rFonts w:ascii="Garamond" w:hAnsi="Garamond" w:cs="Times New Roman"/>
          <w:sz w:val="24"/>
          <w:szCs w:val="24"/>
        </w:rPr>
        <w:t xml:space="preserve">within-state </w:t>
      </w:r>
      <w:r w:rsidRPr="002C22ED">
        <w:rPr>
          <w:rFonts w:ascii="Garamond" w:hAnsi="Garamond" w:cs="Times New Roman"/>
          <w:sz w:val="24"/>
          <w:szCs w:val="24"/>
        </w:rPr>
        <w:t xml:space="preserve">effects, either by including a full set of unit dummies or mean-centering all the </w:t>
      </w:r>
      <w:r w:rsidR="00D23030" w:rsidRPr="002C22ED">
        <w:rPr>
          <w:rFonts w:ascii="Garamond" w:hAnsi="Garamond" w:cs="Times New Roman"/>
          <w:sz w:val="24"/>
          <w:szCs w:val="24"/>
        </w:rPr>
        <w:t>right-hand</w:t>
      </w:r>
      <w:r w:rsidRPr="002C22ED">
        <w:rPr>
          <w:rFonts w:ascii="Garamond" w:hAnsi="Garamond" w:cs="Times New Roman"/>
          <w:sz w:val="24"/>
          <w:szCs w:val="24"/>
        </w:rPr>
        <w:t xml:space="preserve"> variables (Greene 2011;</w:t>
      </w:r>
      <w:r w:rsidRPr="002C22ED">
        <w:rPr>
          <w:rFonts w:ascii="Garamond" w:hAnsi="Garamond" w:cs="Times New Roman"/>
          <w:sz w:val="24"/>
          <w:szCs w:val="24"/>
        </w:rPr>
        <w:fldChar w:fldCharType="begin">
          <w:fldData xml:space="preserve">PEVuZE5vdGU+PENpdGUgRXhjbHVkZUF1dGg9IjEiIEV4Y2x1ZGVZZWFyPSIxIiBIaWRkZW49IjEi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</w:fldData>
        </w:fldChar>
      </w:r>
      <w:r w:rsidRPr="002C22ED">
        <w:rPr>
          <w:rFonts w:ascii="Garamond" w:hAnsi="Garamond" w:cs="Times New Roman"/>
          <w:sz w:val="24"/>
          <w:szCs w:val="24"/>
        </w:rPr>
        <w:instrText xml:space="preserve"> ADDIN EN.CITE </w:instrText>
      </w:r>
      <w:r w:rsidRPr="002C22ED">
        <w:rPr>
          <w:rFonts w:ascii="Garamond" w:hAnsi="Garamond" w:cs="Times New Roman"/>
          <w:sz w:val="24"/>
          <w:szCs w:val="24"/>
        </w:rPr>
        <w:fldChar w:fldCharType="begin">
          <w:fldData xml:space="preserve">PEVuZE5vdGU+PENpdGUgRXhjbHVkZUF1dGg9IjEiIEV4Y2x1ZGVZZWFyPSIxIiBIaWRkZW49IjEi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</w:fldData>
        </w:fldChar>
      </w:r>
      <w:r w:rsidRPr="002C22ED">
        <w:rPr>
          <w:rFonts w:ascii="Garamond" w:hAnsi="Garamond" w:cs="Times New Roman"/>
          <w:sz w:val="24"/>
          <w:szCs w:val="24"/>
        </w:rPr>
        <w:instrText xml:space="preserve"> ADDIN EN.CITE.DATA </w:instrText>
      </w:r>
      <w:r w:rsidRPr="002C22ED">
        <w:rPr>
          <w:rFonts w:ascii="Garamond" w:hAnsi="Garamond" w:cs="Times New Roman"/>
          <w:sz w:val="24"/>
          <w:szCs w:val="24"/>
        </w:rPr>
      </w:r>
      <w:r w:rsidRPr="002C22ED">
        <w:rPr>
          <w:rFonts w:ascii="Garamond" w:hAnsi="Garamond" w:cs="Times New Roman"/>
          <w:sz w:val="24"/>
          <w:szCs w:val="24"/>
        </w:rPr>
        <w:fldChar w:fldCharType="end"/>
      </w:r>
      <w:r w:rsidRPr="002C22ED">
        <w:rPr>
          <w:rFonts w:ascii="Garamond" w:hAnsi="Garamond" w:cs="Times New Roman"/>
          <w:sz w:val="24"/>
          <w:szCs w:val="24"/>
        </w:rPr>
      </w:r>
      <w:r w:rsidRPr="002C22ED">
        <w:rPr>
          <w:rFonts w:ascii="Garamond" w:hAnsi="Garamond" w:cs="Times New Roman"/>
          <w:sz w:val="24"/>
          <w:szCs w:val="24"/>
        </w:rPr>
        <w:fldChar w:fldCharType="end"/>
      </w:r>
      <w:r w:rsidRPr="002C22ED">
        <w:rPr>
          <w:rFonts w:ascii="Garamond" w:hAnsi="Garamond" w:cs="Times New Roman"/>
          <w:sz w:val="24"/>
          <w:szCs w:val="24"/>
        </w:rPr>
        <w:t xml:space="preserve"> Allison 2009; see also Zhu 201</w:t>
      </w:r>
      <w:r w:rsidR="0054034B">
        <w:rPr>
          <w:rFonts w:ascii="Garamond" w:hAnsi="Garamond" w:cs="Times New Roman"/>
          <w:sz w:val="24"/>
          <w:szCs w:val="24"/>
        </w:rPr>
        <w:t>3</w:t>
      </w:r>
      <w:r w:rsidRPr="002C22ED">
        <w:rPr>
          <w:rFonts w:ascii="Garamond" w:hAnsi="Garamond" w:cs="Times New Roman"/>
          <w:sz w:val="24"/>
          <w:szCs w:val="24"/>
        </w:rPr>
        <w:t xml:space="preserve">). We </w:t>
      </w:r>
      <w:r w:rsidR="0027041F">
        <w:rPr>
          <w:rFonts w:ascii="Garamond" w:hAnsi="Garamond" w:cs="Times New Roman"/>
          <w:sz w:val="24"/>
          <w:szCs w:val="24"/>
        </w:rPr>
        <w:t>reported</w:t>
      </w:r>
      <w:r w:rsidRPr="002C22ED">
        <w:rPr>
          <w:rFonts w:ascii="Garamond" w:hAnsi="Garamond" w:cs="Times New Roman"/>
          <w:sz w:val="24"/>
          <w:szCs w:val="24"/>
        </w:rPr>
        <w:t xml:space="preserve"> both types of fixed effect models. Below Table 1 Model (2) uses the technique of mean-centering the dependent variable, while Table 1 Model (3) includes a full set of state dummies. Comparing results from the OLS (which assumes unit homogeneity) and the two fixed effect models (which assume unit heterogeneity), we notice that coefficients have changed </w:t>
      </w:r>
      <w:r w:rsidRPr="002C22ED">
        <w:rPr>
          <w:rFonts w:ascii="Garamond" w:hAnsi="Garamond" w:cs="Times New Roman"/>
          <w:sz w:val="24"/>
          <w:szCs w:val="24"/>
        </w:rPr>
        <w:lastRenderedPageBreak/>
        <w:t>substantially when we move from the OLS model to the FE models. Such differences verify that our data are sensitive to model specification</w:t>
      </w:r>
      <w:r w:rsidR="00473F50">
        <w:rPr>
          <w:rFonts w:ascii="Garamond" w:hAnsi="Garamond" w:cs="Times New Roman"/>
          <w:sz w:val="24"/>
          <w:szCs w:val="24"/>
        </w:rPr>
        <w:t>s</w:t>
      </w:r>
      <w:r w:rsidR="00BC27E7">
        <w:rPr>
          <w:rFonts w:ascii="Garamond" w:hAnsi="Garamond" w:cs="Times New Roman"/>
          <w:sz w:val="24"/>
          <w:szCs w:val="24"/>
        </w:rPr>
        <w:t>. W</w:t>
      </w:r>
      <w:r w:rsidRPr="002C22ED">
        <w:rPr>
          <w:rFonts w:ascii="Garamond" w:hAnsi="Garamond" w:cs="Times New Roman"/>
          <w:sz w:val="24"/>
          <w:szCs w:val="24"/>
        </w:rPr>
        <w:t xml:space="preserve">e reason the differences are </w:t>
      </w:r>
      <w:proofErr w:type="gramStart"/>
      <w:r w:rsidRPr="002C22ED">
        <w:rPr>
          <w:rFonts w:ascii="Garamond" w:hAnsi="Garamond" w:cs="Times New Roman"/>
          <w:sz w:val="24"/>
          <w:szCs w:val="24"/>
        </w:rPr>
        <w:t>owing to the fact that</w:t>
      </w:r>
      <w:proofErr w:type="gramEnd"/>
      <w:r w:rsidRPr="002C22ED">
        <w:rPr>
          <w:rFonts w:ascii="Garamond" w:hAnsi="Garamond" w:cs="Times New Roman"/>
          <w:sz w:val="24"/>
          <w:szCs w:val="24"/>
        </w:rPr>
        <w:t xml:space="preserve"> the OLS model is unable to consider unit heterogeneity. </w:t>
      </w:r>
    </w:p>
    <w:p w14:paraId="4C8D7403" w14:textId="65B8542A" w:rsidR="00593BCC" w:rsidRPr="002C22ED" w:rsidRDefault="00593BCC" w:rsidP="00593BCC">
      <w:pPr>
        <w:autoSpaceDE w:val="0"/>
        <w:autoSpaceDN w:val="0"/>
        <w:adjustRightInd w:val="0"/>
        <w:spacing w:after="0" w:line="480" w:lineRule="auto"/>
        <w:ind w:firstLine="720"/>
        <w:rPr>
          <w:rFonts w:ascii="Garamond" w:hAnsi="Garamond" w:cs="Times New Roman"/>
          <w:sz w:val="24"/>
          <w:szCs w:val="24"/>
        </w:rPr>
      </w:pPr>
      <w:r w:rsidRPr="002C22ED">
        <w:rPr>
          <w:rFonts w:ascii="Garamond" w:hAnsi="Garamond" w:cs="Times New Roman"/>
          <w:sz w:val="24"/>
          <w:szCs w:val="24"/>
        </w:rPr>
        <w:t xml:space="preserve">The FE models, although </w:t>
      </w:r>
      <w:r w:rsidR="003D2DA3">
        <w:rPr>
          <w:rFonts w:ascii="Garamond" w:hAnsi="Garamond" w:cs="Times New Roman"/>
          <w:sz w:val="24"/>
          <w:szCs w:val="24"/>
        </w:rPr>
        <w:t>better</w:t>
      </w:r>
      <w:r w:rsidRPr="002C22ED">
        <w:rPr>
          <w:rFonts w:ascii="Garamond" w:hAnsi="Garamond" w:cs="Times New Roman"/>
          <w:sz w:val="24"/>
          <w:szCs w:val="24"/>
        </w:rPr>
        <w:t xml:space="preserve"> than OLS, are often criticized because they consume too much cross-sectional variation. In other words, although researchers could tell from the FE models </w:t>
      </w:r>
      <w:proofErr w:type="gramStart"/>
      <w:r w:rsidRPr="002C22ED">
        <w:rPr>
          <w:rFonts w:ascii="Garamond" w:hAnsi="Garamond" w:cs="Times New Roman"/>
          <w:sz w:val="24"/>
          <w:szCs w:val="24"/>
        </w:rPr>
        <w:t>whether or not</w:t>
      </w:r>
      <w:proofErr w:type="gramEnd"/>
      <w:r w:rsidRPr="002C22ED">
        <w:rPr>
          <w:rFonts w:ascii="Garamond" w:hAnsi="Garamond" w:cs="Times New Roman"/>
          <w:sz w:val="24"/>
          <w:szCs w:val="24"/>
        </w:rPr>
        <w:t xml:space="preserve"> cross-sectional variation exists, they cannot tell what causes the cross-sectional variation (Zhu 201</w:t>
      </w:r>
      <w:r w:rsidR="003616AD">
        <w:rPr>
          <w:rFonts w:ascii="Garamond" w:hAnsi="Garamond" w:cs="Times New Roman"/>
          <w:sz w:val="24"/>
          <w:szCs w:val="24"/>
        </w:rPr>
        <w:t>3</w:t>
      </w:r>
      <w:r w:rsidRPr="002C22ED">
        <w:rPr>
          <w:rFonts w:ascii="Garamond" w:hAnsi="Garamond" w:cs="Times New Roman"/>
          <w:sz w:val="24"/>
          <w:szCs w:val="24"/>
        </w:rPr>
        <w:t xml:space="preserve">). A core theoretical argument of our paper is that state immigrant TANF policy and state-level immigrant population could explain the cross-state variation of our dependent variable (i.e., Citizen-Immigrant TANF </w:t>
      </w:r>
      <w:r w:rsidR="00505A63">
        <w:rPr>
          <w:rFonts w:ascii="Garamond" w:hAnsi="Garamond" w:cs="Times New Roman"/>
          <w:sz w:val="24"/>
          <w:szCs w:val="24"/>
        </w:rPr>
        <w:t>Caseload</w:t>
      </w:r>
      <w:r w:rsidRPr="002C22ED">
        <w:rPr>
          <w:rFonts w:ascii="Garamond" w:hAnsi="Garamond" w:cs="Times New Roman"/>
          <w:sz w:val="24"/>
          <w:szCs w:val="24"/>
        </w:rPr>
        <w:t xml:space="preserve"> Gap), but the state dummies in the FE model might absorb most of the cross-state variation and cause null findings in our independent variables. When we look at the results of the FE models, we discover that Model (3) with the state dummies have a between R-square of 1. This shows that when we include state dummy variables in Model (3), these dummy variables have indeed absorbed almost </w:t>
      </w:r>
      <w:proofErr w:type="gramStart"/>
      <w:r w:rsidRPr="002C22ED">
        <w:rPr>
          <w:rFonts w:ascii="Garamond" w:hAnsi="Garamond" w:cs="Times New Roman"/>
          <w:sz w:val="24"/>
          <w:szCs w:val="24"/>
        </w:rPr>
        <w:t>all of</w:t>
      </w:r>
      <w:proofErr w:type="gramEnd"/>
      <w:r w:rsidRPr="002C22ED">
        <w:rPr>
          <w:rFonts w:ascii="Garamond" w:hAnsi="Garamond" w:cs="Times New Roman"/>
          <w:sz w:val="24"/>
          <w:szCs w:val="24"/>
        </w:rPr>
        <w:t xml:space="preserve"> the cross-state variation. </w:t>
      </w:r>
    </w:p>
    <w:p w14:paraId="7150FBDC" w14:textId="004B48E7" w:rsidR="007A5AFF" w:rsidRPr="002C22ED" w:rsidRDefault="00593BCC" w:rsidP="00105532">
      <w:pPr>
        <w:autoSpaceDE w:val="0"/>
        <w:autoSpaceDN w:val="0"/>
        <w:adjustRightInd w:val="0"/>
        <w:spacing w:after="0" w:line="480" w:lineRule="auto"/>
        <w:ind w:firstLine="720"/>
        <w:rPr>
          <w:rFonts w:ascii="Garamond" w:hAnsi="Garamond" w:cs="Times New Roman"/>
          <w:sz w:val="24"/>
          <w:szCs w:val="24"/>
        </w:rPr>
      </w:pPr>
      <w:r w:rsidRPr="002C22ED">
        <w:rPr>
          <w:rFonts w:ascii="Garamond" w:hAnsi="Garamond" w:cs="Times New Roman"/>
          <w:sz w:val="24"/>
          <w:szCs w:val="24"/>
        </w:rPr>
        <w:t>Unlike the FE models</w:t>
      </w:r>
      <w:r w:rsidR="00D21F99">
        <w:rPr>
          <w:rFonts w:ascii="Garamond" w:hAnsi="Garamond" w:cs="Times New Roman"/>
          <w:sz w:val="24"/>
          <w:szCs w:val="24"/>
        </w:rPr>
        <w:t xml:space="preserve">, </w:t>
      </w:r>
      <w:r w:rsidRPr="002C22ED">
        <w:rPr>
          <w:rFonts w:ascii="Garamond" w:hAnsi="Garamond" w:cs="Times New Roman"/>
          <w:sz w:val="24"/>
          <w:szCs w:val="24"/>
        </w:rPr>
        <w:t xml:space="preserve">which include state dummies as regressors, the random effects (RE) model includes an intercept that can randomly deviate from </w:t>
      </w:r>
      <w:r w:rsidR="00EE49E3">
        <w:rPr>
          <w:rFonts w:ascii="Garamond" w:hAnsi="Garamond" w:cs="Times New Roman"/>
          <w:sz w:val="24"/>
          <w:szCs w:val="24"/>
        </w:rPr>
        <w:t>the</w:t>
      </w:r>
      <w:r w:rsidRPr="002C22ED">
        <w:rPr>
          <w:rFonts w:ascii="Garamond" w:hAnsi="Garamond" w:cs="Times New Roman"/>
          <w:sz w:val="24"/>
          <w:szCs w:val="24"/>
        </w:rPr>
        <w:t xml:space="preserve"> mean intercept. Table 1 Model (4) presents the results of the RE model. Different from the FE model, the RE model leaves room for substantive independent variables to explain cross-state variation without including state dummies. However, this type of model requires that the random intercept does not correlate with the left-hand-side variables; </w:t>
      </w:r>
      <w:r w:rsidR="00D23030" w:rsidRPr="002C22ED">
        <w:rPr>
          <w:rFonts w:ascii="Garamond" w:hAnsi="Garamond" w:cs="Times New Roman"/>
          <w:sz w:val="24"/>
          <w:szCs w:val="24"/>
        </w:rPr>
        <w:t>otherwise,</w:t>
      </w:r>
      <w:r w:rsidRPr="002C22ED">
        <w:rPr>
          <w:rFonts w:ascii="Garamond" w:hAnsi="Garamond" w:cs="Times New Roman"/>
          <w:sz w:val="24"/>
          <w:szCs w:val="24"/>
        </w:rPr>
        <w:t xml:space="preserve"> the RE model estimation will be inconsistent and inefficient. We can use the Hausman test to evaluate whether or not FE and RE models generate consistent and efficient results (Hausman</w:t>
      </w:r>
      <w:r w:rsidRPr="002C22ED">
        <w:rPr>
          <w:rFonts w:ascii="Garamond" w:hAnsi="Garamond" w:cs="Times New Roman"/>
          <w:sz w:val="24"/>
          <w:szCs w:val="24"/>
        </w:rPr>
        <w:fldChar w:fldCharType="begin"/>
      </w:r>
      <w:r w:rsidRPr="002C22ED">
        <w:rPr>
          <w:rFonts w:ascii="Garamond" w:hAnsi="Garamond" w:cs="Times New Roman"/>
          <w:sz w:val="24"/>
          <w:szCs w:val="24"/>
        </w:rPr>
        <w:instrText xml:space="preserve"> ADDIN EN.CITE &lt;EndNote&gt;&lt;Cite ExcludeAuth="1" ExcludeYear="1" Hidden="1"&gt;&lt;Author&gt;Hausman&lt;/Author&gt;&lt;Year&gt;1978&lt;/Year&gt;&lt;RecNum&gt;885&lt;/RecNum&gt;&lt;record&gt;&lt;rec-number&gt;885&lt;/rec-number&gt;&lt;foreign-keys&gt;&lt;key app="EN" db-id="dtexatpswrfd94etax55efrsvzxwv95f5dtv"&gt;885&lt;/key&gt;&lt;/foreign-keys&gt;&lt;ref-type name="Journal Article"&gt;17&lt;/ref-type&gt;&lt;contributors&gt;&lt;authors&gt;&lt;author&gt;Jerry A. Hausman&lt;/author&gt;&lt;/authors&gt;&lt;/contributors&gt;&lt;titles&gt;&lt;title&gt;Specification Tests in Econometrics&lt;/title&gt;&lt;secondary-title&gt;Econometrica&lt;/secondary-title&gt;&lt;/titles&gt;&lt;periodical&gt;&lt;full-title&gt;Econometrica&lt;/full-title&gt;&lt;/periodical&gt;&lt;pages&gt;1251-1271&lt;/pages&gt;&lt;volume&gt;46&lt;/volume&gt;&lt;number&gt;6&lt;/number&gt;&lt;dates&gt;&lt;year&gt;1978&lt;/year&gt;&lt;/dates&gt;&lt;urls&gt;&lt;/urls&gt;&lt;/record&gt;&lt;/Cite&gt;&lt;/EndNote&gt;</w:instrText>
      </w:r>
      <w:r w:rsidRPr="002C22ED">
        <w:rPr>
          <w:rFonts w:ascii="Garamond" w:hAnsi="Garamond" w:cs="Times New Roman"/>
          <w:sz w:val="24"/>
          <w:szCs w:val="24"/>
        </w:rPr>
        <w:fldChar w:fldCharType="end"/>
      </w:r>
      <w:r w:rsidRPr="002C22ED">
        <w:rPr>
          <w:rFonts w:ascii="Garamond" w:hAnsi="Garamond" w:cs="Times New Roman"/>
          <w:sz w:val="24"/>
          <w:szCs w:val="24"/>
        </w:rPr>
        <w:t xml:space="preserve"> 1978). The Hausman test, comparing the results of the FE model with </w:t>
      </w:r>
      <w:r w:rsidR="00FC3B67" w:rsidRPr="002C22ED">
        <w:rPr>
          <w:rFonts w:ascii="Garamond" w:hAnsi="Garamond" w:cs="Times New Roman"/>
          <w:sz w:val="24"/>
          <w:szCs w:val="24"/>
        </w:rPr>
        <w:t xml:space="preserve">the technique of mean-centering the dependent variable and the RE model, generates a chi-square of </w:t>
      </w:r>
    </w:p>
    <w:p w14:paraId="2FE22716" w14:textId="77777777" w:rsidR="00174FE8" w:rsidRPr="002C22ED" w:rsidRDefault="00174FE8" w:rsidP="00174FE8">
      <w:pPr>
        <w:autoSpaceDE w:val="0"/>
        <w:autoSpaceDN w:val="0"/>
        <w:adjustRightInd w:val="0"/>
        <w:spacing w:after="0" w:line="480" w:lineRule="auto"/>
        <w:rPr>
          <w:rFonts w:ascii="Garamond" w:hAnsi="Garamond" w:cs="Times New Roman"/>
          <w:sz w:val="24"/>
          <w:szCs w:val="24"/>
        </w:rPr>
      </w:pPr>
      <w:r w:rsidRPr="002C22ED">
        <w:rPr>
          <w:rFonts w:ascii="Garamond" w:hAnsi="Garamond" w:cs="Times New Roman"/>
          <w:sz w:val="24"/>
          <w:szCs w:val="24"/>
        </w:rPr>
        <w:t xml:space="preserve">28.14 (p=0.003). The result shows that the RE model is not consistent and generates biased estimations. </w:t>
      </w:r>
    </w:p>
    <w:p w14:paraId="6AC873A3" w14:textId="77777777" w:rsidR="007E0A95" w:rsidRPr="002C22ED" w:rsidRDefault="007E0A95" w:rsidP="007A5AFF">
      <w:pPr>
        <w:autoSpaceDE w:val="0"/>
        <w:autoSpaceDN w:val="0"/>
        <w:adjustRightInd w:val="0"/>
        <w:spacing w:after="0" w:line="480" w:lineRule="auto"/>
        <w:rPr>
          <w:rFonts w:ascii="Garamond" w:hAnsi="Garamond" w:cs="Times New Roman"/>
          <w:sz w:val="24"/>
          <w:szCs w:val="24"/>
        </w:rPr>
        <w:sectPr w:rsidR="007E0A95" w:rsidRPr="002C22ED" w:rsidSect="006E7CEE">
          <w:footerReference w:type="even" r:id="rId7"/>
          <w:footerReference w:type="default" r:id="rId8"/>
          <w:pgSz w:w="12240" w:h="15840"/>
          <w:pgMar w:top="1440" w:right="1440" w:bottom="1440" w:left="1440" w:header="720" w:footer="720" w:gutter="0"/>
          <w:cols w:space="720"/>
          <w:titlePg/>
        </w:sectPr>
      </w:pPr>
    </w:p>
    <w:p w14:paraId="2D77A44C" w14:textId="1EB90CA8" w:rsidR="007E0A95" w:rsidRPr="002C22ED" w:rsidRDefault="00485836" w:rsidP="007A5AFF">
      <w:pPr>
        <w:autoSpaceDE w:val="0"/>
        <w:autoSpaceDN w:val="0"/>
        <w:adjustRightInd w:val="0"/>
        <w:spacing w:after="0" w:line="480" w:lineRule="auto"/>
        <w:rPr>
          <w:rFonts w:ascii="Garamond" w:hAnsi="Garamond" w:cs="Times New Roman"/>
          <w:sz w:val="24"/>
          <w:szCs w:val="24"/>
        </w:rPr>
        <w:sectPr w:rsidR="007E0A95" w:rsidRPr="002C22ED" w:rsidSect="007E0A95">
          <w:pgSz w:w="15840" w:h="12240" w:orient="landscape"/>
          <w:pgMar w:top="1440" w:right="1440" w:bottom="1440" w:left="1440" w:header="720" w:footer="720" w:gutter="0"/>
          <w:cols w:space="720"/>
          <w:titlePg/>
        </w:sectPr>
      </w:pPr>
      <w:r w:rsidRPr="002C22ED">
        <w:rPr>
          <w:rFonts w:ascii="Garamond" w:hAnsi="Garamond"/>
          <w:noProof/>
          <w:sz w:val="24"/>
          <w:szCs w:val="24"/>
        </w:rPr>
        <w:lastRenderedPageBreak/>
        <w:drawing>
          <wp:inline distT="0" distB="0" distL="0" distR="0" wp14:anchorId="66280C01" wp14:editId="1BD990E3">
            <wp:extent cx="8229600" cy="41965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196588"/>
                    </a:xfrm>
                    <a:prstGeom prst="rect">
                      <a:avLst/>
                    </a:prstGeom>
                    <a:noFill/>
                    <a:ln>
                      <a:noFill/>
                    </a:ln>
                  </pic:spPr>
                </pic:pic>
              </a:graphicData>
            </a:graphic>
          </wp:inline>
        </w:drawing>
      </w:r>
    </w:p>
    <w:p w14:paraId="7673F383" w14:textId="1778DCDD" w:rsidR="00105532" w:rsidRPr="002C22ED" w:rsidRDefault="00105532" w:rsidP="00105532">
      <w:pPr>
        <w:autoSpaceDE w:val="0"/>
        <w:autoSpaceDN w:val="0"/>
        <w:adjustRightInd w:val="0"/>
        <w:spacing w:after="0" w:line="480" w:lineRule="auto"/>
        <w:ind w:firstLine="720"/>
        <w:rPr>
          <w:rFonts w:ascii="Garamond" w:hAnsi="Garamond" w:cs="Times New Roman"/>
          <w:b/>
          <w:i/>
          <w:sz w:val="24"/>
          <w:szCs w:val="24"/>
        </w:rPr>
      </w:pPr>
      <w:r w:rsidRPr="002C22ED">
        <w:rPr>
          <w:rFonts w:ascii="Garamond" w:hAnsi="Garamond" w:cs="Times New Roman"/>
          <w:sz w:val="24"/>
          <w:szCs w:val="24"/>
        </w:rPr>
        <w:lastRenderedPageBreak/>
        <w:t xml:space="preserve">In sum, we discover that our data do not have complete </w:t>
      </w:r>
      <w:proofErr w:type="spellStart"/>
      <w:r w:rsidRPr="002C22ED">
        <w:rPr>
          <w:rFonts w:ascii="Garamond" w:hAnsi="Garamond" w:cs="Times New Roman"/>
          <w:sz w:val="24"/>
          <w:szCs w:val="24"/>
        </w:rPr>
        <w:t>poolability</w:t>
      </w:r>
      <w:proofErr w:type="spellEnd"/>
      <w:r w:rsidRPr="002C22ED">
        <w:rPr>
          <w:rFonts w:ascii="Garamond" w:hAnsi="Garamond" w:cs="Times New Roman"/>
          <w:sz w:val="24"/>
          <w:szCs w:val="24"/>
        </w:rPr>
        <w:t xml:space="preserve">, thus OLS is not appropriate. The FE models absorb almost all cross-state variation and the RE model does not generate consistent/efficient results; </w:t>
      </w:r>
      <w:r w:rsidR="00D23030" w:rsidRPr="002C22ED">
        <w:rPr>
          <w:rFonts w:ascii="Garamond" w:hAnsi="Garamond" w:cs="Times New Roman"/>
          <w:sz w:val="24"/>
          <w:szCs w:val="24"/>
        </w:rPr>
        <w:t>therefore,</w:t>
      </w:r>
      <w:r w:rsidRPr="002C22ED">
        <w:rPr>
          <w:rFonts w:ascii="Garamond" w:hAnsi="Garamond" w:cs="Times New Roman"/>
          <w:sz w:val="24"/>
          <w:szCs w:val="24"/>
        </w:rPr>
        <w:t xml:space="preserve"> both the FE and RE models are excluded from consideration.</w:t>
      </w:r>
    </w:p>
    <w:p w14:paraId="1102F610" w14:textId="77777777" w:rsidR="00D00A8C" w:rsidRPr="002C22ED" w:rsidRDefault="00D00A8C" w:rsidP="00D00A8C">
      <w:pPr>
        <w:autoSpaceDE w:val="0"/>
        <w:autoSpaceDN w:val="0"/>
        <w:adjustRightInd w:val="0"/>
        <w:spacing w:after="0" w:line="480" w:lineRule="auto"/>
        <w:rPr>
          <w:rFonts w:ascii="Garamond" w:hAnsi="Garamond" w:cs="Times New Roman"/>
          <w:b/>
          <w:i/>
          <w:sz w:val="24"/>
          <w:szCs w:val="24"/>
        </w:rPr>
      </w:pPr>
      <w:r w:rsidRPr="002C22ED">
        <w:rPr>
          <w:rFonts w:ascii="Garamond" w:hAnsi="Garamond" w:cs="Times New Roman"/>
          <w:b/>
          <w:i/>
          <w:sz w:val="24"/>
          <w:szCs w:val="24"/>
        </w:rPr>
        <w:t>Temporal dependency of our data</w:t>
      </w:r>
    </w:p>
    <w:p w14:paraId="39A68321" w14:textId="6A671A25" w:rsidR="00D00A8C" w:rsidRPr="002C22ED" w:rsidRDefault="00D00A8C" w:rsidP="00D00A8C">
      <w:pPr>
        <w:autoSpaceDE w:val="0"/>
        <w:autoSpaceDN w:val="0"/>
        <w:adjustRightInd w:val="0"/>
        <w:spacing w:after="0" w:line="480" w:lineRule="auto"/>
        <w:ind w:firstLine="720"/>
        <w:rPr>
          <w:rFonts w:ascii="Garamond" w:hAnsi="Garamond" w:cs="Times New Roman"/>
          <w:sz w:val="24"/>
          <w:szCs w:val="24"/>
        </w:rPr>
      </w:pPr>
      <w:r w:rsidRPr="002C22ED">
        <w:rPr>
          <w:rFonts w:ascii="Garamond" w:hAnsi="Garamond" w:cs="Times New Roman"/>
          <w:sz w:val="24"/>
          <w:szCs w:val="24"/>
        </w:rPr>
        <w:t>We also diagnosed the temporal dependency of our dependent variable.  Many political and policy variables such as institutions, public policies, and government spending often bear long-term memory or in other words</w:t>
      </w:r>
      <w:r w:rsidR="00473F50">
        <w:rPr>
          <w:rFonts w:ascii="Garamond" w:hAnsi="Garamond" w:cs="Times New Roman"/>
          <w:sz w:val="24"/>
          <w:szCs w:val="24"/>
        </w:rPr>
        <w:t>,</w:t>
      </w:r>
      <w:r w:rsidRPr="002C22ED">
        <w:rPr>
          <w:rFonts w:ascii="Garamond" w:hAnsi="Garamond" w:cs="Times New Roman"/>
          <w:sz w:val="24"/>
          <w:szCs w:val="24"/>
        </w:rPr>
        <w:t xml:space="preserve"> their current value is dependent upon their past values. One important task of panel data analysis is to diagnose </w:t>
      </w:r>
      <w:proofErr w:type="gramStart"/>
      <w:r w:rsidRPr="002C22ED">
        <w:rPr>
          <w:rFonts w:ascii="Garamond" w:hAnsi="Garamond" w:cs="Times New Roman"/>
          <w:sz w:val="24"/>
          <w:szCs w:val="24"/>
        </w:rPr>
        <w:t>whether or not</w:t>
      </w:r>
      <w:proofErr w:type="gramEnd"/>
      <w:r w:rsidRPr="002C22ED">
        <w:rPr>
          <w:rFonts w:ascii="Garamond" w:hAnsi="Garamond" w:cs="Times New Roman"/>
          <w:sz w:val="24"/>
          <w:szCs w:val="24"/>
        </w:rPr>
        <w:t xml:space="preserve"> the dependent variable has a stationary process. To explain stationarity mathematically, we use the following equation to specify the relationship between the current and past values of our dependent variable:  </w:t>
      </w:r>
      <w:proofErr w:type="spellStart"/>
      <w:proofErr w:type="gramStart"/>
      <w:r w:rsidRPr="002C22ED">
        <w:rPr>
          <w:rFonts w:ascii="Garamond" w:hAnsi="Garamond" w:cs="Times New Roman"/>
          <w:sz w:val="24"/>
          <w:szCs w:val="24"/>
        </w:rPr>
        <w:t>Y</w:t>
      </w:r>
      <w:r w:rsidRPr="002C22ED">
        <w:rPr>
          <w:rFonts w:ascii="Garamond" w:hAnsi="Garamond" w:cs="Times New Roman"/>
          <w:sz w:val="24"/>
          <w:szCs w:val="24"/>
          <w:vertAlign w:val="subscript"/>
        </w:rPr>
        <w:t>i,t</w:t>
      </w:r>
      <w:proofErr w:type="spellEnd"/>
      <w:proofErr w:type="gramEnd"/>
      <w:r w:rsidRPr="002C22ED">
        <w:rPr>
          <w:rFonts w:ascii="Garamond" w:hAnsi="Garamond" w:cs="Times New Roman"/>
          <w:sz w:val="24"/>
          <w:szCs w:val="24"/>
        </w:rPr>
        <w:t>= a ×Y</w:t>
      </w:r>
      <w:r w:rsidRPr="002C22ED">
        <w:rPr>
          <w:rFonts w:ascii="Garamond" w:hAnsi="Garamond" w:cs="Times New Roman"/>
          <w:sz w:val="24"/>
          <w:szCs w:val="24"/>
          <w:vertAlign w:val="subscript"/>
        </w:rPr>
        <w:t>i,t-1</w:t>
      </w:r>
      <w:r w:rsidRPr="002C22ED">
        <w:rPr>
          <w:rFonts w:ascii="Garamond" w:hAnsi="Garamond" w:cs="Times New Roman"/>
          <w:sz w:val="24"/>
          <w:szCs w:val="24"/>
        </w:rPr>
        <w:t xml:space="preserve"> + </w:t>
      </w:r>
      <w:proofErr w:type="spellStart"/>
      <w:r w:rsidRPr="002C22ED">
        <w:rPr>
          <w:rFonts w:ascii="Garamond" w:hAnsi="Garamond" w:cs="Times New Roman"/>
          <w:sz w:val="24"/>
          <w:szCs w:val="24"/>
        </w:rPr>
        <w:t>e</w:t>
      </w:r>
      <w:r w:rsidRPr="002C22ED">
        <w:rPr>
          <w:rFonts w:ascii="Garamond" w:hAnsi="Garamond" w:cs="Times New Roman"/>
          <w:sz w:val="24"/>
          <w:szCs w:val="24"/>
          <w:vertAlign w:val="subscript"/>
        </w:rPr>
        <w:t>i,t</w:t>
      </w:r>
      <w:proofErr w:type="spellEnd"/>
      <w:r w:rsidRPr="002C22ED">
        <w:rPr>
          <w:rFonts w:ascii="Garamond" w:hAnsi="Garamond" w:cs="Times New Roman"/>
          <w:sz w:val="24"/>
          <w:szCs w:val="24"/>
        </w:rPr>
        <w:t xml:space="preserve">.  In this equation </w:t>
      </w:r>
      <w:proofErr w:type="spellStart"/>
      <w:proofErr w:type="gramStart"/>
      <w:r w:rsidRPr="002C22ED">
        <w:rPr>
          <w:rFonts w:ascii="Garamond" w:hAnsi="Garamond" w:cs="Times New Roman"/>
          <w:sz w:val="24"/>
          <w:szCs w:val="24"/>
        </w:rPr>
        <w:t>Y</w:t>
      </w:r>
      <w:r w:rsidRPr="002C22ED">
        <w:rPr>
          <w:rFonts w:ascii="Garamond" w:hAnsi="Garamond" w:cs="Times New Roman"/>
          <w:sz w:val="24"/>
          <w:szCs w:val="24"/>
          <w:vertAlign w:val="subscript"/>
        </w:rPr>
        <w:t>i,t</w:t>
      </w:r>
      <w:proofErr w:type="spellEnd"/>
      <w:proofErr w:type="gramEnd"/>
      <w:r w:rsidRPr="002C22ED">
        <w:rPr>
          <w:rFonts w:ascii="Garamond" w:hAnsi="Garamond" w:cs="Times New Roman"/>
          <w:sz w:val="24"/>
          <w:szCs w:val="24"/>
        </w:rPr>
        <w:t xml:space="preserve"> is the current value of variable Y, while Y</w:t>
      </w:r>
      <w:r w:rsidRPr="002C22ED">
        <w:rPr>
          <w:rFonts w:ascii="Garamond" w:hAnsi="Garamond" w:cs="Times New Roman"/>
          <w:sz w:val="24"/>
          <w:szCs w:val="24"/>
          <w:vertAlign w:val="subscript"/>
        </w:rPr>
        <w:t xml:space="preserve">i,t-1 </w:t>
      </w:r>
      <w:r w:rsidRPr="002C22ED">
        <w:rPr>
          <w:rFonts w:ascii="Garamond" w:hAnsi="Garamond" w:cs="Times New Roman"/>
          <w:sz w:val="24"/>
          <w:szCs w:val="24"/>
        </w:rPr>
        <w:t>is the past value for variable Y. If |a|&lt;1, the time series of Y is considered stationary. If |a|=1, the variable is considered to have permanent memories (with a unit</w:t>
      </w:r>
      <w:r w:rsidR="00473F50">
        <w:rPr>
          <w:rFonts w:ascii="Garamond" w:hAnsi="Garamond" w:cs="Times New Roman"/>
          <w:sz w:val="24"/>
          <w:szCs w:val="24"/>
        </w:rPr>
        <w:t xml:space="preserve"> </w:t>
      </w:r>
      <w:r w:rsidRPr="002C22ED">
        <w:rPr>
          <w:rFonts w:ascii="Garamond" w:hAnsi="Garamond" w:cs="Times New Roman"/>
          <w:sz w:val="24"/>
          <w:szCs w:val="24"/>
        </w:rPr>
        <w:t>root</w:t>
      </w:r>
      <w:r w:rsidR="00D23030" w:rsidRPr="002C22ED">
        <w:rPr>
          <w:rFonts w:ascii="Garamond" w:hAnsi="Garamond" w:cs="Times New Roman"/>
          <w:sz w:val="24"/>
          <w:szCs w:val="24"/>
        </w:rPr>
        <w:t>) or</w:t>
      </w:r>
      <w:r w:rsidRPr="002C22ED">
        <w:rPr>
          <w:rFonts w:ascii="Garamond" w:hAnsi="Garamond" w:cs="Times New Roman"/>
          <w:sz w:val="24"/>
          <w:szCs w:val="24"/>
        </w:rPr>
        <w:t xml:space="preserve"> is called non-stationary. </w:t>
      </w:r>
    </w:p>
    <w:p w14:paraId="748FEE24" w14:textId="56E21121" w:rsidR="00105532" w:rsidRDefault="00D00A8C" w:rsidP="00105532">
      <w:pPr>
        <w:autoSpaceDE w:val="0"/>
        <w:autoSpaceDN w:val="0"/>
        <w:adjustRightInd w:val="0"/>
        <w:spacing w:after="0" w:line="480" w:lineRule="auto"/>
        <w:ind w:firstLine="720"/>
        <w:rPr>
          <w:rFonts w:ascii="Garamond" w:hAnsi="Garamond" w:cs="Times New Roman"/>
          <w:b/>
          <w:sz w:val="24"/>
          <w:szCs w:val="24"/>
        </w:rPr>
      </w:pPr>
      <w:r w:rsidRPr="002C22ED">
        <w:rPr>
          <w:rFonts w:ascii="Garamond" w:hAnsi="Garamond" w:cs="Times New Roman"/>
          <w:sz w:val="24"/>
          <w:szCs w:val="24"/>
        </w:rPr>
        <w:t>We can use a series of tests (i.e., the Augmented Dickey-Fuller unit</w:t>
      </w:r>
      <w:r w:rsidR="00473F50">
        <w:rPr>
          <w:rFonts w:ascii="Garamond" w:hAnsi="Garamond" w:cs="Times New Roman"/>
          <w:sz w:val="24"/>
          <w:szCs w:val="24"/>
        </w:rPr>
        <w:t xml:space="preserve"> </w:t>
      </w:r>
      <w:r w:rsidRPr="002C22ED">
        <w:rPr>
          <w:rFonts w:ascii="Garamond" w:hAnsi="Garamond" w:cs="Times New Roman"/>
          <w:sz w:val="24"/>
          <w:szCs w:val="24"/>
        </w:rPr>
        <w:t xml:space="preserve">root test, and Phillips-Perron test) to investigate the temporal dependency of our dependent variable (Dickey </w:t>
      </w:r>
      <w:r w:rsidR="005D41FF">
        <w:rPr>
          <w:rFonts w:ascii="Garamond" w:hAnsi="Garamond" w:cs="Times New Roman"/>
          <w:sz w:val="24"/>
          <w:szCs w:val="24"/>
        </w:rPr>
        <w:t>and</w:t>
      </w:r>
      <w:r w:rsidRPr="002C22ED">
        <w:rPr>
          <w:rFonts w:ascii="Garamond" w:hAnsi="Garamond" w:cs="Times New Roman"/>
          <w:sz w:val="24"/>
          <w:szCs w:val="24"/>
        </w:rPr>
        <w:t xml:space="preserve"> Fuller</w:t>
      </w:r>
      <w:r w:rsidRPr="002C22ED">
        <w:rPr>
          <w:rFonts w:ascii="Garamond" w:hAnsi="Garamond" w:cs="Times New Roman"/>
          <w:sz w:val="24"/>
          <w:szCs w:val="24"/>
        </w:rPr>
        <w:fldChar w:fldCharType="begin"/>
      </w:r>
      <w:r w:rsidRPr="002C22ED">
        <w:rPr>
          <w:rFonts w:ascii="Garamond" w:hAnsi="Garamond" w:cs="Times New Roman"/>
          <w:sz w:val="24"/>
          <w:szCs w:val="24"/>
        </w:rPr>
        <w:instrText xml:space="preserve"> ADDIN EN.CITE &lt;EndNote&gt;&lt;Cite ExcludeAuth="1" ExcludeYear="1" Hidden="1"&gt;&lt;Author&gt;Dickey&lt;/Author&gt;&lt;Year&gt;1979&lt;/Year&gt;&lt;RecNum&gt;889&lt;/RecNum&gt;&lt;record&gt;&lt;rec-number&gt;889&lt;/rec-number&gt;&lt;foreign-keys&gt;&lt;key app="EN" db-id="dtexatpswrfd94etax55efrsvzxwv95f5dtv"&gt;889&lt;/key&gt;&lt;/foreign-keys&gt;&lt;ref-type name="Journal Article"&gt;17&lt;/ref-type&gt;&lt;contributors&gt;&lt;authors&gt;&lt;author&gt;D. A. Dickey&lt;/author&gt;&lt;author&gt;W. A. Fuller&lt;/author&gt;&lt;/authors&gt;&lt;/contributors&gt;&lt;titles&gt;&lt;title&gt;Distribution of the estimators for autoregressive time series with a unit root.&lt;/title&gt;&lt;secondary-title&gt;Journal of the American Statistical Association&lt;/secondary-title&gt;&lt;/titles&gt;&lt;periodical&gt;&lt;full-title&gt;Journal of the American Statistical Association&lt;/full-title&gt;&lt;/periodical&gt;&lt;pages&gt;427–431&lt;/pages&gt;&lt;volume&gt; 74&lt;/volume&gt;&lt;dates&gt;&lt;year&gt;1979&lt;/year&gt;&lt;/dates&gt;&lt;urls&gt;&lt;/urls&gt;&lt;/record&gt;&lt;/Cite&gt;&lt;/EndNote&gt;</w:instrText>
      </w:r>
      <w:r w:rsidRPr="002C22ED">
        <w:rPr>
          <w:rFonts w:ascii="Garamond" w:hAnsi="Garamond" w:cs="Times New Roman"/>
          <w:sz w:val="24"/>
          <w:szCs w:val="24"/>
        </w:rPr>
        <w:fldChar w:fldCharType="end"/>
      </w:r>
      <w:r w:rsidRPr="002C22ED">
        <w:rPr>
          <w:rFonts w:ascii="Garamond" w:hAnsi="Garamond" w:cs="Times New Roman"/>
          <w:sz w:val="24"/>
          <w:szCs w:val="24"/>
        </w:rPr>
        <w:t xml:space="preserve"> 1981; Phillips </w:t>
      </w:r>
      <w:r w:rsidR="005D41FF">
        <w:rPr>
          <w:rFonts w:ascii="Garamond" w:hAnsi="Garamond" w:cs="Times New Roman"/>
          <w:sz w:val="24"/>
          <w:szCs w:val="24"/>
        </w:rPr>
        <w:t>and</w:t>
      </w:r>
      <w:r w:rsidRPr="002C22ED">
        <w:rPr>
          <w:rFonts w:ascii="Garamond" w:hAnsi="Garamond" w:cs="Times New Roman"/>
          <w:sz w:val="24"/>
          <w:szCs w:val="24"/>
        </w:rPr>
        <w:t xml:space="preserve"> Perron</w:t>
      </w:r>
      <w:r w:rsidRPr="002C22ED">
        <w:rPr>
          <w:rFonts w:ascii="Garamond" w:hAnsi="Garamond" w:cs="Times New Roman"/>
          <w:sz w:val="24"/>
          <w:szCs w:val="24"/>
        </w:rPr>
        <w:fldChar w:fldCharType="begin"/>
      </w:r>
      <w:r w:rsidRPr="002C22ED">
        <w:rPr>
          <w:rFonts w:ascii="Garamond" w:hAnsi="Garamond" w:cs="Times New Roman"/>
          <w:sz w:val="24"/>
          <w:szCs w:val="24"/>
        </w:rPr>
        <w:instrText xml:space="preserve"> ADDIN EN.CITE &lt;EndNote&gt;&lt;Cite ExcludeAuth="1" ExcludeYear="1" Hidden="1"&gt;&lt;Author&gt;Phillips&lt;/Author&gt;&lt;Year&gt;1988&lt;/Year&gt;&lt;RecNum&gt;890&lt;/RecNum&gt;&lt;record&gt;&lt;rec-number&gt;890&lt;/rec-number&gt;&lt;foreign-keys&gt;&lt;key app="EN" db-id="dtexatpswrfd94etax55efrsvzxwv95f5dtv"&gt;890&lt;/key&gt;&lt;/foreign-keys&gt;&lt;ref-type name="Journal Article"&gt;17&lt;/ref-type&gt;&lt;contributors&gt;&lt;authors&gt;&lt;author&gt;P. C. B. Phillips&lt;/author&gt;&lt;author&gt;P. Perron&lt;/author&gt;&lt;/authors&gt;&lt;/contributors&gt;&lt;titles&gt;&lt;title&gt;Testing for a unit root in time series regression&lt;/title&gt;&lt;secondary-title&gt;Biometrika&lt;/secondary-title&gt;&lt;/titles&gt;&lt;periodical&gt;&lt;full-title&gt;Biometrika&lt;/full-title&gt;&lt;/periodical&gt;&lt;pages&gt;335–346&lt;/pages&gt;&lt;volume&gt;75&lt;/volume&gt;&lt;dates&gt;&lt;year&gt;1988&lt;/year&gt;&lt;/dates&gt;&lt;urls&gt;&lt;/urls&gt;&lt;/record&gt;&lt;/Cite&gt;&lt;/EndNote&gt;</w:instrText>
      </w:r>
      <w:r w:rsidRPr="002C22ED">
        <w:rPr>
          <w:rFonts w:ascii="Garamond" w:hAnsi="Garamond" w:cs="Times New Roman"/>
          <w:sz w:val="24"/>
          <w:szCs w:val="24"/>
        </w:rPr>
        <w:fldChar w:fldCharType="end"/>
      </w:r>
      <w:r w:rsidRPr="002C22ED">
        <w:rPr>
          <w:rFonts w:ascii="Garamond" w:hAnsi="Garamond" w:cs="Times New Roman"/>
          <w:sz w:val="24"/>
          <w:szCs w:val="24"/>
        </w:rPr>
        <w:t xml:space="preserve"> 1988). In these tests, the null hypothesis is that at least one of the series in the panel data is non-stationary. We have used both the Augmented Dickey-Fuller and Philips-Perron unit</w:t>
      </w:r>
      <w:r w:rsidR="00473F50">
        <w:rPr>
          <w:rFonts w:ascii="Garamond" w:hAnsi="Garamond" w:cs="Times New Roman"/>
          <w:sz w:val="24"/>
          <w:szCs w:val="24"/>
        </w:rPr>
        <w:t xml:space="preserve"> </w:t>
      </w:r>
      <w:r w:rsidRPr="002C22ED">
        <w:rPr>
          <w:rFonts w:ascii="Garamond" w:hAnsi="Garamond" w:cs="Times New Roman"/>
          <w:sz w:val="24"/>
          <w:szCs w:val="24"/>
        </w:rPr>
        <w:t xml:space="preserve">root tests and have considered a linear term with and without trend, a first-order lag with and without trend, a second-order lag with and without trend. 11 out of 12 tests show strong evidence that our dependent variable </w:t>
      </w:r>
      <w:r w:rsidRPr="002C22ED">
        <w:rPr>
          <w:rFonts w:ascii="Garamond" w:hAnsi="Garamond" w:cs="Times New Roman"/>
          <w:i/>
          <w:sz w:val="24"/>
          <w:szCs w:val="24"/>
        </w:rPr>
        <w:t xml:space="preserve">Citizen-Immigrant TANF </w:t>
      </w:r>
      <w:r w:rsidR="00505A63">
        <w:rPr>
          <w:rFonts w:ascii="Garamond" w:hAnsi="Garamond" w:cs="Times New Roman"/>
          <w:i/>
          <w:sz w:val="24"/>
          <w:szCs w:val="24"/>
        </w:rPr>
        <w:t>Caseload</w:t>
      </w:r>
      <w:r w:rsidRPr="002C22ED">
        <w:rPr>
          <w:rFonts w:ascii="Garamond" w:hAnsi="Garamond" w:cs="Times New Roman"/>
          <w:i/>
          <w:sz w:val="24"/>
          <w:szCs w:val="24"/>
        </w:rPr>
        <w:t xml:space="preserve"> Gap </w:t>
      </w:r>
      <w:r w:rsidRPr="002C22ED">
        <w:rPr>
          <w:rFonts w:ascii="Garamond" w:hAnsi="Garamond" w:cs="Times New Roman"/>
          <w:sz w:val="24"/>
          <w:szCs w:val="24"/>
        </w:rPr>
        <w:t xml:space="preserve">does not contain a </w:t>
      </w:r>
      <w:proofErr w:type="spellStart"/>
      <w:r w:rsidRPr="002C22ED">
        <w:rPr>
          <w:rFonts w:ascii="Garamond" w:hAnsi="Garamond" w:cs="Times New Roman"/>
          <w:sz w:val="24"/>
          <w:szCs w:val="24"/>
        </w:rPr>
        <w:t>uni</w:t>
      </w:r>
      <w:proofErr w:type="spellEnd"/>
      <w:r w:rsidR="00473F50">
        <w:rPr>
          <w:rFonts w:ascii="Garamond" w:hAnsi="Garamond" w:cs="Times New Roman"/>
          <w:sz w:val="24"/>
          <w:szCs w:val="24"/>
        </w:rPr>
        <w:t xml:space="preserve"> </w:t>
      </w:r>
      <w:r w:rsidRPr="002C22ED">
        <w:rPr>
          <w:rFonts w:ascii="Garamond" w:hAnsi="Garamond" w:cs="Times New Roman"/>
          <w:sz w:val="24"/>
          <w:szCs w:val="24"/>
        </w:rPr>
        <w:t>root and is stationary. The results of all 12 tests are presented in Table 2 below.</w:t>
      </w:r>
      <w:r w:rsidR="007F59D2" w:rsidRPr="002C22ED">
        <w:rPr>
          <w:rFonts w:ascii="Garamond" w:hAnsi="Garamond" w:cs="Times New Roman"/>
          <w:sz w:val="24"/>
          <w:szCs w:val="24"/>
        </w:rPr>
        <w:t xml:space="preserve"> Following </w:t>
      </w:r>
      <w:proofErr w:type="spellStart"/>
      <w:r w:rsidR="007F59D2" w:rsidRPr="002C22ED">
        <w:rPr>
          <w:rFonts w:ascii="Garamond" w:hAnsi="Garamond" w:cs="Times New Roman"/>
          <w:sz w:val="24"/>
          <w:szCs w:val="24"/>
        </w:rPr>
        <w:t>DeBoef</w:t>
      </w:r>
      <w:proofErr w:type="spellEnd"/>
      <w:r w:rsidR="007F59D2" w:rsidRPr="002C22ED">
        <w:rPr>
          <w:rFonts w:ascii="Garamond" w:hAnsi="Garamond" w:cs="Times New Roman"/>
          <w:sz w:val="24"/>
          <w:szCs w:val="24"/>
        </w:rPr>
        <w:t xml:space="preserve"> and </w:t>
      </w:r>
      <w:proofErr w:type="spellStart"/>
      <w:r w:rsidR="007F59D2" w:rsidRPr="002C22ED">
        <w:rPr>
          <w:rFonts w:ascii="Garamond" w:hAnsi="Garamond" w:cs="Times New Roman"/>
          <w:sz w:val="24"/>
          <w:szCs w:val="24"/>
        </w:rPr>
        <w:t>Keele’s</w:t>
      </w:r>
      <w:proofErr w:type="spellEnd"/>
      <w:r w:rsidR="007F59D2" w:rsidRPr="002C22ED">
        <w:rPr>
          <w:rFonts w:ascii="Garamond" w:hAnsi="Garamond" w:cs="Times New Roman"/>
          <w:sz w:val="24"/>
          <w:szCs w:val="24"/>
        </w:rPr>
        <w:t xml:space="preserve"> (2</w:t>
      </w:r>
      <w:r w:rsidR="007F59D2" w:rsidRPr="002C22ED">
        <w:rPr>
          <w:rFonts w:ascii="Garamond" w:hAnsi="Garamond" w:cs="Times New Roman"/>
          <w:sz w:val="24"/>
          <w:szCs w:val="24"/>
        </w:rPr>
        <w:fldChar w:fldCharType="begin"/>
      </w:r>
      <w:r w:rsidR="007F59D2" w:rsidRPr="002C22ED">
        <w:rPr>
          <w:rFonts w:ascii="Garamond" w:hAnsi="Garamond" w:cs="Times New Roman"/>
          <w:sz w:val="24"/>
          <w:szCs w:val="24"/>
        </w:rPr>
        <w:instrText xml:space="preserve"> ADDIN EN.CITE &lt;EndNote&gt;&lt;Cite ExcludeAuth="1" ExcludeYear="1" Hidden="1"&gt;&lt;Author&gt;De Boef&lt;/Author&gt;&lt;Year&gt;2008&lt;/Year&gt;&lt;RecNum&gt;390&lt;/RecNum&gt;&lt;record&gt;&lt;rec-number&gt;390&lt;/rec-number&gt;&lt;foreign-keys&gt;&lt;key app="EN" db-id="dtexatpswrfd94etax55efrsvzxwv95f5dtv"&gt;390&lt;/key&gt;&lt;/foreign-keys&gt;&lt;ref-type name="Journal Article"&gt;17&lt;/ref-type&gt;&lt;contributors&gt;&lt;authors&gt;&lt;author&gt;De Boef, Suzanna&lt;/author&gt;&lt;author&gt;Keele, Luke &lt;/author&gt;&lt;/authors&gt;&lt;/contributors&gt;&lt;titles&gt;&lt;title&gt;Taking time seriously&lt;/title&gt;&lt;secondary-title&gt;American Journal of Political Science &lt;/secondary-title&gt;&lt;/titles&gt;&lt;periodical&gt;&lt;full-title&gt;American Journal of Political Science&lt;/full-title&gt;&lt;/periodical&gt;&lt;pages&gt;184–200&lt;/pages&gt;&lt;volume&gt;52&lt;/volume&gt;&lt;number&gt;1&lt;/number&gt;&lt;dates&gt;&lt;year&gt;2008&lt;/year&gt;&lt;/dates&gt;&lt;urls&gt;&lt;/urls&gt;&lt;/record&gt;&lt;/Cite&gt;&lt;/EndNote&gt;</w:instrText>
      </w:r>
      <w:r w:rsidR="007F59D2" w:rsidRPr="002C22ED">
        <w:rPr>
          <w:rFonts w:ascii="Garamond" w:hAnsi="Garamond" w:cs="Times New Roman"/>
          <w:sz w:val="24"/>
          <w:szCs w:val="24"/>
        </w:rPr>
        <w:fldChar w:fldCharType="end"/>
      </w:r>
      <w:r w:rsidR="007F59D2" w:rsidRPr="002C22ED">
        <w:rPr>
          <w:rFonts w:ascii="Garamond" w:hAnsi="Garamond" w:cs="Times New Roman"/>
          <w:sz w:val="24"/>
          <w:szCs w:val="24"/>
        </w:rPr>
        <w:t xml:space="preserve">008) suggestion that a dynamic error correction model (ECM) can be used in data </w:t>
      </w:r>
      <w:r w:rsidR="007F59D2" w:rsidRPr="002C22ED">
        <w:rPr>
          <w:rFonts w:ascii="Garamond" w:hAnsi="Garamond" w:cs="Times New Roman"/>
          <w:sz w:val="24"/>
          <w:szCs w:val="24"/>
        </w:rPr>
        <w:lastRenderedPageBreak/>
        <w:t>scenarios when one has stationary dependent variables, we decide to use the dynamic ECM model specification.</w:t>
      </w:r>
    </w:p>
    <w:p w14:paraId="014532B4" w14:textId="48C97B67" w:rsidR="00D00A8C" w:rsidRPr="00105532" w:rsidRDefault="00D00A8C" w:rsidP="00105532">
      <w:pPr>
        <w:autoSpaceDE w:val="0"/>
        <w:autoSpaceDN w:val="0"/>
        <w:adjustRightInd w:val="0"/>
        <w:spacing w:after="0" w:line="240" w:lineRule="auto"/>
        <w:ind w:firstLine="720"/>
        <w:jc w:val="center"/>
        <w:rPr>
          <w:rFonts w:ascii="Garamond" w:hAnsi="Garamond" w:cs="Times New Roman"/>
          <w:sz w:val="24"/>
          <w:szCs w:val="24"/>
        </w:rPr>
      </w:pPr>
      <w:r w:rsidRPr="002C22ED">
        <w:rPr>
          <w:rFonts w:ascii="Garamond" w:hAnsi="Garamond" w:cs="Times New Roman"/>
          <w:b/>
          <w:sz w:val="24"/>
          <w:szCs w:val="24"/>
        </w:rPr>
        <w:t>Table 2. Unit Root Tests Using Augmented Dickey-Fuller (ADF) and Phillips-Perron (PP) Tests</w:t>
      </w:r>
    </w:p>
    <w:p w14:paraId="56B6E015" w14:textId="77777777" w:rsidR="00D00A8C" w:rsidRPr="002C22ED" w:rsidRDefault="00D00A8C" w:rsidP="00D00A8C">
      <w:pPr>
        <w:rPr>
          <w:rFonts w:ascii="Garamond" w:hAnsi="Garamond" w:cs="Times New Roman"/>
          <w:sz w:val="24"/>
          <w:szCs w:val="24"/>
        </w:rPr>
      </w:pPr>
      <w:r w:rsidRPr="002C22ED">
        <w:rPr>
          <w:rFonts w:ascii="Garamond" w:hAnsi="Garamond"/>
          <w:sz w:val="24"/>
          <w:szCs w:val="24"/>
        </w:rPr>
        <w:fldChar w:fldCharType="begin"/>
      </w:r>
      <w:r w:rsidRPr="002C22ED">
        <w:rPr>
          <w:rFonts w:ascii="Garamond" w:hAnsi="Garamond"/>
          <w:sz w:val="24"/>
          <w:szCs w:val="24"/>
        </w:rPr>
        <w:instrText xml:space="preserve"> LINK Excel.Sheet.12 "C:\\Users\\Ping Xu\\Dropbox\\GlobRep\\Data\\Raw Data\\state spending_1987-2008.xlsx" Sheet4!R1C1:R13C3 \a \f 5 \h  \* MERGEFORMAT </w:instrText>
      </w:r>
      <w:r w:rsidRPr="002C22ED">
        <w:rPr>
          <w:rFonts w:ascii="Garamond" w:hAnsi="Garamond"/>
          <w:sz w:val="24"/>
          <w:szCs w:val="24"/>
        </w:rPr>
        <w:fldChar w:fldCharType="separate"/>
      </w:r>
    </w:p>
    <w:tbl>
      <w:tblPr>
        <w:tblStyle w:val="TableGrid"/>
        <w:tblW w:w="468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260"/>
        <w:gridCol w:w="1068"/>
      </w:tblGrid>
      <w:tr w:rsidR="00D00A8C" w:rsidRPr="002C22ED" w14:paraId="2E29CF99" w14:textId="77777777" w:rsidTr="00E56A9C">
        <w:trPr>
          <w:trHeight w:val="300"/>
          <w:jc w:val="center"/>
        </w:trPr>
        <w:tc>
          <w:tcPr>
            <w:tcW w:w="2358" w:type="dxa"/>
            <w:tcBorders>
              <w:top w:val="single" w:sz="4" w:space="0" w:color="auto"/>
              <w:left w:val="nil"/>
              <w:bottom w:val="single" w:sz="4" w:space="0" w:color="auto"/>
              <w:right w:val="nil"/>
            </w:tcBorders>
            <w:noWrap/>
            <w:hideMark/>
          </w:tcPr>
          <w:p w14:paraId="40BF646A"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Tests</w:t>
            </w:r>
          </w:p>
        </w:tc>
        <w:tc>
          <w:tcPr>
            <w:tcW w:w="1260" w:type="dxa"/>
            <w:tcBorders>
              <w:top w:val="single" w:sz="4" w:space="0" w:color="auto"/>
              <w:left w:val="nil"/>
              <w:bottom w:val="single" w:sz="4" w:space="0" w:color="auto"/>
              <w:right w:val="nil"/>
            </w:tcBorders>
            <w:noWrap/>
            <w:hideMark/>
          </w:tcPr>
          <w:p w14:paraId="097C1333"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Chi-square</w:t>
            </w:r>
          </w:p>
        </w:tc>
        <w:tc>
          <w:tcPr>
            <w:tcW w:w="1068" w:type="dxa"/>
            <w:tcBorders>
              <w:top w:val="single" w:sz="4" w:space="0" w:color="auto"/>
              <w:left w:val="nil"/>
              <w:bottom w:val="single" w:sz="4" w:space="0" w:color="auto"/>
              <w:right w:val="nil"/>
            </w:tcBorders>
            <w:noWrap/>
            <w:hideMark/>
          </w:tcPr>
          <w:p w14:paraId="77F93316"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p-value</w:t>
            </w:r>
          </w:p>
        </w:tc>
      </w:tr>
      <w:tr w:rsidR="00D00A8C" w:rsidRPr="002C22ED" w14:paraId="18D6C703" w14:textId="77777777" w:rsidTr="00E56A9C">
        <w:trPr>
          <w:trHeight w:val="300"/>
          <w:jc w:val="center"/>
        </w:trPr>
        <w:tc>
          <w:tcPr>
            <w:tcW w:w="2358" w:type="dxa"/>
            <w:tcBorders>
              <w:top w:val="single" w:sz="4" w:space="0" w:color="auto"/>
              <w:left w:val="nil"/>
              <w:bottom w:val="nil"/>
              <w:right w:val="nil"/>
            </w:tcBorders>
            <w:noWrap/>
            <w:hideMark/>
          </w:tcPr>
          <w:p w14:paraId="150DFD1F"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ADF, no trend, lag (0)</w:t>
            </w:r>
          </w:p>
        </w:tc>
        <w:tc>
          <w:tcPr>
            <w:tcW w:w="1260" w:type="dxa"/>
            <w:tcBorders>
              <w:top w:val="single" w:sz="4" w:space="0" w:color="auto"/>
              <w:left w:val="nil"/>
              <w:bottom w:val="nil"/>
              <w:right w:val="nil"/>
            </w:tcBorders>
            <w:noWrap/>
            <w:hideMark/>
          </w:tcPr>
          <w:p w14:paraId="54B44E40"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pacing w:val="-2"/>
                <w:sz w:val="24"/>
                <w:szCs w:val="24"/>
                <w:lang w:eastAsia="en-US"/>
              </w:rPr>
              <w:t>480.249</w:t>
            </w:r>
          </w:p>
        </w:tc>
        <w:tc>
          <w:tcPr>
            <w:tcW w:w="1068" w:type="dxa"/>
            <w:tcBorders>
              <w:top w:val="single" w:sz="4" w:space="0" w:color="auto"/>
              <w:left w:val="nil"/>
              <w:bottom w:val="nil"/>
              <w:right w:val="nil"/>
            </w:tcBorders>
            <w:noWrap/>
            <w:hideMark/>
          </w:tcPr>
          <w:p w14:paraId="242ACBBD"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7491747F" w14:textId="77777777" w:rsidTr="00E56A9C">
        <w:trPr>
          <w:trHeight w:val="300"/>
          <w:jc w:val="center"/>
        </w:trPr>
        <w:tc>
          <w:tcPr>
            <w:tcW w:w="2358" w:type="dxa"/>
            <w:tcBorders>
              <w:top w:val="nil"/>
              <w:left w:val="nil"/>
              <w:bottom w:val="nil"/>
              <w:right w:val="nil"/>
            </w:tcBorders>
            <w:noWrap/>
            <w:hideMark/>
          </w:tcPr>
          <w:p w14:paraId="029D7E28"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ADF, no trend, lag (1)</w:t>
            </w:r>
          </w:p>
        </w:tc>
        <w:tc>
          <w:tcPr>
            <w:tcW w:w="1260" w:type="dxa"/>
            <w:tcBorders>
              <w:top w:val="nil"/>
              <w:left w:val="nil"/>
              <w:bottom w:val="nil"/>
              <w:right w:val="nil"/>
            </w:tcBorders>
            <w:noWrap/>
            <w:hideMark/>
          </w:tcPr>
          <w:p w14:paraId="6EFD839E"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pacing w:val="-2"/>
                <w:sz w:val="24"/>
                <w:szCs w:val="24"/>
                <w:lang w:eastAsia="en-US"/>
              </w:rPr>
              <w:t>292.478</w:t>
            </w:r>
          </w:p>
        </w:tc>
        <w:tc>
          <w:tcPr>
            <w:tcW w:w="1068" w:type="dxa"/>
            <w:tcBorders>
              <w:top w:val="nil"/>
              <w:left w:val="nil"/>
              <w:bottom w:val="nil"/>
              <w:right w:val="nil"/>
            </w:tcBorders>
            <w:noWrap/>
            <w:hideMark/>
          </w:tcPr>
          <w:p w14:paraId="0EAF425C"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5D91FEA9" w14:textId="77777777" w:rsidTr="00E56A9C">
        <w:trPr>
          <w:trHeight w:val="300"/>
          <w:jc w:val="center"/>
        </w:trPr>
        <w:tc>
          <w:tcPr>
            <w:tcW w:w="2358" w:type="dxa"/>
            <w:tcBorders>
              <w:top w:val="nil"/>
              <w:left w:val="nil"/>
              <w:bottom w:val="nil"/>
              <w:right w:val="nil"/>
            </w:tcBorders>
            <w:noWrap/>
            <w:hideMark/>
          </w:tcPr>
          <w:p w14:paraId="0B2F2B5E"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ADF, no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2)</w:t>
            </w:r>
          </w:p>
        </w:tc>
        <w:tc>
          <w:tcPr>
            <w:tcW w:w="1260" w:type="dxa"/>
            <w:tcBorders>
              <w:top w:val="nil"/>
              <w:left w:val="nil"/>
              <w:bottom w:val="nil"/>
              <w:right w:val="nil"/>
            </w:tcBorders>
            <w:noWrap/>
            <w:hideMark/>
          </w:tcPr>
          <w:p w14:paraId="2B9F78F6"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pacing w:val="-2"/>
                <w:sz w:val="24"/>
                <w:szCs w:val="24"/>
                <w:lang w:eastAsia="en-US"/>
              </w:rPr>
              <w:t>130.228</w:t>
            </w:r>
          </w:p>
        </w:tc>
        <w:tc>
          <w:tcPr>
            <w:tcW w:w="1068" w:type="dxa"/>
            <w:tcBorders>
              <w:top w:val="nil"/>
              <w:left w:val="nil"/>
              <w:bottom w:val="nil"/>
              <w:right w:val="nil"/>
            </w:tcBorders>
            <w:noWrap/>
            <w:hideMark/>
          </w:tcPr>
          <w:p w14:paraId="1FF0379B"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0.031</w:t>
            </w:r>
          </w:p>
        </w:tc>
      </w:tr>
      <w:tr w:rsidR="00D00A8C" w:rsidRPr="002C22ED" w14:paraId="1E31E18B" w14:textId="77777777" w:rsidTr="00E56A9C">
        <w:trPr>
          <w:trHeight w:val="300"/>
          <w:jc w:val="center"/>
        </w:trPr>
        <w:tc>
          <w:tcPr>
            <w:tcW w:w="2358" w:type="dxa"/>
            <w:tcBorders>
              <w:top w:val="nil"/>
              <w:left w:val="nil"/>
              <w:bottom w:val="nil"/>
              <w:right w:val="nil"/>
            </w:tcBorders>
            <w:noWrap/>
            <w:hideMark/>
          </w:tcPr>
          <w:p w14:paraId="44E392EE"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ADF,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0)</w:t>
            </w:r>
          </w:p>
        </w:tc>
        <w:tc>
          <w:tcPr>
            <w:tcW w:w="1260" w:type="dxa"/>
            <w:tcBorders>
              <w:top w:val="nil"/>
              <w:left w:val="nil"/>
              <w:bottom w:val="nil"/>
              <w:right w:val="nil"/>
            </w:tcBorders>
            <w:noWrap/>
            <w:hideMark/>
          </w:tcPr>
          <w:p w14:paraId="69887FC3"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534.906</w:t>
            </w:r>
          </w:p>
        </w:tc>
        <w:tc>
          <w:tcPr>
            <w:tcW w:w="1068" w:type="dxa"/>
            <w:tcBorders>
              <w:top w:val="nil"/>
              <w:left w:val="nil"/>
              <w:bottom w:val="nil"/>
              <w:right w:val="nil"/>
            </w:tcBorders>
            <w:noWrap/>
            <w:hideMark/>
          </w:tcPr>
          <w:p w14:paraId="349A4ABC"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7211BFAB" w14:textId="77777777" w:rsidTr="00E56A9C">
        <w:trPr>
          <w:trHeight w:val="300"/>
          <w:jc w:val="center"/>
        </w:trPr>
        <w:tc>
          <w:tcPr>
            <w:tcW w:w="2358" w:type="dxa"/>
            <w:tcBorders>
              <w:top w:val="nil"/>
              <w:left w:val="nil"/>
              <w:bottom w:val="nil"/>
              <w:right w:val="nil"/>
            </w:tcBorders>
            <w:noWrap/>
            <w:hideMark/>
          </w:tcPr>
          <w:p w14:paraId="7AA663C4"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ADF,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1)</w:t>
            </w:r>
          </w:p>
        </w:tc>
        <w:tc>
          <w:tcPr>
            <w:tcW w:w="1260" w:type="dxa"/>
            <w:tcBorders>
              <w:top w:val="nil"/>
              <w:left w:val="nil"/>
              <w:bottom w:val="nil"/>
              <w:right w:val="nil"/>
            </w:tcBorders>
            <w:noWrap/>
            <w:hideMark/>
          </w:tcPr>
          <w:p w14:paraId="5C4E40F9"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pacing w:val="-2"/>
                <w:sz w:val="24"/>
                <w:szCs w:val="24"/>
                <w:lang w:eastAsia="en-US"/>
              </w:rPr>
              <w:t>281.153</w:t>
            </w:r>
          </w:p>
        </w:tc>
        <w:tc>
          <w:tcPr>
            <w:tcW w:w="1068" w:type="dxa"/>
            <w:tcBorders>
              <w:top w:val="nil"/>
              <w:left w:val="nil"/>
              <w:bottom w:val="nil"/>
              <w:right w:val="nil"/>
            </w:tcBorders>
            <w:noWrap/>
            <w:hideMark/>
          </w:tcPr>
          <w:p w14:paraId="411F8A84"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4F33F906" w14:textId="77777777" w:rsidTr="00E56A9C">
        <w:trPr>
          <w:trHeight w:val="300"/>
          <w:jc w:val="center"/>
        </w:trPr>
        <w:tc>
          <w:tcPr>
            <w:tcW w:w="2358" w:type="dxa"/>
            <w:tcBorders>
              <w:top w:val="nil"/>
              <w:left w:val="nil"/>
              <w:bottom w:val="nil"/>
              <w:right w:val="nil"/>
            </w:tcBorders>
            <w:noWrap/>
            <w:hideMark/>
          </w:tcPr>
          <w:p w14:paraId="2DF2FB88"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ADF,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2)</w:t>
            </w:r>
          </w:p>
        </w:tc>
        <w:tc>
          <w:tcPr>
            <w:tcW w:w="1260" w:type="dxa"/>
            <w:tcBorders>
              <w:top w:val="nil"/>
              <w:left w:val="nil"/>
              <w:bottom w:val="nil"/>
              <w:right w:val="nil"/>
            </w:tcBorders>
            <w:noWrap/>
            <w:hideMark/>
          </w:tcPr>
          <w:p w14:paraId="5DA86659"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108.602</w:t>
            </w:r>
          </w:p>
        </w:tc>
        <w:tc>
          <w:tcPr>
            <w:tcW w:w="1068" w:type="dxa"/>
            <w:tcBorders>
              <w:top w:val="nil"/>
              <w:left w:val="nil"/>
              <w:bottom w:val="nil"/>
              <w:right w:val="nil"/>
            </w:tcBorders>
            <w:noWrap/>
            <w:hideMark/>
          </w:tcPr>
          <w:p w14:paraId="206B4B49"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0.309</w:t>
            </w:r>
          </w:p>
        </w:tc>
      </w:tr>
      <w:tr w:rsidR="00D00A8C" w:rsidRPr="002C22ED" w14:paraId="0E1C905F" w14:textId="77777777" w:rsidTr="00E56A9C">
        <w:trPr>
          <w:trHeight w:val="300"/>
          <w:jc w:val="center"/>
        </w:trPr>
        <w:tc>
          <w:tcPr>
            <w:tcW w:w="2358" w:type="dxa"/>
            <w:tcBorders>
              <w:top w:val="nil"/>
              <w:left w:val="nil"/>
              <w:bottom w:val="nil"/>
              <w:right w:val="nil"/>
            </w:tcBorders>
            <w:noWrap/>
            <w:hideMark/>
          </w:tcPr>
          <w:p w14:paraId="17E53C4A"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PP, no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 xml:space="preserve">0) </w:t>
            </w:r>
          </w:p>
        </w:tc>
        <w:tc>
          <w:tcPr>
            <w:tcW w:w="1260" w:type="dxa"/>
            <w:tcBorders>
              <w:top w:val="nil"/>
              <w:left w:val="nil"/>
              <w:bottom w:val="nil"/>
              <w:right w:val="nil"/>
            </w:tcBorders>
            <w:noWrap/>
            <w:hideMark/>
          </w:tcPr>
          <w:p w14:paraId="5046A5F1"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480.249</w:t>
            </w:r>
          </w:p>
        </w:tc>
        <w:tc>
          <w:tcPr>
            <w:tcW w:w="1068" w:type="dxa"/>
            <w:tcBorders>
              <w:top w:val="nil"/>
              <w:left w:val="nil"/>
              <w:bottom w:val="nil"/>
              <w:right w:val="nil"/>
            </w:tcBorders>
            <w:noWrap/>
            <w:hideMark/>
          </w:tcPr>
          <w:p w14:paraId="4158FE32"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4B8D773A" w14:textId="77777777" w:rsidTr="00E56A9C">
        <w:trPr>
          <w:trHeight w:val="300"/>
          <w:jc w:val="center"/>
        </w:trPr>
        <w:tc>
          <w:tcPr>
            <w:tcW w:w="2358" w:type="dxa"/>
            <w:tcBorders>
              <w:top w:val="nil"/>
              <w:left w:val="nil"/>
              <w:bottom w:val="nil"/>
              <w:right w:val="nil"/>
            </w:tcBorders>
            <w:noWrap/>
            <w:hideMark/>
          </w:tcPr>
          <w:p w14:paraId="78DB3592"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PP, no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 xml:space="preserve">1) </w:t>
            </w:r>
          </w:p>
        </w:tc>
        <w:tc>
          <w:tcPr>
            <w:tcW w:w="1260" w:type="dxa"/>
            <w:tcBorders>
              <w:top w:val="nil"/>
              <w:left w:val="nil"/>
              <w:bottom w:val="nil"/>
              <w:right w:val="nil"/>
            </w:tcBorders>
            <w:noWrap/>
            <w:hideMark/>
          </w:tcPr>
          <w:p w14:paraId="0CA31090"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467.639</w:t>
            </w:r>
          </w:p>
        </w:tc>
        <w:tc>
          <w:tcPr>
            <w:tcW w:w="1068" w:type="dxa"/>
            <w:tcBorders>
              <w:top w:val="nil"/>
              <w:left w:val="nil"/>
              <w:bottom w:val="nil"/>
              <w:right w:val="nil"/>
            </w:tcBorders>
            <w:noWrap/>
            <w:hideMark/>
          </w:tcPr>
          <w:p w14:paraId="66BF14CA"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770EDEC0" w14:textId="77777777" w:rsidTr="00E56A9C">
        <w:trPr>
          <w:trHeight w:val="300"/>
          <w:jc w:val="center"/>
        </w:trPr>
        <w:tc>
          <w:tcPr>
            <w:tcW w:w="2358" w:type="dxa"/>
            <w:tcBorders>
              <w:top w:val="nil"/>
              <w:left w:val="nil"/>
              <w:bottom w:val="nil"/>
              <w:right w:val="nil"/>
            </w:tcBorders>
            <w:noWrap/>
            <w:hideMark/>
          </w:tcPr>
          <w:p w14:paraId="0D23D0DA"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PP, no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 xml:space="preserve">2) </w:t>
            </w:r>
          </w:p>
        </w:tc>
        <w:tc>
          <w:tcPr>
            <w:tcW w:w="1260" w:type="dxa"/>
            <w:tcBorders>
              <w:top w:val="nil"/>
              <w:left w:val="nil"/>
              <w:bottom w:val="nil"/>
              <w:right w:val="nil"/>
            </w:tcBorders>
            <w:noWrap/>
            <w:hideMark/>
          </w:tcPr>
          <w:p w14:paraId="320FFA70"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467.363</w:t>
            </w:r>
          </w:p>
        </w:tc>
        <w:tc>
          <w:tcPr>
            <w:tcW w:w="1068" w:type="dxa"/>
            <w:tcBorders>
              <w:top w:val="nil"/>
              <w:left w:val="nil"/>
              <w:bottom w:val="nil"/>
              <w:right w:val="nil"/>
            </w:tcBorders>
            <w:noWrap/>
            <w:hideMark/>
          </w:tcPr>
          <w:p w14:paraId="2A0759DB"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7AA9592E" w14:textId="77777777" w:rsidTr="00E56A9C">
        <w:trPr>
          <w:trHeight w:val="300"/>
          <w:jc w:val="center"/>
        </w:trPr>
        <w:tc>
          <w:tcPr>
            <w:tcW w:w="2358" w:type="dxa"/>
            <w:tcBorders>
              <w:top w:val="nil"/>
              <w:left w:val="nil"/>
              <w:bottom w:val="nil"/>
              <w:right w:val="nil"/>
            </w:tcBorders>
            <w:noWrap/>
            <w:hideMark/>
          </w:tcPr>
          <w:p w14:paraId="108474CC"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PP,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0)</w:t>
            </w:r>
          </w:p>
        </w:tc>
        <w:tc>
          <w:tcPr>
            <w:tcW w:w="1260" w:type="dxa"/>
            <w:tcBorders>
              <w:top w:val="nil"/>
              <w:left w:val="nil"/>
              <w:bottom w:val="nil"/>
              <w:right w:val="nil"/>
            </w:tcBorders>
            <w:noWrap/>
            <w:hideMark/>
          </w:tcPr>
          <w:p w14:paraId="44817221"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534.906</w:t>
            </w:r>
          </w:p>
        </w:tc>
        <w:tc>
          <w:tcPr>
            <w:tcW w:w="1068" w:type="dxa"/>
            <w:tcBorders>
              <w:top w:val="nil"/>
              <w:left w:val="nil"/>
              <w:bottom w:val="nil"/>
              <w:right w:val="nil"/>
            </w:tcBorders>
            <w:noWrap/>
            <w:hideMark/>
          </w:tcPr>
          <w:p w14:paraId="3504226C"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346BC981" w14:textId="77777777" w:rsidTr="00E56A9C">
        <w:trPr>
          <w:trHeight w:val="300"/>
          <w:jc w:val="center"/>
        </w:trPr>
        <w:tc>
          <w:tcPr>
            <w:tcW w:w="2358" w:type="dxa"/>
            <w:tcBorders>
              <w:top w:val="nil"/>
              <w:left w:val="nil"/>
              <w:bottom w:val="nil"/>
              <w:right w:val="nil"/>
            </w:tcBorders>
            <w:noWrap/>
            <w:hideMark/>
          </w:tcPr>
          <w:p w14:paraId="4DCF32A5"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PP,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1)</w:t>
            </w:r>
          </w:p>
        </w:tc>
        <w:tc>
          <w:tcPr>
            <w:tcW w:w="1260" w:type="dxa"/>
            <w:tcBorders>
              <w:top w:val="nil"/>
              <w:left w:val="nil"/>
              <w:bottom w:val="nil"/>
              <w:right w:val="nil"/>
            </w:tcBorders>
            <w:noWrap/>
            <w:hideMark/>
          </w:tcPr>
          <w:p w14:paraId="20D6C43A"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517.861</w:t>
            </w:r>
          </w:p>
        </w:tc>
        <w:tc>
          <w:tcPr>
            <w:tcW w:w="1068" w:type="dxa"/>
            <w:tcBorders>
              <w:top w:val="nil"/>
              <w:left w:val="nil"/>
              <w:bottom w:val="nil"/>
              <w:right w:val="nil"/>
            </w:tcBorders>
            <w:noWrap/>
            <w:hideMark/>
          </w:tcPr>
          <w:p w14:paraId="6A32A834"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r w:rsidR="00D00A8C" w:rsidRPr="002C22ED" w14:paraId="2CDE9E10" w14:textId="77777777" w:rsidTr="00E56A9C">
        <w:trPr>
          <w:trHeight w:val="300"/>
          <w:jc w:val="center"/>
        </w:trPr>
        <w:tc>
          <w:tcPr>
            <w:tcW w:w="2358" w:type="dxa"/>
            <w:tcBorders>
              <w:top w:val="nil"/>
              <w:left w:val="nil"/>
              <w:bottom w:val="single" w:sz="4" w:space="0" w:color="auto"/>
              <w:right w:val="nil"/>
            </w:tcBorders>
            <w:noWrap/>
            <w:hideMark/>
          </w:tcPr>
          <w:p w14:paraId="261E21F2"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 xml:space="preserve">PP, trend, </w:t>
            </w:r>
            <w:proofErr w:type="gramStart"/>
            <w:r w:rsidRPr="002C22ED">
              <w:rPr>
                <w:rFonts w:ascii="Garamond" w:hAnsi="Garamond" w:cs="Times New Roman"/>
                <w:sz w:val="24"/>
                <w:szCs w:val="24"/>
              </w:rPr>
              <w:t>lag(</w:t>
            </w:r>
            <w:proofErr w:type="gramEnd"/>
            <w:r w:rsidRPr="002C22ED">
              <w:rPr>
                <w:rFonts w:ascii="Garamond" w:hAnsi="Garamond" w:cs="Times New Roman"/>
                <w:sz w:val="24"/>
                <w:szCs w:val="24"/>
              </w:rPr>
              <w:t>2)</w:t>
            </w:r>
          </w:p>
        </w:tc>
        <w:tc>
          <w:tcPr>
            <w:tcW w:w="1260" w:type="dxa"/>
            <w:tcBorders>
              <w:top w:val="nil"/>
              <w:left w:val="nil"/>
              <w:bottom w:val="single" w:sz="4" w:space="0" w:color="auto"/>
              <w:right w:val="nil"/>
            </w:tcBorders>
            <w:noWrap/>
            <w:hideMark/>
          </w:tcPr>
          <w:p w14:paraId="6D0910B6"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524.661</w:t>
            </w:r>
          </w:p>
        </w:tc>
        <w:tc>
          <w:tcPr>
            <w:tcW w:w="1068" w:type="dxa"/>
            <w:tcBorders>
              <w:top w:val="nil"/>
              <w:left w:val="nil"/>
              <w:bottom w:val="single" w:sz="4" w:space="0" w:color="auto"/>
              <w:right w:val="nil"/>
            </w:tcBorders>
            <w:noWrap/>
            <w:hideMark/>
          </w:tcPr>
          <w:p w14:paraId="0FD3011E" w14:textId="77777777" w:rsidR="00D00A8C" w:rsidRPr="002C22ED" w:rsidRDefault="00D00A8C" w:rsidP="00E56A9C">
            <w:pPr>
              <w:rPr>
                <w:rFonts w:ascii="Garamond" w:hAnsi="Garamond" w:cs="Times New Roman"/>
                <w:spacing w:val="-2"/>
                <w:sz w:val="24"/>
                <w:szCs w:val="24"/>
                <w:lang w:eastAsia="en-US"/>
              </w:rPr>
            </w:pPr>
            <w:r w:rsidRPr="002C22ED">
              <w:rPr>
                <w:rFonts w:ascii="Garamond" w:hAnsi="Garamond" w:cs="Times New Roman"/>
                <w:sz w:val="24"/>
                <w:szCs w:val="24"/>
              </w:rPr>
              <w:t>0.000</w:t>
            </w:r>
          </w:p>
        </w:tc>
      </w:tr>
    </w:tbl>
    <w:p w14:paraId="73628E32" w14:textId="77777777" w:rsidR="00D00A8C" w:rsidRPr="002C22ED" w:rsidRDefault="00D00A8C" w:rsidP="00D00A8C">
      <w:pPr>
        <w:rPr>
          <w:rFonts w:ascii="Garamond" w:hAnsi="Garamond" w:cs="Arial"/>
          <w:spacing w:val="-2"/>
          <w:sz w:val="24"/>
          <w:szCs w:val="24"/>
          <w:lang w:eastAsia="en-US"/>
        </w:rPr>
      </w:pPr>
      <w:r w:rsidRPr="002C22ED">
        <w:rPr>
          <w:rFonts w:ascii="Garamond" w:hAnsi="Garamond"/>
          <w:sz w:val="24"/>
          <w:szCs w:val="24"/>
        </w:rPr>
        <w:fldChar w:fldCharType="end"/>
      </w:r>
    </w:p>
    <w:p w14:paraId="62A3D9EC" w14:textId="77777777" w:rsidR="007F59D2" w:rsidRPr="002C22ED" w:rsidRDefault="007F59D2" w:rsidP="002E707F">
      <w:pPr>
        <w:autoSpaceDE w:val="0"/>
        <w:autoSpaceDN w:val="0"/>
        <w:adjustRightInd w:val="0"/>
        <w:spacing w:after="0" w:line="480" w:lineRule="auto"/>
        <w:rPr>
          <w:rFonts w:ascii="Garamond" w:hAnsi="Garamond" w:cs="Times New Roman"/>
          <w:b/>
          <w:i/>
          <w:sz w:val="24"/>
          <w:szCs w:val="24"/>
        </w:rPr>
      </w:pPr>
      <w:r w:rsidRPr="002C22ED">
        <w:rPr>
          <w:rFonts w:ascii="Garamond" w:hAnsi="Garamond" w:cs="Times New Roman"/>
          <w:b/>
          <w:i/>
          <w:sz w:val="24"/>
          <w:szCs w:val="24"/>
        </w:rPr>
        <w:t>Detecting Outlier States</w:t>
      </w:r>
    </w:p>
    <w:p w14:paraId="4763D1D0" w14:textId="280A3ED7" w:rsidR="00BF71F3" w:rsidRPr="002C22ED" w:rsidRDefault="00BF71F3" w:rsidP="002E707F">
      <w:pPr>
        <w:autoSpaceDE w:val="0"/>
        <w:autoSpaceDN w:val="0"/>
        <w:adjustRightInd w:val="0"/>
        <w:spacing w:after="0" w:line="480" w:lineRule="auto"/>
        <w:rPr>
          <w:rFonts w:ascii="Garamond" w:hAnsi="Garamond" w:cs="Times New Roman"/>
          <w:sz w:val="24"/>
          <w:szCs w:val="24"/>
        </w:rPr>
      </w:pPr>
      <w:r w:rsidRPr="002C22ED">
        <w:rPr>
          <w:rFonts w:ascii="Garamond" w:hAnsi="Garamond" w:cs="Times New Roman"/>
          <w:sz w:val="24"/>
          <w:szCs w:val="24"/>
        </w:rPr>
        <w:tab/>
        <w:t xml:space="preserve">It is important to evaluate whether certain states cause unobserved heterogeneity which is not explained by the regressors in the model. Therefore, we decide to detect which states are “average states” explained by the model, and which ones are outlier states that require additional model considerations, by analyzing residuals after fitting a baseline OLS model. We </w:t>
      </w:r>
      <w:r w:rsidR="008529FB" w:rsidRPr="002C22ED">
        <w:rPr>
          <w:rFonts w:ascii="Garamond" w:hAnsi="Garamond" w:cs="Times New Roman"/>
          <w:sz w:val="24"/>
          <w:szCs w:val="24"/>
        </w:rPr>
        <w:t xml:space="preserve">used two methods to identify outlier states: first, we </w:t>
      </w:r>
      <w:r w:rsidRPr="002C22ED">
        <w:rPr>
          <w:rFonts w:ascii="Garamond" w:hAnsi="Garamond" w:cs="Times New Roman"/>
          <w:sz w:val="24"/>
          <w:szCs w:val="24"/>
        </w:rPr>
        <w:t>eval</w:t>
      </w:r>
      <w:r w:rsidR="008529FB" w:rsidRPr="002C22ED">
        <w:rPr>
          <w:rFonts w:ascii="Garamond" w:hAnsi="Garamond" w:cs="Times New Roman"/>
          <w:sz w:val="24"/>
          <w:szCs w:val="24"/>
        </w:rPr>
        <w:t xml:space="preserve">uate the standardized residuals, the Cook’s distance, to determine outlier states, and second, we run a weighted regression and use the estimated weights to identify outlier states as estimated weights will decrease as residuals increase. With these two methods, we identify the following states with a large standard residual or small weights: Florida, Hawaii, Indiana, Michigan, Minnesota, and Utah. </w:t>
      </w:r>
      <w:r w:rsidR="00DC4BB8">
        <w:rPr>
          <w:rFonts w:ascii="Garamond" w:hAnsi="Garamond" w:cs="Times New Roman"/>
          <w:sz w:val="24"/>
          <w:szCs w:val="24"/>
        </w:rPr>
        <w:t>Therefore,</w:t>
      </w:r>
      <w:r w:rsidR="008529FB" w:rsidRPr="002C22ED">
        <w:rPr>
          <w:rFonts w:ascii="Garamond" w:hAnsi="Garamond" w:cs="Times New Roman"/>
          <w:sz w:val="24"/>
          <w:szCs w:val="24"/>
        </w:rPr>
        <w:t xml:space="preserve"> we include a dummy variable for each of these states </w:t>
      </w:r>
      <w:proofErr w:type="gramStart"/>
      <w:r w:rsidR="008529FB" w:rsidRPr="002C22ED">
        <w:rPr>
          <w:rFonts w:ascii="Garamond" w:hAnsi="Garamond" w:cs="Times New Roman"/>
          <w:sz w:val="24"/>
          <w:szCs w:val="24"/>
        </w:rPr>
        <w:t>in order to</w:t>
      </w:r>
      <w:proofErr w:type="gramEnd"/>
      <w:r w:rsidR="008529FB" w:rsidRPr="002C22ED">
        <w:rPr>
          <w:rFonts w:ascii="Garamond" w:hAnsi="Garamond" w:cs="Times New Roman"/>
          <w:sz w:val="24"/>
          <w:szCs w:val="24"/>
        </w:rPr>
        <w:t xml:space="preserve"> control the specific state heterogeneity not explained by the regressors in the model.</w:t>
      </w:r>
    </w:p>
    <w:p w14:paraId="51EBCAFB" w14:textId="42EC2440" w:rsidR="002E707F" w:rsidRPr="002C22ED" w:rsidRDefault="002E707F" w:rsidP="002E707F">
      <w:pPr>
        <w:autoSpaceDE w:val="0"/>
        <w:autoSpaceDN w:val="0"/>
        <w:adjustRightInd w:val="0"/>
        <w:spacing w:after="0" w:line="480" w:lineRule="auto"/>
        <w:rPr>
          <w:rFonts w:ascii="Garamond" w:hAnsi="Garamond" w:cs="Times New Roman"/>
          <w:sz w:val="24"/>
          <w:szCs w:val="24"/>
        </w:rPr>
      </w:pPr>
      <w:r w:rsidRPr="002C22ED">
        <w:rPr>
          <w:rFonts w:ascii="Garamond" w:hAnsi="Garamond" w:cs="Times New Roman"/>
          <w:b/>
          <w:i/>
          <w:sz w:val="24"/>
          <w:szCs w:val="24"/>
        </w:rPr>
        <w:lastRenderedPageBreak/>
        <w:t>Comparing the Full ECM with More Restricted Models</w:t>
      </w:r>
      <w:r w:rsidRPr="002C22ED">
        <w:rPr>
          <w:rFonts w:ascii="Garamond" w:hAnsi="Garamond" w:cs="Times New Roman"/>
          <w:sz w:val="24"/>
          <w:szCs w:val="24"/>
        </w:rPr>
        <w:tab/>
        <w:t xml:space="preserve"> </w:t>
      </w:r>
    </w:p>
    <w:p w14:paraId="5DD6EC34" w14:textId="0C8826FC" w:rsidR="00E106DD" w:rsidRPr="002C22ED" w:rsidRDefault="002E707F" w:rsidP="00E106DD">
      <w:pPr>
        <w:autoSpaceDE w:val="0"/>
        <w:autoSpaceDN w:val="0"/>
        <w:adjustRightInd w:val="0"/>
        <w:spacing w:after="0" w:line="480" w:lineRule="auto"/>
        <w:ind w:firstLine="720"/>
        <w:rPr>
          <w:rFonts w:ascii="Garamond" w:hAnsi="Garamond" w:cs="Times New Roman"/>
          <w:sz w:val="24"/>
          <w:szCs w:val="24"/>
        </w:rPr>
      </w:pPr>
      <w:proofErr w:type="spellStart"/>
      <w:r w:rsidRPr="002C22ED">
        <w:rPr>
          <w:rFonts w:ascii="Garamond" w:hAnsi="Garamond" w:cs="Times New Roman"/>
          <w:sz w:val="24"/>
          <w:szCs w:val="24"/>
        </w:rPr>
        <w:t>DeBoef</w:t>
      </w:r>
      <w:proofErr w:type="spellEnd"/>
      <w:r w:rsidRPr="002C22ED">
        <w:rPr>
          <w:rFonts w:ascii="Garamond" w:hAnsi="Garamond" w:cs="Times New Roman"/>
          <w:sz w:val="24"/>
          <w:szCs w:val="24"/>
        </w:rPr>
        <w:t xml:space="preserve"> and </w:t>
      </w:r>
      <w:proofErr w:type="spellStart"/>
      <w:r w:rsidRPr="002C22ED">
        <w:rPr>
          <w:rFonts w:ascii="Garamond" w:hAnsi="Garamond" w:cs="Times New Roman"/>
          <w:sz w:val="24"/>
          <w:szCs w:val="24"/>
        </w:rPr>
        <w:t>Keele</w:t>
      </w:r>
      <w:proofErr w:type="spellEnd"/>
      <w:r w:rsidRPr="002C22ED">
        <w:rPr>
          <w:rFonts w:ascii="Garamond" w:hAnsi="Garamond" w:cs="Times New Roman"/>
          <w:sz w:val="24"/>
          <w:szCs w:val="24"/>
        </w:rPr>
        <w:t xml:space="preserve"> (2</w:t>
      </w:r>
      <w:r w:rsidR="00AF5AA6" w:rsidRPr="002C22ED">
        <w:rPr>
          <w:rFonts w:ascii="Garamond" w:hAnsi="Garamond" w:cs="Times New Roman"/>
          <w:sz w:val="24"/>
          <w:szCs w:val="24"/>
        </w:rPr>
        <w:fldChar w:fldCharType="begin"/>
      </w:r>
      <w:r w:rsidR="00AF5AA6" w:rsidRPr="002C22ED">
        <w:rPr>
          <w:rFonts w:ascii="Garamond" w:hAnsi="Garamond" w:cs="Times New Roman"/>
          <w:sz w:val="24"/>
          <w:szCs w:val="24"/>
        </w:rPr>
        <w:instrText xml:space="preserve"> ADDIN EN.CITE &lt;EndNote&gt;&lt;Cite ExcludeAuth="1" ExcludeYear="1" Hidden="1"&gt;&lt;Author&gt;De Boef&lt;/Author&gt;&lt;Year&gt;2008&lt;/Year&gt;&lt;RecNum&gt;390&lt;/RecNum&gt;&lt;record&gt;&lt;rec-number&gt;390&lt;/rec-number&gt;&lt;foreign-keys&gt;&lt;key app="EN" db-id="dtexatpswrfd94etax55efrsvzxwv95f5dtv"&gt;390&lt;/key&gt;&lt;/foreign-keys&gt;&lt;ref-type name="Journal Article"&gt;17&lt;/ref-type&gt;&lt;contributors&gt;&lt;authors&gt;&lt;author&gt;De Boef, Suzanna&lt;/author&gt;&lt;author&gt;Keele, Luke &lt;/author&gt;&lt;/authors&gt;&lt;/contributors&gt;&lt;titles&gt;&lt;title&gt;Taking time seriously&lt;/title&gt;&lt;secondary-title&gt;American Journal of Political Science &lt;/secondary-title&gt;&lt;/titles&gt;&lt;periodical&gt;&lt;full-title&gt;American Journal of Political Science&lt;/full-title&gt;&lt;/periodical&gt;&lt;pages&gt;184–200&lt;/pages&gt;&lt;volume&gt;52&lt;/volume&gt;&lt;number&gt;1&lt;/number&gt;&lt;dates&gt;&lt;year&gt;2008&lt;/year&gt;&lt;/dates&gt;&lt;urls&gt;&lt;/urls&gt;&lt;/record&gt;&lt;/Cite&gt;&lt;/EndNote&gt;</w:instrText>
      </w:r>
      <w:r w:rsidR="00AF5AA6" w:rsidRPr="002C22ED">
        <w:rPr>
          <w:rFonts w:ascii="Garamond" w:hAnsi="Garamond" w:cs="Times New Roman"/>
          <w:sz w:val="24"/>
          <w:szCs w:val="24"/>
        </w:rPr>
        <w:fldChar w:fldCharType="end"/>
      </w:r>
      <w:r w:rsidRPr="002C22ED">
        <w:rPr>
          <w:rFonts w:ascii="Garamond" w:hAnsi="Garamond" w:cs="Times New Roman"/>
          <w:sz w:val="24"/>
          <w:szCs w:val="24"/>
        </w:rPr>
        <w:t>008)</w:t>
      </w:r>
      <w:r w:rsidR="00E106DD" w:rsidRPr="002C22ED">
        <w:rPr>
          <w:rFonts w:ascii="Garamond" w:hAnsi="Garamond" w:cs="Times New Roman"/>
          <w:sz w:val="24"/>
          <w:szCs w:val="24"/>
        </w:rPr>
        <w:t xml:space="preserve"> suggest that ECM </w:t>
      </w:r>
      <w:r w:rsidR="00473F50">
        <w:rPr>
          <w:rFonts w:ascii="Garamond" w:hAnsi="Garamond" w:cs="Times New Roman"/>
          <w:sz w:val="24"/>
          <w:szCs w:val="24"/>
        </w:rPr>
        <w:t xml:space="preserve">is </w:t>
      </w:r>
      <w:r w:rsidR="007F59D2" w:rsidRPr="002C22ED">
        <w:rPr>
          <w:rFonts w:ascii="Garamond" w:hAnsi="Garamond" w:cs="Times New Roman"/>
          <w:sz w:val="24"/>
          <w:szCs w:val="24"/>
        </w:rPr>
        <w:t xml:space="preserve">used in </w:t>
      </w:r>
      <w:r w:rsidR="00E106DD" w:rsidRPr="002C22ED">
        <w:rPr>
          <w:rFonts w:ascii="Garamond" w:hAnsi="Garamond" w:cs="Times New Roman"/>
          <w:sz w:val="24"/>
          <w:szCs w:val="24"/>
        </w:rPr>
        <w:t>data scenarios</w:t>
      </w:r>
      <w:r w:rsidR="007F59D2" w:rsidRPr="002C22ED">
        <w:rPr>
          <w:rFonts w:ascii="Garamond" w:hAnsi="Garamond" w:cs="Times New Roman"/>
          <w:sz w:val="24"/>
          <w:szCs w:val="24"/>
        </w:rPr>
        <w:t xml:space="preserve"> such as when one has</w:t>
      </w:r>
      <w:r w:rsidR="00E106DD" w:rsidRPr="002C22ED">
        <w:rPr>
          <w:rFonts w:ascii="Garamond" w:hAnsi="Garamond" w:cs="Times New Roman"/>
          <w:sz w:val="24"/>
          <w:szCs w:val="24"/>
        </w:rPr>
        <w:t xml:space="preserve"> stationary </w:t>
      </w:r>
      <w:r w:rsidR="002D5284" w:rsidRPr="002C22ED">
        <w:rPr>
          <w:rFonts w:ascii="Garamond" w:hAnsi="Garamond" w:cs="Times New Roman"/>
          <w:sz w:val="24"/>
          <w:szCs w:val="24"/>
        </w:rPr>
        <w:t>dependent variables</w:t>
      </w:r>
      <w:r w:rsidR="007F59D2" w:rsidRPr="002C22ED">
        <w:rPr>
          <w:rFonts w:ascii="Garamond" w:hAnsi="Garamond" w:cs="Times New Roman"/>
          <w:sz w:val="24"/>
          <w:szCs w:val="24"/>
        </w:rPr>
        <w:t>. They also suggest that r</w:t>
      </w:r>
      <w:r w:rsidR="00E106DD" w:rsidRPr="002C22ED">
        <w:rPr>
          <w:rFonts w:ascii="Garamond" w:hAnsi="Garamond" w:cs="Times New Roman"/>
          <w:sz w:val="24"/>
          <w:szCs w:val="24"/>
        </w:rPr>
        <w:t xml:space="preserve">esearchers should always start with a full ECM and then use joint F tests to determine </w:t>
      </w:r>
      <w:r w:rsidR="004B3469" w:rsidRPr="002C22ED">
        <w:rPr>
          <w:rFonts w:ascii="Garamond" w:hAnsi="Garamond" w:cs="Times New Roman"/>
          <w:sz w:val="24"/>
          <w:szCs w:val="24"/>
        </w:rPr>
        <w:t xml:space="preserve">if </w:t>
      </w:r>
      <w:r w:rsidR="00E106DD" w:rsidRPr="002C22ED">
        <w:rPr>
          <w:rFonts w:ascii="Garamond" w:hAnsi="Garamond" w:cs="Times New Roman"/>
          <w:sz w:val="24"/>
          <w:szCs w:val="24"/>
        </w:rPr>
        <w:t xml:space="preserve">more parsimonious dynamic specifications are appropriate. Following their suggestion and </w:t>
      </w:r>
      <w:proofErr w:type="gramStart"/>
      <w:r w:rsidR="00E106DD" w:rsidRPr="002C22ED">
        <w:rPr>
          <w:rFonts w:ascii="Garamond" w:hAnsi="Garamond" w:cs="Times New Roman"/>
          <w:sz w:val="24"/>
          <w:szCs w:val="24"/>
        </w:rPr>
        <w:t>i</w:t>
      </w:r>
      <w:r w:rsidRPr="002C22ED">
        <w:rPr>
          <w:rFonts w:ascii="Garamond" w:hAnsi="Garamond" w:cs="Times New Roman"/>
          <w:sz w:val="24"/>
          <w:szCs w:val="24"/>
        </w:rPr>
        <w:t>n order to</w:t>
      </w:r>
      <w:proofErr w:type="gramEnd"/>
      <w:r w:rsidRPr="002C22ED">
        <w:rPr>
          <w:rFonts w:ascii="Garamond" w:hAnsi="Garamond" w:cs="Times New Roman"/>
          <w:sz w:val="24"/>
          <w:szCs w:val="24"/>
        </w:rPr>
        <w:t xml:space="preserve"> make sure that a full dynamic model is necessary, we compare a full ECM with</w:t>
      </w:r>
      <w:r w:rsidR="00E106DD" w:rsidRPr="002C22ED">
        <w:rPr>
          <w:rFonts w:ascii="Garamond" w:hAnsi="Garamond" w:cs="Times New Roman"/>
          <w:sz w:val="24"/>
          <w:szCs w:val="24"/>
        </w:rPr>
        <w:t xml:space="preserve"> the </w:t>
      </w:r>
      <w:r w:rsidRPr="002C22ED">
        <w:rPr>
          <w:rFonts w:ascii="Garamond" w:hAnsi="Garamond" w:cs="Times New Roman"/>
          <w:sz w:val="24"/>
          <w:szCs w:val="24"/>
        </w:rPr>
        <w:t>Partial Adjustment model</w:t>
      </w:r>
      <w:r w:rsidR="00E106DD" w:rsidRPr="002C22ED">
        <w:rPr>
          <w:rFonts w:ascii="Garamond" w:hAnsi="Garamond" w:cs="Times New Roman"/>
          <w:sz w:val="24"/>
          <w:szCs w:val="24"/>
        </w:rPr>
        <w:t>. The specifications of the two models are as</w:t>
      </w:r>
      <w:r w:rsidR="00844604">
        <w:rPr>
          <w:rFonts w:ascii="Garamond" w:hAnsi="Garamond" w:cs="Times New Roman"/>
          <w:sz w:val="24"/>
          <w:szCs w:val="24"/>
        </w:rPr>
        <w:t xml:space="preserve"> follows</w:t>
      </w:r>
      <w:r w:rsidR="00E106DD" w:rsidRPr="002C22ED">
        <w:rPr>
          <w:rFonts w:ascii="Garamond" w:hAnsi="Garamond" w:cs="Times New Roman"/>
          <w:sz w:val="24"/>
          <w:szCs w:val="24"/>
        </w:rPr>
        <w:t>:</w:t>
      </w:r>
    </w:p>
    <w:p w14:paraId="19306BBF" w14:textId="77777777" w:rsidR="00E106DD" w:rsidRPr="002C22ED" w:rsidRDefault="00E106DD" w:rsidP="00E106DD">
      <w:pPr>
        <w:autoSpaceDE w:val="0"/>
        <w:autoSpaceDN w:val="0"/>
        <w:adjustRightInd w:val="0"/>
        <w:spacing w:after="0" w:line="480" w:lineRule="auto"/>
        <w:rPr>
          <w:rFonts w:ascii="Garamond" w:hAnsi="Garamond" w:cs="Times New Roman"/>
          <w:sz w:val="24"/>
          <w:szCs w:val="24"/>
        </w:rPr>
      </w:pPr>
      <w:r w:rsidRPr="002C22ED">
        <w:rPr>
          <w:rFonts w:ascii="Garamond" w:hAnsi="Garamond" w:cs="Times New Roman"/>
          <w:sz w:val="24"/>
          <w:szCs w:val="24"/>
        </w:rPr>
        <w:t>General ECM model: ∆</w:t>
      </w:r>
      <w:proofErr w:type="spellStart"/>
      <w:proofErr w:type="gramStart"/>
      <w:r w:rsidRPr="002C22ED">
        <w:rPr>
          <w:rFonts w:ascii="Garamond" w:hAnsi="Garamond" w:cs="Times New Roman"/>
          <w:sz w:val="24"/>
          <w:szCs w:val="24"/>
        </w:rPr>
        <w:t>Y</w:t>
      </w:r>
      <w:r w:rsidRPr="002C22ED">
        <w:rPr>
          <w:rFonts w:ascii="Garamond" w:hAnsi="Garamond" w:cs="Times New Roman"/>
          <w:sz w:val="24"/>
          <w:szCs w:val="24"/>
          <w:vertAlign w:val="subscript"/>
        </w:rPr>
        <w:t>i,t</w:t>
      </w:r>
      <w:proofErr w:type="spellEnd"/>
      <w:proofErr w:type="gramEnd"/>
      <w:r w:rsidRPr="002C22ED">
        <w:rPr>
          <w:rFonts w:ascii="Garamond" w:hAnsi="Garamond" w:cs="Times New Roman"/>
          <w:sz w:val="24"/>
          <w:szCs w:val="24"/>
        </w:rPr>
        <w:t xml:space="preserve"> = a + b</w:t>
      </w:r>
      <w:r w:rsidRPr="002C22ED">
        <w:rPr>
          <w:rFonts w:ascii="Garamond" w:hAnsi="Garamond" w:cs="Times New Roman"/>
          <w:sz w:val="24"/>
          <w:szCs w:val="24"/>
          <w:vertAlign w:val="subscript"/>
        </w:rPr>
        <w:t>1</w:t>
      </w:r>
      <w:r w:rsidRPr="002C22ED">
        <w:rPr>
          <w:rFonts w:ascii="Garamond" w:hAnsi="Garamond" w:cs="Times New Roman"/>
          <w:sz w:val="24"/>
          <w:szCs w:val="24"/>
        </w:rPr>
        <w:t xml:space="preserve"> × Y</w:t>
      </w:r>
      <w:r w:rsidRPr="002C22ED">
        <w:rPr>
          <w:rFonts w:ascii="Garamond" w:hAnsi="Garamond" w:cs="Times New Roman"/>
          <w:sz w:val="24"/>
          <w:szCs w:val="24"/>
          <w:vertAlign w:val="subscript"/>
        </w:rPr>
        <w:t xml:space="preserve"> i,t-1</w:t>
      </w:r>
      <w:r w:rsidRPr="002C22ED">
        <w:rPr>
          <w:rFonts w:ascii="Garamond" w:hAnsi="Garamond" w:cs="Times New Roman"/>
          <w:sz w:val="24"/>
          <w:szCs w:val="24"/>
        </w:rPr>
        <w:t xml:space="preserve"> + b</w:t>
      </w:r>
      <w:r w:rsidRPr="002C22ED">
        <w:rPr>
          <w:rFonts w:ascii="Garamond" w:hAnsi="Garamond" w:cs="Times New Roman"/>
          <w:sz w:val="24"/>
          <w:szCs w:val="24"/>
          <w:vertAlign w:val="subscript"/>
        </w:rPr>
        <w:t>2</w:t>
      </w:r>
      <w:r w:rsidRPr="002C22ED">
        <w:rPr>
          <w:rFonts w:ascii="Garamond" w:hAnsi="Garamond" w:cs="Times New Roman"/>
          <w:sz w:val="24"/>
          <w:szCs w:val="24"/>
        </w:rPr>
        <w:t xml:space="preserve"> × ∆</w:t>
      </w:r>
      <w:proofErr w:type="spellStart"/>
      <w:r w:rsidRPr="002C22ED">
        <w:rPr>
          <w:rFonts w:ascii="Garamond" w:hAnsi="Garamond" w:cs="Times New Roman"/>
          <w:sz w:val="24"/>
          <w:szCs w:val="24"/>
        </w:rPr>
        <w:t>X</w:t>
      </w:r>
      <w:r w:rsidRPr="002C22ED">
        <w:rPr>
          <w:rFonts w:ascii="Garamond" w:hAnsi="Garamond" w:cs="Times New Roman"/>
          <w:sz w:val="24"/>
          <w:szCs w:val="24"/>
          <w:vertAlign w:val="subscript"/>
        </w:rPr>
        <w:t>i,t</w:t>
      </w:r>
      <w:proofErr w:type="spellEnd"/>
      <w:r w:rsidRPr="002C22ED">
        <w:rPr>
          <w:rFonts w:ascii="Garamond" w:hAnsi="Garamond" w:cs="Times New Roman"/>
          <w:sz w:val="24"/>
          <w:szCs w:val="24"/>
        </w:rPr>
        <w:t xml:space="preserve"> + b</w:t>
      </w:r>
      <w:r w:rsidRPr="002C22ED">
        <w:rPr>
          <w:rFonts w:ascii="Garamond" w:hAnsi="Garamond" w:cs="Times New Roman"/>
          <w:sz w:val="24"/>
          <w:szCs w:val="24"/>
          <w:vertAlign w:val="subscript"/>
        </w:rPr>
        <w:t>3</w:t>
      </w:r>
      <w:r w:rsidRPr="002C22ED">
        <w:rPr>
          <w:rFonts w:ascii="Garamond" w:hAnsi="Garamond" w:cs="Times New Roman"/>
          <w:sz w:val="24"/>
          <w:szCs w:val="24"/>
        </w:rPr>
        <w:t xml:space="preserve"> × X</w:t>
      </w:r>
      <w:r w:rsidRPr="002C22ED">
        <w:rPr>
          <w:rFonts w:ascii="Garamond" w:hAnsi="Garamond" w:cs="Times New Roman"/>
          <w:sz w:val="24"/>
          <w:szCs w:val="24"/>
          <w:vertAlign w:val="subscript"/>
        </w:rPr>
        <w:t xml:space="preserve"> i,t-1</w:t>
      </w:r>
      <w:r w:rsidRPr="002C22ED">
        <w:rPr>
          <w:rFonts w:ascii="Garamond" w:hAnsi="Garamond" w:cs="Times New Roman"/>
          <w:sz w:val="24"/>
          <w:szCs w:val="24"/>
        </w:rPr>
        <w:t xml:space="preserve"> + e</w:t>
      </w:r>
      <w:r w:rsidRPr="002C22ED">
        <w:rPr>
          <w:rFonts w:ascii="Garamond" w:hAnsi="Garamond" w:cs="Times New Roman"/>
          <w:sz w:val="24"/>
          <w:szCs w:val="24"/>
          <w:vertAlign w:val="subscript"/>
        </w:rPr>
        <w:t xml:space="preserve"> </w:t>
      </w:r>
      <w:proofErr w:type="spellStart"/>
      <w:r w:rsidRPr="002C22ED">
        <w:rPr>
          <w:rFonts w:ascii="Garamond" w:hAnsi="Garamond" w:cs="Times New Roman"/>
          <w:sz w:val="24"/>
          <w:szCs w:val="24"/>
          <w:vertAlign w:val="subscript"/>
        </w:rPr>
        <w:t>i,t</w:t>
      </w:r>
      <w:proofErr w:type="spellEnd"/>
    </w:p>
    <w:p w14:paraId="71A24498" w14:textId="77777777" w:rsidR="00E106DD" w:rsidRPr="002C22ED" w:rsidRDefault="00E106DD" w:rsidP="00E106DD">
      <w:pPr>
        <w:autoSpaceDE w:val="0"/>
        <w:autoSpaceDN w:val="0"/>
        <w:adjustRightInd w:val="0"/>
        <w:spacing w:after="0" w:line="480" w:lineRule="auto"/>
        <w:rPr>
          <w:rFonts w:ascii="Garamond" w:hAnsi="Garamond" w:cs="Times New Roman"/>
          <w:sz w:val="24"/>
          <w:szCs w:val="24"/>
        </w:rPr>
      </w:pPr>
      <w:r w:rsidRPr="002C22ED">
        <w:rPr>
          <w:rFonts w:ascii="Garamond" w:hAnsi="Garamond" w:cs="Times New Roman"/>
          <w:sz w:val="24"/>
          <w:szCs w:val="24"/>
        </w:rPr>
        <w:t>Partial Adjustment model: ∆</w:t>
      </w:r>
      <w:proofErr w:type="spellStart"/>
      <w:proofErr w:type="gramStart"/>
      <w:r w:rsidRPr="002C22ED">
        <w:rPr>
          <w:rFonts w:ascii="Garamond" w:hAnsi="Garamond" w:cs="Times New Roman"/>
          <w:sz w:val="24"/>
          <w:szCs w:val="24"/>
        </w:rPr>
        <w:t>Y</w:t>
      </w:r>
      <w:r w:rsidRPr="002C22ED">
        <w:rPr>
          <w:rFonts w:ascii="Garamond" w:hAnsi="Garamond" w:cs="Times New Roman"/>
          <w:sz w:val="24"/>
          <w:szCs w:val="24"/>
          <w:vertAlign w:val="subscript"/>
        </w:rPr>
        <w:t>i,t</w:t>
      </w:r>
      <w:proofErr w:type="spellEnd"/>
      <w:proofErr w:type="gramEnd"/>
      <w:r w:rsidRPr="002C22ED">
        <w:rPr>
          <w:rFonts w:ascii="Garamond" w:hAnsi="Garamond" w:cs="Times New Roman"/>
          <w:sz w:val="24"/>
          <w:szCs w:val="24"/>
        </w:rPr>
        <w:t xml:space="preserve"> = a + b</w:t>
      </w:r>
      <w:r w:rsidRPr="002C22ED">
        <w:rPr>
          <w:rFonts w:ascii="Garamond" w:hAnsi="Garamond" w:cs="Times New Roman"/>
          <w:sz w:val="24"/>
          <w:szCs w:val="24"/>
          <w:vertAlign w:val="subscript"/>
        </w:rPr>
        <w:t>1</w:t>
      </w:r>
      <w:r w:rsidRPr="002C22ED">
        <w:rPr>
          <w:rFonts w:ascii="Garamond" w:hAnsi="Garamond" w:cs="Times New Roman"/>
          <w:sz w:val="24"/>
          <w:szCs w:val="24"/>
        </w:rPr>
        <w:t xml:space="preserve"> × Y</w:t>
      </w:r>
      <w:r w:rsidRPr="002C22ED">
        <w:rPr>
          <w:rFonts w:ascii="Garamond" w:hAnsi="Garamond" w:cs="Times New Roman"/>
          <w:sz w:val="24"/>
          <w:szCs w:val="24"/>
          <w:vertAlign w:val="subscript"/>
        </w:rPr>
        <w:t>i,t-1</w:t>
      </w:r>
      <w:r w:rsidRPr="002C22ED">
        <w:rPr>
          <w:rFonts w:ascii="Garamond" w:hAnsi="Garamond" w:cs="Times New Roman"/>
          <w:sz w:val="24"/>
          <w:szCs w:val="24"/>
        </w:rPr>
        <w:t xml:space="preserve"> + b</w:t>
      </w:r>
      <w:r w:rsidRPr="002C22ED">
        <w:rPr>
          <w:rFonts w:ascii="Garamond" w:hAnsi="Garamond" w:cs="Times New Roman"/>
          <w:sz w:val="24"/>
          <w:szCs w:val="24"/>
          <w:vertAlign w:val="subscript"/>
        </w:rPr>
        <w:t>2</w:t>
      </w:r>
      <w:r w:rsidRPr="002C22ED">
        <w:rPr>
          <w:rFonts w:ascii="Garamond" w:hAnsi="Garamond" w:cs="Times New Roman"/>
          <w:sz w:val="24"/>
          <w:szCs w:val="24"/>
        </w:rPr>
        <w:t xml:space="preserve"> × </w:t>
      </w:r>
      <w:proofErr w:type="spellStart"/>
      <w:r w:rsidRPr="002C22ED">
        <w:rPr>
          <w:rFonts w:ascii="Garamond" w:hAnsi="Garamond" w:cs="Times New Roman"/>
          <w:sz w:val="24"/>
          <w:szCs w:val="24"/>
        </w:rPr>
        <w:t>X</w:t>
      </w:r>
      <w:r w:rsidRPr="002C22ED">
        <w:rPr>
          <w:rFonts w:ascii="Garamond" w:hAnsi="Garamond" w:cs="Times New Roman"/>
          <w:sz w:val="24"/>
          <w:szCs w:val="24"/>
          <w:vertAlign w:val="subscript"/>
        </w:rPr>
        <w:t>i,t</w:t>
      </w:r>
      <w:proofErr w:type="spellEnd"/>
      <w:r w:rsidRPr="002C22ED">
        <w:rPr>
          <w:rFonts w:ascii="Garamond" w:hAnsi="Garamond" w:cs="Times New Roman"/>
          <w:sz w:val="24"/>
          <w:szCs w:val="24"/>
        </w:rPr>
        <w:t xml:space="preserve"> + </w:t>
      </w:r>
      <w:proofErr w:type="spellStart"/>
      <w:r w:rsidRPr="002C22ED">
        <w:rPr>
          <w:rFonts w:ascii="Garamond" w:hAnsi="Garamond" w:cs="Times New Roman"/>
          <w:sz w:val="24"/>
          <w:szCs w:val="24"/>
        </w:rPr>
        <w:t>e</w:t>
      </w:r>
      <w:r w:rsidRPr="002C22ED">
        <w:rPr>
          <w:rFonts w:ascii="Garamond" w:hAnsi="Garamond" w:cs="Times New Roman"/>
          <w:sz w:val="24"/>
          <w:szCs w:val="24"/>
          <w:vertAlign w:val="subscript"/>
        </w:rPr>
        <w:t>i,t</w:t>
      </w:r>
      <w:proofErr w:type="spellEnd"/>
      <w:r w:rsidRPr="002C22ED">
        <w:rPr>
          <w:rFonts w:ascii="Garamond" w:hAnsi="Garamond" w:cs="Times New Roman"/>
          <w:sz w:val="24"/>
          <w:szCs w:val="24"/>
        </w:rPr>
        <w:t xml:space="preserve"> </w:t>
      </w:r>
    </w:p>
    <w:p w14:paraId="792E5C9F" w14:textId="26D0223E" w:rsidR="00712108" w:rsidRPr="002C22ED" w:rsidRDefault="00E106DD" w:rsidP="006C359A">
      <w:pPr>
        <w:autoSpaceDE w:val="0"/>
        <w:autoSpaceDN w:val="0"/>
        <w:adjustRightInd w:val="0"/>
        <w:spacing w:after="0" w:line="480" w:lineRule="auto"/>
        <w:ind w:firstLine="720"/>
        <w:rPr>
          <w:rFonts w:ascii="Garamond" w:hAnsi="Garamond" w:cs="Times New Roman"/>
          <w:sz w:val="24"/>
          <w:szCs w:val="24"/>
        </w:rPr>
      </w:pPr>
      <w:r w:rsidRPr="002C22ED">
        <w:rPr>
          <w:rFonts w:ascii="Garamond" w:hAnsi="Garamond" w:cs="Times New Roman"/>
          <w:sz w:val="24"/>
          <w:szCs w:val="24"/>
        </w:rPr>
        <w:t xml:space="preserve">To begin, we eliminate the first-difference terms of all control </w:t>
      </w:r>
      <w:r w:rsidR="00D23030" w:rsidRPr="002C22ED">
        <w:rPr>
          <w:rFonts w:ascii="Garamond" w:hAnsi="Garamond" w:cs="Times New Roman"/>
          <w:sz w:val="24"/>
          <w:szCs w:val="24"/>
        </w:rPr>
        <w:t>variables and</w:t>
      </w:r>
      <w:r w:rsidRPr="002C22ED">
        <w:rPr>
          <w:rFonts w:ascii="Garamond" w:hAnsi="Garamond" w:cs="Times New Roman"/>
          <w:sz w:val="24"/>
          <w:szCs w:val="24"/>
        </w:rPr>
        <w:t xml:space="preserve"> use a joint F test to compare the general ECM and the restricted model. We have obtained a </w:t>
      </w:r>
      <w:proofErr w:type="gramStart"/>
      <w:r w:rsidRPr="002C22ED">
        <w:rPr>
          <w:rFonts w:ascii="Garamond" w:hAnsi="Garamond" w:cs="Times New Roman"/>
          <w:sz w:val="24"/>
          <w:szCs w:val="24"/>
        </w:rPr>
        <w:t>F statistics</w:t>
      </w:r>
      <w:proofErr w:type="gramEnd"/>
      <w:r w:rsidRPr="002C22ED">
        <w:rPr>
          <w:rFonts w:ascii="Garamond" w:hAnsi="Garamond" w:cs="Times New Roman"/>
          <w:sz w:val="24"/>
          <w:szCs w:val="24"/>
        </w:rPr>
        <w:t xml:space="preserve"> of </w:t>
      </w:r>
      <w:r w:rsidR="008529FB" w:rsidRPr="002C22ED">
        <w:rPr>
          <w:rFonts w:ascii="Garamond" w:hAnsi="Garamond" w:cs="Times New Roman"/>
          <w:sz w:val="24"/>
          <w:szCs w:val="24"/>
        </w:rPr>
        <w:t>1.77</w:t>
      </w:r>
      <w:r w:rsidRPr="002C22ED">
        <w:rPr>
          <w:rFonts w:ascii="Garamond" w:hAnsi="Garamond" w:cs="Times New Roman"/>
          <w:sz w:val="24"/>
          <w:szCs w:val="24"/>
        </w:rPr>
        <w:t xml:space="preserve"> (p=</w:t>
      </w:r>
      <w:r w:rsidR="00737A2A" w:rsidRPr="002C22ED">
        <w:rPr>
          <w:rFonts w:ascii="Garamond" w:hAnsi="Garamond" w:cs="Times New Roman"/>
          <w:sz w:val="24"/>
          <w:szCs w:val="24"/>
        </w:rPr>
        <w:t>0.08</w:t>
      </w:r>
      <w:r w:rsidRPr="002C22ED">
        <w:rPr>
          <w:rFonts w:ascii="Garamond" w:hAnsi="Garamond" w:cs="Times New Roman"/>
          <w:sz w:val="24"/>
          <w:szCs w:val="24"/>
        </w:rPr>
        <w:t xml:space="preserve">), indicating that the coefficients for the first-difference terms of the control variables </w:t>
      </w:r>
      <w:r w:rsidR="00712108" w:rsidRPr="002C22ED">
        <w:rPr>
          <w:rFonts w:ascii="Garamond" w:hAnsi="Garamond" w:cs="Times New Roman"/>
          <w:sz w:val="24"/>
          <w:szCs w:val="24"/>
        </w:rPr>
        <w:t>are not</w:t>
      </w:r>
      <w:r w:rsidRPr="002C22ED">
        <w:rPr>
          <w:rFonts w:ascii="Garamond" w:hAnsi="Garamond" w:cs="Times New Roman"/>
          <w:sz w:val="24"/>
          <w:szCs w:val="24"/>
        </w:rPr>
        <w:t xml:space="preserve"> significantly different from zero, or in other words</w:t>
      </w:r>
      <w:r w:rsidR="00712108" w:rsidRPr="002C22ED">
        <w:rPr>
          <w:rFonts w:ascii="Garamond" w:hAnsi="Garamond" w:cs="Times New Roman"/>
          <w:sz w:val="24"/>
          <w:szCs w:val="24"/>
        </w:rPr>
        <w:t xml:space="preserve"> the Partial Adjustment Model that excludes first-difference terms of all control variables is </w:t>
      </w:r>
      <w:r w:rsidRPr="002C22ED">
        <w:rPr>
          <w:rFonts w:ascii="Garamond" w:hAnsi="Garamond" w:cs="Times New Roman"/>
          <w:sz w:val="24"/>
          <w:szCs w:val="24"/>
        </w:rPr>
        <w:t xml:space="preserve">nested in a full ECM. </w:t>
      </w:r>
    </w:p>
    <w:p w14:paraId="02A44510" w14:textId="5E4C4FD0" w:rsidR="00712108" w:rsidRPr="002C22ED" w:rsidRDefault="00712108" w:rsidP="00712108">
      <w:pPr>
        <w:autoSpaceDE w:val="0"/>
        <w:autoSpaceDN w:val="0"/>
        <w:adjustRightInd w:val="0"/>
        <w:spacing w:after="0" w:line="480" w:lineRule="auto"/>
        <w:ind w:firstLine="720"/>
        <w:rPr>
          <w:rFonts w:ascii="Garamond" w:hAnsi="Garamond" w:cs="Times New Roman"/>
          <w:sz w:val="24"/>
          <w:szCs w:val="24"/>
        </w:rPr>
      </w:pPr>
      <w:r w:rsidRPr="002C22ED">
        <w:rPr>
          <w:rFonts w:ascii="Garamond" w:hAnsi="Garamond" w:cs="Times New Roman"/>
          <w:sz w:val="24"/>
          <w:szCs w:val="24"/>
        </w:rPr>
        <w:t>We then take a step further and estimate another restricted Partial Adjustment Model that excludes first-difference terms of all right-hand-side variables (i.e., independent variables and control variables). We conduct a joint F test and obtain a</w:t>
      </w:r>
      <w:r w:rsidR="002D5284" w:rsidRPr="002C22ED">
        <w:rPr>
          <w:rFonts w:ascii="Garamond" w:hAnsi="Garamond" w:cs="Times New Roman"/>
          <w:sz w:val="24"/>
          <w:szCs w:val="24"/>
        </w:rPr>
        <w:t>n</w:t>
      </w:r>
      <w:r w:rsidRPr="002C22ED">
        <w:rPr>
          <w:rFonts w:ascii="Garamond" w:hAnsi="Garamond" w:cs="Times New Roman"/>
          <w:sz w:val="24"/>
          <w:szCs w:val="24"/>
        </w:rPr>
        <w:t xml:space="preserve"> </w:t>
      </w:r>
      <w:proofErr w:type="gramStart"/>
      <w:r w:rsidRPr="002C22ED">
        <w:rPr>
          <w:rFonts w:ascii="Garamond" w:hAnsi="Garamond" w:cs="Times New Roman"/>
          <w:sz w:val="24"/>
          <w:szCs w:val="24"/>
        </w:rPr>
        <w:t>F statistics</w:t>
      </w:r>
      <w:proofErr w:type="gramEnd"/>
      <w:r w:rsidRPr="002C22ED">
        <w:rPr>
          <w:rFonts w:ascii="Garamond" w:hAnsi="Garamond" w:cs="Times New Roman"/>
          <w:sz w:val="24"/>
          <w:szCs w:val="24"/>
        </w:rPr>
        <w:t xml:space="preserve"> of </w:t>
      </w:r>
      <w:r w:rsidR="00737A2A" w:rsidRPr="002C22ED">
        <w:rPr>
          <w:rFonts w:ascii="Garamond" w:hAnsi="Garamond" w:cs="Times New Roman"/>
          <w:sz w:val="24"/>
          <w:szCs w:val="24"/>
        </w:rPr>
        <w:t>3.49</w:t>
      </w:r>
      <w:r w:rsidRPr="002C22ED">
        <w:rPr>
          <w:rFonts w:ascii="Garamond" w:hAnsi="Garamond" w:cs="Times New Roman"/>
          <w:sz w:val="24"/>
          <w:szCs w:val="24"/>
        </w:rPr>
        <w:t xml:space="preserve"> (p=</w:t>
      </w:r>
      <w:r w:rsidR="00737A2A" w:rsidRPr="002C22ED">
        <w:rPr>
          <w:rFonts w:ascii="Garamond" w:hAnsi="Garamond" w:cs="Times New Roman"/>
          <w:sz w:val="24"/>
          <w:szCs w:val="24"/>
        </w:rPr>
        <w:t>0.0001</w:t>
      </w:r>
      <w:r w:rsidRPr="002C22ED">
        <w:rPr>
          <w:rFonts w:ascii="Garamond" w:hAnsi="Garamond" w:cs="Times New Roman"/>
          <w:sz w:val="24"/>
          <w:szCs w:val="24"/>
        </w:rPr>
        <w:t>). This result indicates that the coefficients for the first-difference terms of our independent variables are significantly different from zero, or in other words</w:t>
      </w:r>
      <w:r w:rsidR="00473F50">
        <w:rPr>
          <w:rFonts w:ascii="Garamond" w:hAnsi="Garamond" w:cs="Times New Roman"/>
          <w:sz w:val="24"/>
          <w:szCs w:val="24"/>
        </w:rPr>
        <w:t>,</w:t>
      </w:r>
      <w:r w:rsidRPr="002C22ED">
        <w:rPr>
          <w:rFonts w:ascii="Garamond" w:hAnsi="Garamond" w:cs="Times New Roman"/>
          <w:sz w:val="24"/>
          <w:szCs w:val="24"/>
        </w:rPr>
        <w:t xml:space="preserve"> this Partial Adjustment Model that excludes first-difference terms of </w:t>
      </w:r>
      <w:r w:rsidR="002D5284" w:rsidRPr="002C22ED">
        <w:rPr>
          <w:rFonts w:ascii="Garamond" w:hAnsi="Garamond" w:cs="Times New Roman"/>
          <w:sz w:val="24"/>
          <w:szCs w:val="24"/>
        </w:rPr>
        <w:t xml:space="preserve">all right-hand-side </w:t>
      </w:r>
      <w:r w:rsidRPr="002C22ED">
        <w:rPr>
          <w:rFonts w:ascii="Garamond" w:hAnsi="Garamond" w:cs="Times New Roman"/>
          <w:sz w:val="24"/>
          <w:szCs w:val="24"/>
        </w:rPr>
        <w:t xml:space="preserve">variables is </w:t>
      </w:r>
      <w:r w:rsidRPr="002C22ED">
        <w:rPr>
          <w:rFonts w:ascii="Garamond" w:hAnsi="Garamond" w:cs="Times New Roman"/>
          <w:i/>
          <w:sz w:val="24"/>
          <w:szCs w:val="24"/>
        </w:rPr>
        <w:t>not</w:t>
      </w:r>
      <w:r w:rsidRPr="002C22ED">
        <w:rPr>
          <w:rFonts w:ascii="Garamond" w:hAnsi="Garamond" w:cs="Times New Roman"/>
          <w:sz w:val="24"/>
          <w:szCs w:val="24"/>
        </w:rPr>
        <w:t xml:space="preserve"> nested in a full ECM. </w:t>
      </w:r>
    </w:p>
    <w:p w14:paraId="524BC8BD" w14:textId="4614DE9B" w:rsidR="00174FE8" w:rsidRDefault="00E106DD" w:rsidP="00174FE8">
      <w:pPr>
        <w:autoSpaceDE w:val="0"/>
        <w:autoSpaceDN w:val="0"/>
        <w:adjustRightInd w:val="0"/>
        <w:spacing w:after="0" w:line="480" w:lineRule="auto"/>
        <w:ind w:firstLine="720"/>
      </w:pPr>
      <w:r w:rsidRPr="002C22ED">
        <w:rPr>
          <w:rFonts w:ascii="Garamond" w:hAnsi="Garamond" w:cs="Times New Roman"/>
          <w:sz w:val="24"/>
          <w:szCs w:val="24"/>
        </w:rPr>
        <w:t xml:space="preserve">In conclusion, </w:t>
      </w:r>
      <w:r w:rsidR="00712108" w:rsidRPr="002C22ED">
        <w:rPr>
          <w:rFonts w:ascii="Garamond" w:hAnsi="Garamond" w:cs="Times New Roman"/>
          <w:sz w:val="24"/>
          <w:szCs w:val="24"/>
        </w:rPr>
        <w:t xml:space="preserve">it is </w:t>
      </w:r>
      <w:r w:rsidR="002D5284" w:rsidRPr="002C22ED">
        <w:rPr>
          <w:rFonts w:ascii="Garamond" w:hAnsi="Garamond" w:cs="Times New Roman"/>
          <w:sz w:val="24"/>
          <w:szCs w:val="24"/>
        </w:rPr>
        <w:t>appropriate</w:t>
      </w:r>
      <w:r w:rsidR="00712108" w:rsidRPr="002C22ED">
        <w:rPr>
          <w:rFonts w:ascii="Garamond" w:hAnsi="Garamond" w:cs="Times New Roman"/>
          <w:sz w:val="24"/>
          <w:szCs w:val="24"/>
        </w:rPr>
        <w:t xml:space="preserve"> for us to exclude first-difference terms of the control variables, but not appropriate to exclude first-difference terms of our independent variables. </w:t>
      </w:r>
    </w:p>
    <w:p w14:paraId="7BBD59A7" w14:textId="36ADFB66" w:rsidR="002C22ED" w:rsidRPr="00105532" w:rsidRDefault="005A7FAC" w:rsidP="002307E4">
      <w:pPr>
        <w:autoSpaceDE w:val="0"/>
        <w:autoSpaceDN w:val="0"/>
        <w:adjustRightInd w:val="0"/>
        <w:spacing w:after="0" w:line="480" w:lineRule="auto"/>
        <w:ind w:firstLine="720"/>
        <w:rPr>
          <w:rFonts w:ascii="Garamond" w:hAnsi="Garamond" w:cs="Times New Roman"/>
          <w:sz w:val="24"/>
          <w:szCs w:val="24"/>
        </w:rPr>
      </w:pPr>
      <w:r w:rsidRPr="005A7FAC">
        <w:rPr>
          <w:rFonts w:ascii="Garamond" w:hAnsi="Garamond" w:cs="Times New Roman"/>
          <w:b/>
          <w:noProof/>
          <w:sz w:val="24"/>
          <w:szCs w:val="24"/>
        </w:rPr>
        <w:lastRenderedPageBreak/>
        <w:drawing>
          <wp:inline distT="0" distB="0" distL="0" distR="0" wp14:anchorId="6EA9C2FF" wp14:editId="056F4C1C">
            <wp:extent cx="5943600" cy="6483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985"/>
                    </a:xfrm>
                    <a:prstGeom prst="rect">
                      <a:avLst/>
                    </a:prstGeom>
                  </pic:spPr>
                </pic:pic>
              </a:graphicData>
            </a:graphic>
          </wp:inline>
        </w:drawing>
      </w:r>
      <w:r w:rsidR="002C22ED">
        <w:rPr>
          <w:rFonts w:ascii="Garamond" w:hAnsi="Garamond" w:cs="Times New Roman"/>
          <w:b/>
          <w:sz w:val="24"/>
          <w:szCs w:val="24"/>
        </w:rPr>
        <w:br w:type="page"/>
      </w:r>
    </w:p>
    <w:p w14:paraId="591226AC" w14:textId="2FF97AC1" w:rsidR="00174FE8" w:rsidRDefault="00174FE8" w:rsidP="00174FE8">
      <w:pPr>
        <w:autoSpaceDE w:val="0"/>
        <w:autoSpaceDN w:val="0"/>
        <w:adjustRightInd w:val="0"/>
        <w:spacing w:after="0" w:line="480" w:lineRule="auto"/>
        <w:ind w:firstLine="720"/>
        <w:rPr>
          <w:rFonts w:ascii="Garamond" w:hAnsi="Garamond" w:cs="Times New Roman"/>
          <w:sz w:val="24"/>
          <w:szCs w:val="24"/>
        </w:rPr>
      </w:pPr>
      <w:r w:rsidRPr="002C22ED">
        <w:rPr>
          <w:rFonts w:ascii="Garamond" w:hAnsi="Garamond" w:cs="Times New Roman"/>
          <w:sz w:val="24"/>
          <w:szCs w:val="24"/>
        </w:rPr>
        <w:lastRenderedPageBreak/>
        <w:t xml:space="preserve">Therefore, we adopt a Partial Adjustment Model that only excludes the first-difference terms of control variables. </w:t>
      </w:r>
      <w:r>
        <w:rPr>
          <w:rFonts w:ascii="Garamond" w:hAnsi="Garamond" w:cs="Times New Roman"/>
          <w:sz w:val="24"/>
          <w:szCs w:val="24"/>
        </w:rPr>
        <w:t>W</w:t>
      </w:r>
      <w:r w:rsidRPr="002C22ED">
        <w:rPr>
          <w:rFonts w:ascii="Garamond" w:hAnsi="Garamond" w:cs="Times New Roman"/>
          <w:sz w:val="24"/>
          <w:szCs w:val="24"/>
        </w:rPr>
        <w:t>e present the full error correction models in Table 3. Table 3 Model (1) uses ∆</w:t>
      </w:r>
      <w:r w:rsidRPr="002C22ED">
        <w:rPr>
          <w:rFonts w:ascii="Garamond" w:hAnsi="Garamond" w:cs="Times New Roman"/>
          <w:i/>
          <w:sz w:val="24"/>
          <w:szCs w:val="24"/>
        </w:rPr>
        <w:t xml:space="preserve">Immigrants’ TANF </w:t>
      </w:r>
      <w:r>
        <w:rPr>
          <w:rFonts w:ascii="Garamond" w:hAnsi="Garamond" w:cs="Times New Roman"/>
          <w:i/>
          <w:sz w:val="24"/>
          <w:szCs w:val="24"/>
        </w:rPr>
        <w:t>Caseload Rate</w:t>
      </w:r>
      <w:r w:rsidRPr="002C22ED">
        <w:rPr>
          <w:rFonts w:ascii="Garamond" w:hAnsi="Garamond" w:cs="Times New Roman"/>
          <w:sz w:val="24"/>
          <w:szCs w:val="24"/>
        </w:rPr>
        <w:t xml:space="preserve"> as the dependent variable, and Table 3 Model (2) uses ∆</w:t>
      </w:r>
      <w:r w:rsidRPr="002C22ED">
        <w:rPr>
          <w:rFonts w:ascii="Garamond" w:hAnsi="Garamond" w:cs="Times New Roman"/>
          <w:i/>
          <w:sz w:val="24"/>
          <w:szCs w:val="24"/>
        </w:rPr>
        <w:t xml:space="preserve">Citizen-Immigrant TANF </w:t>
      </w:r>
      <w:r>
        <w:rPr>
          <w:rFonts w:ascii="Garamond" w:hAnsi="Garamond" w:cs="Times New Roman"/>
          <w:i/>
          <w:sz w:val="24"/>
          <w:szCs w:val="24"/>
        </w:rPr>
        <w:t>Caseload</w:t>
      </w:r>
      <w:r w:rsidRPr="002C22ED">
        <w:rPr>
          <w:rFonts w:ascii="Garamond" w:hAnsi="Garamond" w:cs="Times New Roman"/>
          <w:i/>
          <w:sz w:val="24"/>
          <w:szCs w:val="24"/>
        </w:rPr>
        <w:t xml:space="preserve"> Gap</w:t>
      </w:r>
      <w:r w:rsidRPr="002C22ED">
        <w:rPr>
          <w:rFonts w:ascii="Garamond" w:hAnsi="Garamond" w:cs="Times New Roman"/>
          <w:sz w:val="24"/>
          <w:szCs w:val="24"/>
        </w:rPr>
        <w:t xml:space="preserve"> as the dependent variable. Both models include the interaction</w:t>
      </w:r>
      <w:r w:rsidR="00844604">
        <w:rPr>
          <w:rFonts w:ascii="Garamond" w:hAnsi="Garamond" w:cs="Times New Roman"/>
          <w:sz w:val="24"/>
          <w:szCs w:val="24"/>
        </w:rPr>
        <w:t xml:space="preserve"> terms</w:t>
      </w:r>
      <w:r w:rsidRPr="002C22ED">
        <w:rPr>
          <w:rFonts w:ascii="Garamond" w:hAnsi="Garamond" w:cs="Times New Roman"/>
          <w:sz w:val="24"/>
          <w:szCs w:val="24"/>
        </w:rPr>
        <w:t>. When comparing these models with the models in the paper (Table 1 Model (2) and Table 2 Mode</w:t>
      </w:r>
      <w:r>
        <w:rPr>
          <w:rFonts w:ascii="Garamond" w:hAnsi="Garamond" w:cs="Times New Roman"/>
          <w:sz w:val="24"/>
          <w:szCs w:val="24"/>
        </w:rPr>
        <w:t xml:space="preserve">l </w:t>
      </w:r>
      <w:r w:rsidRPr="002C22ED">
        <w:rPr>
          <w:rFonts w:ascii="Garamond" w:hAnsi="Garamond" w:cs="Times New Roman"/>
          <w:sz w:val="24"/>
          <w:szCs w:val="24"/>
        </w:rPr>
        <w:t xml:space="preserve">(2)), careful readers will find that the results are very </w:t>
      </w:r>
      <w:r w:rsidR="00D23030" w:rsidRPr="002C22ED">
        <w:rPr>
          <w:rFonts w:ascii="Garamond" w:hAnsi="Garamond" w:cs="Times New Roman"/>
          <w:sz w:val="24"/>
          <w:szCs w:val="24"/>
        </w:rPr>
        <w:t>similar,</w:t>
      </w:r>
      <w:r w:rsidRPr="002C22ED">
        <w:rPr>
          <w:rFonts w:ascii="Garamond" w:hAnsi="Garamond" w:cs="Times New Roman"/>
          <w:sz w:val="24"/>
          <w:szCs w:val="24"/>
        </w:rPr>
        <w:t xml:space="preserve"> and the findings remain the same.</w:t>
      </w:r>
    </w:p>
    <w:p w14:paraId="07D176D2" w14:textId="77777777" w:rsidR="00174FE8" w:rsidRDefault="00174FE8" w:rsidP="00174FE8">
      <w:pPr>
        <w:autoSpaceDE w:val="0"/>
        <w:autoSpaceDN w:val="0"/>
        <w:adjustRightInd w:val="0"/>
        <w:spacing w:after="0" w:line="480" w:lineRule="auto"/>
        <w:ind w:firstLine="720"/>
        <w:rPr>
          <w:rFonts w:ascii="Garamond" w:hAnsi="Garamond" w:cs="Times New Roman"/>
          <w:sz w:val="24"/>
          <w:szCs w:val="24"/>
        </w:rPr>
      </w:pPr>
    </w:p>
    <w:p w14:paraId="0EAE49F2" w14:textId="070DB058" w:rsidR="00174FE8" w:rsidRPr="00174FE8" w:rsidRDefault="00174FE8" w:rsidP="00174FE8">
      <w:pPr>
        <w:pStyle w:val="ListParagraph"/>
        <w:numPr>
          <w:ilvl w:val="0"/>
          <w:numId w:val="4"/>
        </w:numPr>
        <w:autoSpaceDE w:val="0"/>
        <w:autoSpaceDN w:val="0"/>
        <w:adjustRightInd w:val="0"/>
        <w:spacing w:after="0" w:line="480" w:lineRule="auto"/>
        <w:rPr>
          <w:rFonts w:ascii="Garamond" w:hAnsi="Garamond" w:cs="Times New Roman"/>
          <w:b/>
          <w:bCs/>
          <w:sz w:val="24"/>
          <w:szCs w:val="24"/>
        </w:rPr>
      </w:pPr>
      <w:r>
        <w:rPr>
          <w:rFonts w:ascii="Garamond" w:hAnsi="Garamond" w:cs="Times New Roman"/>
          <w:b/>
          <w:bCs/>
          <w:sz w:val="24"/>
          <w:szCs w:val="24"/>
        </w:rPr>
        <w:t>Robustness checks results</w:t>
      </w:r>
    </w:p>
    <w:p w14:paraId="202FD694" w14:textId="3FBC9D11" w:rsidR="00174FE8" w:rsidRDefault="00174FE8" w:rsidP="00174FE8">
      <w:pPr>
        <w:spacing w:after="0" w:line="480" w:lineRule="auto"/>
        <w:rPr>
          <w:rFonts w:ascii="Garamond" w:eastAsia="Times New Roman" w:hAnsi="Garamond" w:cs="Times New Roman"/>
          <w:sz w:val="24"/>
          <w:szCs w:val="24"/>
        </w:rPr>
      </w:pPr>
      <w:proofErr w:type="gramStart"/>
      <w:r>
        <w:rPr>
          <w:rFonts w:ascii="Garamond" w:eastAsia="Times New Roman" w:hAnsi="Garamond" w:cs="Times New Roman"/>
          <w:sz w:val="24"/>
          <w:szCs w:val="24"/>
        </w:rPr>
        <w:t>In order to</w:t>
      </w:r>
      <w:proofErr w:type="gramEnd"/>
      <w:r>
        <w:rPr>
          <w:rFonts w:ascii="Garamond" w:eastAsia="Times New Roman" w:hAnsi="Garamond" w:cs="Times New Roman"/>
          <w:sz w:val="24"/>
          <w:szCs w:val="24"/>
        </w:rPr>
        <w:t xml:space="preserve"> verify that our results are robust, we conduct two robustness checks. In the first robustness check, w</w:t>
      </w:r>
      <w:r w:rsidRPr="0033654A">
        <w:rPr>
          <w:rFonts w:ascii="Garamond" w:eastAsia="Times New Roman" w:hAnsi="Garamond" w:cs="Times New Roman"/>
          <w:sz w:val="24"/>
          <w:szCs w:val="24"/>
        </w:rPr>
        <w:t xml:space="preserve">e </w:t>
      </w:r>
      <w:r>
        <w:rPr>
          <w:rFonts w:ascii="Garamond" w:eastAsia="Times New Roman" w:hAnsi="Garamond" w:cs="Times New Roman"/>
          <w:sz w:val="24"/>
          <w:szCs w:val="24"/>
        </w:rPr>
        <w:t xml:space="preserve">replace our dependent variable, the </w:t>
      </w:r>
      <w:r>
        <w:rPr>
          <w:rFonts w:ascii="Garamond" w:eastAsia="Calibri" w:hAnsi="Garamond" w:cs="Times New Roman"/>
          <w:i/>
          <w:sz w:val="24"/>
          <w:szCs w:val="24"/>
          <w:lang w:eastAsia="en-US"/>
        </w:rPr>
        <w:t>Citizen-Immigrant</w:t>
      </w:r>
      <w:r w:rsidRPr="007902E1">
        <w:rPr>
          <w:rFonts w:ascii="Garamond" w:eastAsia="Calibri" w:hAnsi="Garamond" w:cs="Times New Roman"/>
          <w:i/>
          <w:sz w:val="24"/>
          <w:szCs w:val="24"/>
          <w:lang w:eastAsia="en-US"/>
        </w:rPr>
        <w:t xml:space="preserve"> TANF</w:t>
      </w:r>
      <w:r>
        <w:rPr>
          <w:rFonts w:ascii="Garamond" w:eastAsia="Calibri" w:hAnsi="Garamond" w:cs="Times New Roman"/>
          <w:i/>
          <w:sz w:val="24"/>
          <w:szCs w:val="24"/>
          <w:lang w:eastAsia="en-US"/>
        </w:rPr>
        <w:t xml:space="preserve"> Caseload</w:t>
      </w:r>
      <w:r w:rsidRPr="007902E1">
        <w:rPr>
          <w:rFonts w:ascii="Garamond" w:eastAsia="Calibri" w:hAnsi="Garamond" w:cs="Times New Roman"/>
          <w:i/>
          <w:sz w:val="24"/>
          <w:szCs w:val="24"/>
          <w:lang w:eastAsia="en-US"/>
        </w:rPr>
        <w:t xml:space="preserve"> Gap</w:t>
      </w:r>
      <w:r>
        <w:rPr>
          <w:rFonts w:ascii="Garamond" w:eastAsia="Calibri" w:hAnsi="Garamond" w:cs="Times New Roman"/>
          <w:sz w:val="24"/>
          <w:szCs w:val="24"/>
          <w:lang w:eastAsia="en-US"/>
        </w:rPr>
        <w:t>, with a citizen-immigrant TANF gap measure based on</w:t>
      </w:r>
      <w:r>
        <w:rPr>
          <w:rFonts w:ascii="Garamond" w:eastAsia="Calibri" w:hAnsi="Garamond" w:cs="Times New Roman"/>
          <w:iCs/>
          <w:sz w:val="24"/>
          <w:szCs w:val="24"/>
          <w:lang w:eastAsia="en-US"/>
        </w:rPr>
        <w:t xml:space="preserve"> </w:t>
      </w:r>
      <w:r w:rsidRPr="0033654A">
        <w:rPr>
          <w:rFonts w:ascii="Garamond" w:eastAsia="Times New Roman" w:hAnsi="Garamond" w:cs="Times New Roman"/>
          <w:sz w:val="24"/>
          <w:szCs w:val="24"/>
        </w:rPr>
        <w:t xml:space="preserve">the CPS self-reported </w:t>
      </w:r>
      <w:r>
        <w:rPr>
          <w:rFonts w:ascii="Garamond" w:eastAsia="Times New Roman" w:hAnsi="Garamond" w:cs="Times New Roman"/>
          <w:sz w:val="24"/>
          <w:szCs w:val="24"/>
        </w:rPr>
        <w:t xml:space="preserve">TANF participation data. </w:t>
      </w:r>
      <w:r>
        <w:rPr>
          <w:rFonts w:ascii="Garamond" w:eastAsia="Calibri" w:hAnsi="Garamond" w:cs="Times New Roman"/>
          <w:spacing w:val="-6"/>
          <w:sz w:val="24"/>
          <w:szCs w:val="24"/>
          <w:lang w:eastAsia="en-US"/>
        </w:rPr>
        <w:t xml:space="preserve">Figure 1(a) below </w:t>
      </w:r>
      <w:r w:rsidRPr="0085011F">
        <w:rPr>
          <w:rFonts w:ascii="Garamond" w:eastAsia="Times New Roman" w:hAnsi="Garamond" w:cs="Times New Roman"/>
          <w:color w:val="222222"/>
          <w:sz w:val="24"/>
          <w:szCs w:val="24"/>
          <w:shd w:val="clear" w:color="auto" w:fill="FFFFFF"/>
        </w:rPr>
        <w:t>show</w:t>
      </w:r>
      <w:r>
        <w:rPr>
          <w:rFonts w:ascii="Garamond" w:eastAsia="Times New Roman" w:hAnsi="Garamond" w:cs="Times New Roman"/>
          <w:color w:val="222222"/>
          <w:sz w:val="24"/>
          <w:szCs w:val="24"/>
          <w:shd w:val="clear" w:color="auto" w:fill="FFFFFF"/>
        </w:rPr>
        <w:t>s</w:t>
      </w:r>
      <w:r w:rsidRPr="0085011F">
        <w:rPr>
          <w:rFonts w:ascii="Garamond" w:eastAsia="Times New Roman" w:hAnsi="Garamond" w:cs="Times New Roman"/>
          <w:color w:val="222222"/>
          <w:sz w:val="24"/>
          <w:szCs w:val="24"/>
          <w:shd w:val="clear" w:color="auto" w:fill="FFFFFF"/>
        </w:rPr>
        <w:t xml:space="preserve"> the conditional effect of </w:t>
      </w:r>
      <w:r w:rsidRPr="00844604">
        <w:rPr>
          <w:rFonts w:ascii="Garamond" w:eastAsia="Times New Roman" w:hAnsi="Garamond" w:cs="Times New Roman"/>
          <w:i/>
          <w:iCs/>
          <w:sz w:val="24"/>
          <w:szCs w:val="24"/>
        </w:rPr>
        <w:t>∆ Immigration Population</w:t>
      </w:r>
      <w:r w:rsidRPr="0085011F">
        <w:rPr>
          <w:rFonts w:ascii="Garamond" w:eastAsia="Times New Roman" w:hAnsi="Garamond" w:cs="Times New Roman"/>
          <w:sz w:val="24"/>
          <w:szCs w:val="24"/>
        </w:rPr>
        <w:t xml:space="preserve"> on the relationship between </w:t>
      </w:r>
      <w:r w:rsidRPr="00844604">
        <w:rPr>
          <w:rFonts w:ascii="Garamond" w:eastAsia="Times New Roman" w:hAnsi="Garamond" w:cs="Times New Roman"/>
          <w:i/>
          <w:iCs/>
          <w:sz w:val="24"/>
          <w:szCs w:val="24"/>
        </w:rPr>
        <w:t>∆ Immigrant TANF Eligibility</w:t>
      </w:r>
      <w:r w:rsidRPr="0085011F">
        <w:rPr>
          <w:rFonts w:ascii="Garamond" w:eastAsia="Times New Roman" w:hAnsi="Garamond" w:cs="Times New Roman"/>
          <w:sz w:val="24"/>
          <w:szCs w:val="24"/>
        </w:rPr>
        <w:t xml:space="preserve"> and </w:t>
      </w:r>
      <w:r w:rsidRPr="00844604">
        <w:rPr>
          <w:rFonts w:ascii="Garamond" w:eastAsia="Times New Roman" w:hAnsi="Garamond" w:cs="Times New Roman"/>
          <w:i/>
          <w:iCs/>
          <w:sz w:val="24"/>
          <w:szCs w:val="24"/>
        </w:rPr>
        <w:t>Δ Citizen-Immigrant Gap</w:t>
      </w:r>
      <w:r w:rsidRPr="0085011F">
        <w:rPr>
          <w:rFonts w:ascii="Garamond" w:eastAsia="Times New Roman" w:hAnsi="Garamond" w:cs="Times New Roman"/>
          <w:sz w:val="24"/>
          <w:szCs w:val="24"/>
        </w:rPr>
        <w:t>, and Figure 1(b) shows the conditional effect the other way</w:t>
      </w:r>
      <w:r>
        <w:rPr>
          <w:rFonts w:ascii="Garamond" w:eastAsia="Times New Roman" w:hAnsi="Garamond" w:cs="Times New Roman"/>
          <w:sz w:val="24"/>
          <w:szCs w:val="24"/>
        </w:rPr>
        <w:t xml:space="preserve">. As one can see </w:t>
      </w:r>
      <w:proofErr w:type="gramStart"/>
      <w:r>
        <w:rPr>
          <w:rFonts w:ascii="Garamond" w:eastAsia="Times New Roman" w:hAnsi="Garamond" w:cs="Times New Roman"/>
          <w:sz w:val="24"/>
          <w:szCs w:val="24"/>
        </w:rPr>
        <w:t>from  Figure</w:t>
      </w:r>
      <w:proofErr w:type="gramEnd"/>
      <w:r>
        <w:rPr>
          <w:rFonts w:ascii="Garamond" w:eastAsia="Times New Roman" w:hAnsi="Garamond" w:cs="Times New Roman"/>
          <w:sz w:val="24"/>
          <w:szCs w:val="24"/>
        </w:rPr>
        <w:t xml:space="preserve"> 1(a),  i</w:t>
      </w:r>
      <w:r w:rsidRPr="0085011F">
        <w:rPr>
          <w:rFonts w:ascii="Garamond" w:eastAsia="Times New Roman" w:hAnsi="Garamond" w:cs="Times New Roman"/>
          <w:sz w:val="24"/>
          <w:szCs w:val="24"/>
        </w:rPr>
        <w:t xml:space="preserve">n states with </w:t>
      </w:r>
      <w:r w:rsidR="00473F50">
        <w:rPr>
          <w:rFonts w:ascii="Garamond" w:eastAsia="Times New Roman" w:hAnsi="Garamond" w:cs="Times New Roman"/>
          <w:sz w:val="24"/>
          <w:szCs w:val="24"/>
        </w:rPr>
        <w:t xml:space="preserve">an </w:t>
      </w:r>
      <w:r w:rsidRPr="0085011F">
        <w:rPr>
          <w:rFonts w:ascii="Garamond" w:eastAsia="Times New Roman" w:hAnsi="Garamond" w:cs="Times New Roman"/>
          <w:sz w:val="24"/>
          <w:szCs w:val="24"/>
        </w:rPr>
        <w:t xml:space="preserve">increased immigrant population, </w:t>
      </w:r>
      <w:r w:rsidRPr="00844604">
        <w:rPr>
          <w:rFonts w:ascii="Garamond" w:eastAsia="Times New Roman" w:hAnsi="Garamond" w:cs="Times New Roman"/>
          <w:i/>
          <w:iCs/>
          <w:sz w:val="24"/>
          <w:szCs w:val="24"/>
        </w:rPr>
        <w:t>∆TANF Immigrant Policy</w:t>
      </w:r>
      <w:r w:rsidRPr="0085011F">
        <w:rPr>
          <w:rFonts w:ascii="Garamond" w:eastAsia="Times New Roman" w:hAnsi="Garamond" w:cs="Times New Roman"/>
          <w:sz w:val="24"/>
          <w:szCs w:val="24"/>
        </w:rPr>
        <w:t xml:space="preserve"> has a negative relationship on </w:t>
      </w:r>
      <w:r w:rsidRPr="00844604">
        <w:rPr>
          <w:rFonts w:ascii="Garamond" w:eastAsia="Times New Roman" w:hAnsi="Garamond" w:cs="Times New Roman"/>
          <w:i/>
          <w:iCs/>
          <w:sz w:val="24"/>
          <w:szCs w:val="24"/>
        </w:rPr>
        <w:t>∆Citizen-Immigrant TANF Take-up Gap</w:t>
      </w:r>
      <w:r w:rsidRPr="0085011F">
        <w:rPr>
          <w:rFonts w:ascii="Garamond" w:eastAsia="Times New Roman" w:hAnsi="Garamond" w:cs="Times New Roman"/>
          <w:sz w:val="24"/>
          <w:szCs w:val="24"/>
        </w:rPr>
        <w:t xml:space="preserve">, suggesting that loosening up immigrant TANF eligibility rules can significantly reduce </w:t>
      </w:r>
      <w:r w:rsidR="00473F50">
        <w:rPr>
          <w:rFonts w:ascii="Garamond" w:eastAsia="Times New Roman" w:hAnsi="Garamond" w:cs="Times New Roman"/>
          <w:sz w:val="24"/>
          <w:szCs w:val="24"/>
        </w:rPr>
        <w:t xml:space="preserve">the </w:t>
      </w:r>
      <w:r w:rsidRPr="0085011F">
        <w:rPr>
          <w:rFonts w:ascii="Garamond" w:eastAsia="Times New Roman" w:hAnsi="Garamond" w:cs="Times New Roman"/>
          <w:sz w:val="24"/>
          <w:szCs w:val="24"/>
        </w:rPr>
        <w:t xml:space="preserve">citizen-immigrant TANF gap in these states. However, in states with </w:t>
      </w:r>
      <w:r w:rsidR="00473F50">
        <w:rPr>
          <w:rFonts w:ascii="Garamond" w:eastAsia="Times New Roman" w:hAnsi="Garamond" w:cs="Times New Roman"/>
          <w:sz w:val="24"/>
          <w:szCs w:val="24"/>
        </w:rPr>
        <w:t xml:space="preserve">a </w:t>
      </w:r>
      <w:r w:rsidRPr="0085011F">
        <w:rPr>
          <w:rFonts w:ascii="Garamond" w:eastAsia="Times New Roman" w:hAnsi="Garamond" w:cs="Times New Roman"/>
          <w:sz w:val="24"/>
          <w:szCs w:val="24"/>
        </w:rPr>
        <w:t xml:space="preserve">decreased immigrant population, </w:t>
      </w:r>
      <w:r w:rsidRPr="00844604">
        <w:rPr>
          <w:rFonts w:ascii="Garamond" w:eastAsia="Times New Roman" w:hAnsi="Garamond" w:cs="Times New Roman"/>
          <w:i/>
          <w:iCs/>
          <w:sz w:val="24"/>
          <w:szCs w:val="24"/>
        </w:rPr>
        <w:t>∆TANF Immigrant Eligibility</w:t>
      </w:r>
      <w:r w:rsidRPr="0085011F">
        <w:rPr>
          <w:rFonts w:ascii="Garamond" w:eastAsia="Times New Roman" w:hAnsi="Garamond" w:cs="Times New Roman"/>
          <w:sz w:val="24"/>
          <w:szCs w:val="24"/>
        </w:rPr>
        <w:t xml:space="preserve"> has a positive effect on </w:t>
      </w:r>
      <w:r w:rsidRPr="00844604">
        <w:rPr>
          <w:rFonts w:ascii="Garamond" w:eastAsia="Times New Roman" w:hAnsi="Garamond" w:cs="Times New Roman"/>
          <w:i/>
          <w:iCs/>
          <w:sz w:val="24"/>
          <w:szCs w:val="24"/>
        </w:rPr>
        <w:t>∆Citizen-Immigrant TANF Take-up Gap</w:t>
      </w:r>
      <w:r w:rsidRPr="0085011F">
        <w:rPr>
          <w:rFonts w:ascii="Garamond" w:eastAsia="Times New Roman" w:hAnsi="Garamond" w:cs="Times New Roman"/>
          <w:sz w:val="24"/>
          <w:szCs w:val="24"/>
        </w:rPr>
        <w:t xml:space="preserve">, suggesting that in states with decreasing immigrant population, loosening immigrant TANF eligibility rules does not necessarily reduce the citizen-immigrant TANF gap, but instead could even increase the gap. </w:t>
      </w:r>
    </w:p>
    <w:p w14:paraId="1A6ED62B" w14:textId="4F2977F9" w:rsidR="00174FE8" w:rsidRDefault="00174FE8" w:rsidP="00174FE8">
      <w:pPr>
        <w:spacing w:after="0" w:line="480" w:lineRule="auto"/>
        <w:ind w:firstLine="720"/>
        <w:rPr>
          <w:rFonts w:ascii="Garamond" w:eastAsia="Times New Roman" w:hAnsi="Garamond" w:cs="Times New Roman"/>
          <w:b/>
          <w:bCs/>
          <w:sz w:val="24"/>
          <w:szCs w:val="24"/>
        </w:rPr>
      </w:pPr>
      <w:r>
        <w:rPr>
          <w:rFonts w:ascii="Garamond" w:eastAsia="Times New Roman" w:hAnsi="Garamond" w:cs="Times New Roman"/>
          <w:sz w:val="24"/>
          <w:szCs w:val="24"/>
        </w:rPr>
        <w:t xml:space="preserve">This robustness check </w:t>
      </w:r>
      <w:r w:rsidRPr="0085011F">
        <w:rPr>
          <w:rFonts w:ascii="Garamond" w:eastAsia="Times New Roman" w:hAnsi="Garamond" w:cs="Times New Roman"/>
          <w:sz w:val="24"/>
          <w:szCs w:val="24"/>
        </w:rPr>
        <w:t>show</w:t>
      </w:r>
      <w:r>
        <w:rPr>
          <w:rFonts w:ascii="Garamond" w:eastAsia="Times New Roman" w:hAnsi="Garamond" w:cs="Times New Roman"/>
          <w:sz w:val="24"/>
          <w:szCs w:val="24"/>
        </w:rPr>
        <w:t>s</w:t>
      </w:r>
      <w:r w:rsidRPr="0085011F">
        <w:rPr>
          <w:rFonts w:ascii="Garamond" w:eastAsia="Times New Roman" w:hAnsi="Garamond" w:cs="Times New Roman"/>
          <w:sz w:val="24"/>
          <w:szCs w:val="24"/>
        </w:rPr>
        <w:t xml:space="preserve"> </w:t>
      </w:r>
      <w:r>
        <w:rPr>
          <w:rFonts w:ascii="Garamond" w:eastAsia="Times New Roman" w:hAnsi="Garamond" w:cs="Times New Roman"/>
          <w:sz w:val="24"/>
          <w:szCs w:val="24"/>
        </w:rPr>
        <w:t xml:space="preserve">further </w:t>
      </w:r>
      <w:r w:rsidRPr="0085011F">
        <w:rPr>
          <w:rFonts w:ascii="Garamond" w:eastAsia="Times New Roman" w:hAnsi="Garamond" w:cs="Times New Roman"/>
          <w:sz w:val="24"/>
          <w:szCs w:val="24"/>
        </w:rPr>
        <w:t xml:space="preserve">support for our H2-b, where we posit that the positive effect of exclusive immigrant TANF policy on </w:t>
      </w:r>
      <w:r w:rsidR="00473F50">
        <w:rPr>
          <w:rFonts w:ascii="Garamond" w:eastAsia="Times New Roman" w:hAnsi="Garamond" w:cs="Times New Roman"/>
          <w:sz w:val="24"/>
          <w:szCs w:val="24"/>
        </w:rPr>
        <w:t xml:space="preserve">the </w:t>
      </w:r>
      <w:r w:rsidRPr="0085011F">
        <w:rPr>
          <w:rFonts w:ascii="Garamond" w:eastAsia="Times New Roman" w:hAnsi="Garamond" w:cs="Times New Roman"/>
          <w:sz w:val="24"/>
          <w:szCs w:val="24"/>
        </w:rPr>
        <w:t xml:space="preserve">immigrant-citizen TANF participation gap should </w:t>
      </w:r>
      <w:r w:rsidRPr="0085011F">
        <w:rPr>
          <w:rFonts w:ascii="Garamond" w:eastAsia="Times New Roman" w:hAnsi="Garamond" w:cs="Times New Roman"/>
          <w:sz w:val="24"/>
          <w:szCs w:val="24"/>
        </w:rPr>
        <w:lastRenderedPageBreak/>
        <w:t>be weakened in states with a larger immigrant population. Indeed, in states with growing immigrant populations, a more generous TANF policy will lead to</w:t>
      </w:r>
      <w:r w:rsidR="00473F50">
        <w:rPr>
          <w:rFonts w:ascii="Garamond" w:eastAsia="Times New Roman" w:hAnsi="Garamond" w:cs="Times New Roman"/>
          <w:sz w:val="24"/>
          <w:szCs w:val="24"/>
        </w:rPr>
        <w:t xml:space="preserve"> a</w:t>
      </w:r>
      <w:r w:rsidRPr="0085011F">
        <w:rPr>
          <w:rFonts w:ascii="Garamond" w:eastAsia="Times New Roman" w:hAnsi="Garamond" w:cs="Times New Roman"/>
          <w:sz w:val="24"/>
          <w:szCs w:val="24"/>
        </w:rPr>
        <w:t xml:space="preserve"> reduction in the gap</w:t>
      </w:r>
      <w:r>
        <w:rPr>
          <w:rFonts w:ascii="Garamond" w:eastAsia="Times New Roman" w:hAnsi="Garamond" w:cs="Times New Roman"/>
          <w:b/>
          <w:bCs/>
          <w:sz w:val="24"/>
          <w:szCs w:val="24"/>
        </w:rPr>
        <w:t xml:space="preserve">. </w:t>
      </w:r>
    </w:p>
    <w:p w14:paraId="0351243C" w14:textId="04EC7AE1" w:rsidR="00174FE8" w:rsidRDefault="00174FE8" w:rsidP="00174FE8">
      <w:pPr>
        <w:rPr>
          <w:rFonts w:ascii="Garamond" w:hAnsi="Garamond" w:cs="Courier New"/>
          <w:b/>
        </w:rPr>
      </w:pPr>
      <w:r w:rsidRPr="00C6700F">
        <w:rPr>
          <w:rFonts w:ascii="Garamond" w:hAnsi="Garamond" w:cs="Courier New"/>
          <w:b/>
        </w:rPr>
        <w:t>Figure</w:t>
      </w:r>
      <w:r>
        <w:rPr>
          <w:rFonts w:ascii="Garamond" w:hAnsi="Garamond" w:cs="Courier New"/>
          <w:b/>
        </w:rPr>
        <w:t xml:space="preserve"> 1</w:t>
      </w:r>
      <w:r w:rsidRPr="00CE7B99">
        <w:rPr>
          <w:rFonts w:ascii="Garamond" w:hAnsi="Garamond" w:cs="Courier New"/>
          <w:b/>
        </w:rPr>
        <w:t xml:space="preserve">: </w:t>
      </w:r>
      <w:r>
        <w:rPr>
          <w:rFonts w:ascii="Garamond" w:hAnsi="Garamond" w:cs="Courier New"/>
          <w:b/>
        </w:rPr>
        <w:t>State Immigrant Policy, Immigrant Population</w:t>
      </w:r>
      <w:r w:rsidR="00473F50">
        <w:rPr>
          <w:rFonts w:ascii="Garamond" w:hAnsi="Garamond" w:cs="Courier New"/>
          <w:b/>
        </w:rPr>
        <w:t>,</w:t>
      </w:r>
      <w:r>
        <w:rPr>
          <w:rFonts w:ascii="Garamond" w:hAnsi="Garamond" w:cs="Courier New"/>
          <w:b/>
        </w:rPr>
        <w:t xml:space="preserve"> and Citizen-Immigrant TANF Participation Gap</w:t>
      </w:r>
    </w:p>
    <w:p w14:paraId="5AE7C01A" w14:textId="77777777" w:rsidR="00174FE8" w:rsidRDefault="00174FE8" w:rsidP="00174FE8">
      <w:pPr>
        <w:rPr>
          <w:rFonts w:ascii="Garamond" w:hAnsi="Garamond" w:cs="Courier New"/>
          <w:b/>
        </w:rPr>
      </w:pPr>
      <w:r>
        <w:rPr>
          <w:rFonts w:ascii="Garamond" w:hAnsi="Garamond" w:cs="Courier New"/>
          <w:b/>
        </w:rPr>
        <w:t xml:space="preserve"> </w:t>
      </w:r>
      <w:r w:rsidRPr="008C6E76">
        <w:rPr>
          <w:rFonts w:ascii="Garamond" w:hAnsi="Garamond" w:cs="Courier New"/>
          <w:b/>
        </w:rPr>
        <w:t>(a)</w:t>
      </w:r>
      <w:r>
        <w:rPr>
          <w:rFonts w:ascii="Garamond" w:hAnsi="Garamond" w:cs="Courier New"/>
          <w:b/>
        </w:rPr>
        <w:t xml:space="preserve"> </w:t>
      </w:r>
      <w:r w:rsidRPr="008C6E76">
        <w:rPr>
          <w:rFonts w:ascii="Garamond" w:hAnsi="Garamond" w:cs="Courier New"/>
          <w:b/>
        </w:rPr>
        <w:t>Effects of Change in Immigrant TANF Policy on Citizen-Immigrant TANF</w:t>
      </w:r>
      <w:r>
        <w:rPr>
          <w:rFonts w:ascii="Garamond" w:hAnsi="Garamond" w:cs="Courier New"/>
          <w:b/>
        </w:rPr>
        <w:t xml:space="preserve"> Participation</w:t>
      </w:r>
      <w:r w:rsidRPr="008C6E76">
        <w:rPr>
          <w:rFonts w:ascii="Garamond" w:hAnsi="Garamond" w:cs="Courier New"/>
          <w:b/>
        </w:rPr>
        <w:t xml:space="preserve"> Gap in States with Increased/Decreased Immigrant Population</w:t>
      </w:r>
    </w:p>
    <w:p w14:paraId="2F65A046" w14:textId="553306E0" w:rsidR="00174FE8" w:rsidRDefault="00174FE8" w:rsidP="00174FE8">
      <w:pPr>
        <w:rPr>
          <w:rFonts w:ascii="Times New Roman" w:eastAsia="Times New Roman" w:hAnsi="Times New Roman" w:cs="Times New Roman"/>
          <w:color w:val="222222"/>
          <w:shd w:val="clear" w:color="auto" w:fill="FFFFFF"/>
        </w:rPr>
      </w:pPr>
      <w:r w:rsidRPr="007C0D90">
        <w:rPr>
          <w:rFonts w:ascii="Times New Roman" w:eastAsia="Times New Roman" w:hAnsi="Times New Roman" w:cs="Times New Roman"/>
          <w:noProof/>
          <w:color w:val="222222"/>
          <w:shd w:val="clear" w:color="auto" w:fill="FFFFFF"/>
        </w:rPr>
        <w:drawing>
          <wp:inline distT="0" distB="0" distL="0" distR="0" wp14:anchorId="453C96BB" wp14:editId="406F64D1">
            <wp:extent cx="3955143" cy="2768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9871" cy="2771910"/>
                    </a:xfrm>
                    <a:prstGeom prst="rect">
                      <a:avLst/>
                    </a:prstGeom>
                    <a:noFill/>
                    <a:ln>
                      <a:noFill/>
                    </a:ln>
                  </pic:spPr>
                </pic:pic>
              </a:graphicData>
            </a:graphic>
          </wp:inline>
        </w:drawing>
      </w:r>
    </w:p>
    <w:p w14:paraId="68C276D1" w14:textId="77777777" w:rsidR="00174FE8" w:rsidRDefault="00174FE8" w:rsidP="00174FE8">
      <w:pPr>
        <w:rPr>
          <w:rFonts w:ascii="Times New Roman" w:eastAsia="Times New Roman" w:hAnsi="Times New Roman" w:cs="Times New Roman"/>
          <w:color w:val="222222"/>
          <w:shd w:val="clear" w:color="auto" w:fill="FFFFFF"/>
        </w:rPr>
      </w:pPr>
      <w:r w:rsidRPr="008C6E76">
        <w:rPr>
          <w:rFonts w:ascii="Garamond" w:hAnsi="Garamond" w:cs="Courier New"/>
          <w:b/>
        </w:rPr>
        <w:t>(b)</w:t>
      </w:r>
      <w:r w:rsidRPr="008C6E76">
        <w:rPr>
          <w:rFonts w:ascii="Garamond" w:hAnsi="Garamond" w:cs="Courier New"/>
          <w:b/>
        </w:rPr>
        <w:tab/>
        <w:t>Effects of Change in Immigrant Population on Citizen-Immigrant TANF</w:t>
      </w:r>
      <w:r>
        <w:rPr>
          <w:rFonts w:ascii="Garamond" w:hAnsi="Garamond" w:cs="Courier New"/>
          <w:b/>
        </w:rPr>
        <w:t xml:space="preserve"> Participation</w:t>
      </w:r>
      <w:r w:rsidRPr="008C6E76">
        <w:rPr>
          <w:rFonts w:ascii="Garamond" w:hAnsi="Garamond" w:cs="Courier New"/>
          <w:b/>
        </w:rPr>
        <w:t xml:space="preserve"> Gap in States with Tightened/Loosened TANF Immigrant Policies</w:t>
      </w:r>
    </w:p>
    <w:p w14:paraId="07552485" w14:textId="77777777" w:rsidR="00174FE8" w:rsidRPr="00044B90" w:rsidRDefault="00174FE8" w:rsidP="00174FE8">
      <w:pPr>
        <w:rPr>
          <w:rFonts w:ascii="Times New Roman" w:hAnsi="Times New Roman" w:cs="Times New Roman"/>
          <w:color w:val="222222"/>
          <w:shd w:val="clear" w:color="auto" w:fill="FFFFFF"/>
        </w:rPr>
      </w:pPr>
    </w:p>
    <w:p w14:paraId="2108124F" w14:textId="6C0F0518" w:rsidR="00174FE8" w:rsidRDefault="00174FE8" w:rsidP="00174FE8">
      <w:pPr>
        <w:spacing w:after="0" w:line="480" w:lineRule="auto"/>
        <w:rPr>
          <w:rFonts w:ascii="Garamond" w:eastAsia="Times New Roman" w:hAnsi="Garamond" w:cs="Times New Roman"/>
          <w:b/>
          <w:bCs/>
          <w:sz w:val="24"/>
          <w:szCs w:val="24"/>
        </w:rPr>
      </w:pPr>
      <w:r w:rsidRPr="007C0D90">
        <w:rPr>
          <w:rFonts w:ascii="Times New Roman" w:eastAsia="Times New Roman" w:hAnsi="Times New Roman" w:cs="Times New Roman"/>
          <w:noProof/>
          <w:color w:val="222222"/>
          <w:shd w:val="clear" w:color="auto" w:fill="FFFFFF"/>
        </w:rPr>
        <w:drawing>
          <wp:inline distT="0" distB="0" distL="0" distR="0" wp14:anchorId="0C7B7A73" wp14:editId="78153D0E">
            <wp:extent cx="3642360" cy="25496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7560" cy="2553292"/>
                    </a:xfrm>
                    <a:prstGeom prst="rect">
                      <a:avLst/>
                    </a:prstGeom>
                    <a:noFill/>
                    <a:ln>
                      <a:noFill/>
                    </a:ln>
                  </pic:spPr>
                </pic:pic>
              </a:graphicData>
            </a:graphic>
          </wp:inline>
        </w:drawing>
      </w:r>
      <w:r>
        <w:rPr>
          <w:rFonts w:ascii="Garamond" w:eastAsia="Times New Roman" w:hAnsi="Garamond" w:cs="Times New Roman"/>
          <w:b/>
          <w:bCs/>
          <w:sz w:val="24"/>
          <w:szCs w:val="24"/>
        </w:rPr>
        <w:t xml:space="preserve"> </w:t>
      </w:r>
    </w:p>
    <w:p w14:paraId="4800A954" w14:textId="0CB76E66" w:rsidR="00174FE8" w:rsidRDefault="00174FE8" w:rsidP="00174FE8">
      <w:pPr>
        <w:spacing w:after="0" w:line="480" w:lineRule="auto"/>
        <w:ind w:firstLine="720"/>
        <w:rPr>
          <w:rFonts w:ascii="Garamond" w:eastAsia="Times New Roman" w:hAnsi="Garamond" w:cs="Times New Roman"/>
          <w:sz w:val="24"/>
          <w:szCs w:val="24"/>
        </w:rPr>
      </w:pPr>
      <w:r>
        <w:rPr>
          <w:rFonts w:ascii="Garamond" w:eastAsia="Times New Roman" w:hAnsi="Garamond" w:cs="Times New Roman"/>
          <w:sz w:val="24"/>
          <w:szCs w:val="24"/>
        </w:rPr>
        <w:lastRenderedPageBreak/>
        <w:t xml:space="preserve">On top of the first robustness check, we further replace one of the key independent variables, immigrant population density, with two separate measures of immigrant political power. The first measure captures immigrant network strength and is measured by </w:t>
      </w:r>
      <w:r w:rsidRPr="0085011F">
        <w:rPr>
          <w:rFonts w:ascii="Garamond" w:eastAsia="Times New Roman" w:hAnsi="Garamond" w:cs="Times New Roman"/>
          <w:sz w:val="24"/>
          <w:szCs w:val="24"/>
        </w:rPr>
        <w:t>the number of immigrant advocacy groups divide</w:t>
      </w:r>
      <w:r>
        <w:rPr>
          <w:rFonts w:ascii="Garamond" w:eastAsia="Times New Roman" w:hAnsi="Garamond" w:cs="Times New Roman"/>
          <w:sz w:val="24"/>
          <w:szCs w:val="24"/>
        </w:rPr>
        <w:t>d</w:t>
      </w:r>
      <w:r w:rsidRPr="0085011F">
        <w:rPr>
          <w:rFonts w:ascii="Garamond" w:eastAsia="Times New Roman" w:hAnsi="Garamond" w:cs="Times New Roman"/>
          <w:sz w:val="24"/>
          <w:szCs w:val="24"/>
        </w:rPr>
        <w:t xml:space="preserve"> by the immigrant population</w:t>
      </w:r>
      <w:r>
        <w:rPr>
          <w:rFonts w:ascii="Garamond" w:eastAsia="Times New Roman" w:hAnsi="Garamond" w:cs="Times New Roman"/>
          <w:sz w:val="24"/>
          <w:szCs w:val="24"/>
        </w:rPr>
        <w:t xml:space="preserve"> based on data from the Urban Institute National Center for Charitable Statistics (NCCS). The second measure captures immigrant voting power and is measured by</w:t>
      </w:r>
      <w:r w:rsidRPr="0085011F">
        <w:rPr>
          <w:rFonts w:ascii="Garamond" w:eastAsia="Times New Roman" w:hAnsi="Garamond" w:cs="Times New Roman"/>
          <w:sz w:val="24"/>
          <w:szCs w:val="24"/>
        </w:rPr>
        <w:t xml:space="preserve"> the </w:t>
      </w:r>
      <w:r>
        <w:rPr>
          <w:rFonts w:ascii="Garamond" w:eastAsia="Times New Roman" w:hAnsi="Garamond" w:cs="Times New Roman"/>
          <w:sz w:val="24"/>
          <w:szCs w:val="24"/>
        </w:rPr>
        <w:t>percentage</w:t>
      </w:r>
      <w:r w:rsidRPr="0085011F">
        <w:rPr>
          <w:rFonts w:ascii="Garamond" w:eastAsia="Times New Roman" w:hAnsi="Garamond" w:cs="Times New Roman"/>
          <w:sz w:val="24"/>
          <w:szCs w:val="24"/>
        </w:rPr>
        <w:t xml:space="preserve"> of registered immigrant voters out of all registered voters</w:t>
      </w:r>
      <w:r>
        <w:rPr>
          <w:rFonts w:ascii="Garamond" w:eastAsia="Times New Roman" w:hAnsi="Garamond" w:cs="Times New Roman"/>
          <w:sz w:val="24"/>
          <w:szCs w:val="24"/>
        </w:rPr>
        <w:t xml:space="preserve"> based on the CPS November data. </w:t>
      </w:r>
      <w:r w:rsidRPr="0085011F">
        <w:rPr>
          <w:rFonts w:ascii="Garamond" w:eastAsia="Times New Roman" w:hAnsi="Garamond" w:cs="Times New Roman"/>
          <w:sz w:val="24"/>
          <w:szCs w:val="24"/>
        </w:rPr>
        <w:t xml:space="preserve"> </w:t>
      </w:r>
      <w:r>
        <w:rPr>
          <w:rFonts w:ascii="Garamond" w:eastAsia="Times New Roman" w:hAnsi="Garamond" w:cs="Times New Roman"/>
          <w:sz w:val="24"/>
          <w:szCs w:val="24"/>
        </w:rPr>
        <w:t>W</w:t>
      </w:r>
      <w:r w:rsidRPr="0085011F">
        <w:rPr>
          <w:rFonts w:ascii="Garamond" w:eastAsia="Times New Roman" w:hAnsi="Garamond" w:cs="Times New Roman"/>
          <w:sz w:val="24"/>
          <w:szCs w:val="24"/>
        </w:rPr>
        <w:t xml:space="preserve">e use each of these two measures to replace the immigrant population </w:t>
      </w:r>
      <w:r>
        <w:rPr>
          <w:rFonts w:ascii="Garamond" w:eastAsia="Times New Roman" w:hAnsi="Garamond" w:cs="Times New Roman"/>
          <w:sz w:val="24"/>
          <w:szCs w:val="24"/>
        </w:rPr>
        <w:t xml:space="preserve">density </w:t>
      </w:r>
      <w:r w:rsidRPr="0085011F">
        <w:rPr>
          <w:rFonts w:ascii="Garamond" w:eastAsia="Times New Roman" w:hAnsi="Garamond" w:cs="Times New Roman"/>
          <w:sz w:val="24"/>
          <w:szCs w:val="24"/>
        </w:rPr>
        <w:t>variable in the</w:t>
      </w:r>
      <w:r>
        <w:rPr>
          <w:rFonts w:ascii="Garamond" w:eastAsia="Times New Roman" w:hAnsi="Garamond" w:cs="Times New Roman"/>
          <w:sz w:val="24"/>
          <w:szCs w:val="24"/>
        </w:rPr>
        <w:t xml:space="preserve"> main</w:t>
      </w:r>
      <w:r w:rsidRPr="0085011F">
        <w:rPr>
          <w:rFonts w:ascii="Garamond" w:eastAsia="Times New Roman" w:hAnsi="Garamond" w:cs="Times New Roman"/>
          <w:sz w:val="24"/>
          <w:szCs w:val="24"/>
        </w:rPr>
        <w:t xml:space="preserve"> model. </w:t>
      </w:r>
      <w:r>
        <w:rPr>
          <w:rFonts w:ascii="Garamond" w:eastAsia="Times New Roman" w:hAnsi="Garamond" w:cs="Times New Roman"/>
          <w:sz w:val="24"/>
          <w:szCs w:val="24"/>
        </w:rPr>
        <w:t xml:space="preserve">Below </w:t>
      </w:r>
      <w:r w:rsidRPr="00403705">
        <w:rPr>
          <w:rFonts w:ascii="Garamond" w:eastAsia="Times New Roman" w:hAnsi="Garamond" w:cs="Times New Roman"/>
          <w:sz w:val="24"/>
          <w:szCs w:val="24"/>
        </w:rPr>
        <w:t>Figure 3(a) and (b)</w:t>
      </w:r>
      <w:r>
        <w:rPr>
          <w:rFonts w:ascii="Garamond" w:eastAsia="Times New Roman" w:hAnsi="Garamond" w:cs="Times New Roman"/>
          <w:sz w:val="24"/>
          <w:szCs w:val="24"/>
        </w:rPr>
        <w:t xml:space="preserve"> </w:t>
      </w:r>
      <w:r w:rsidRPr="00403705">
        <w:rPr>
          <w:rFonts w:ascii="Garamond" w:eastAsia="Times New Roman" w:hAnsi="Garamond" w:cs="Times New Roman"/>
          <w:sz w:val="24"/>
          <w:szCs w:val="24"/>
        </w:rPr>
        <w:t>show similar pattern</w:t>
      </w:r>
      <w:r>
        <w:rPr>
          <w:rFonts w:ascii="Garamond" w:eastAsia="Times New Roman" w:hAnsi="Garamond" w:cs="Times New Roman"/>
          <w:sz w:val="24"/>
          <w:szCs w:val="24"/>
        </w:rPr>
        <w:t>s. I</w:t>
      </w:r>
      <w:r w:rsidRPr="00403705">
        <w:rPr>
          <w:rFonts w:ascii="Garamond" w:eastAsia="Times New Roman" w:hAnsi="Garamond" w:cs="Times New Roman"/>
          <w:sz w:val="24"/>
          <w:szCs w:val="24"/>
        </w:rPr>
        <w:t xml:space="preserve">n states with </w:t>
      </w:r>
      <w:r w:rsidR="00473F50">
        <w:rPr>
          <w:rFonts w:ascii="Garamond" w:eastAsia="Times New Roman" w:hAnsi="Garamond" w:cs="Times New Roman"/>
          <w:sz w:val="24"/>
          <w:szCs w:val="24"/>
        </w:rPr>
        <w:t xml:space="preserve">a </w:t>
      </w:r>
      <w:r w:rsidRPr="00403705">
        <w:rPr>
          <w:rFonts w:ascii="Garamond" w:eastAsia="Times New Roman" w:hAnsi="Garamond" w:cs="Times New Roman"/>
          <w:sz w:val="24"/>
          <w:szCs w:val="24"/>
        </w:rPr>
        <w:t>weaker immigrant network (or voting power), a state’s immigrant TANF policy from the previous year has a negative effect on</w:t>
      </w:r>
      <w:r w:rsidR="00473F50">
        <w:rPr>
          <w:rFonts w:ascii="Garamond" w:eastAsia="Times New Roman" w:hAnsi="Garamond" w:cs="Times New Roman"/>
          <w:sz w:val="24"/>
          <w:szCs w:val="24"/>
        </w:rPr>
        <w:t xml:space="preserve"> the</w:t>
      </w:r>
      <w:r w:rsidRPr="00403705">
        <w:rPr>
          <w:rFonts w:ascii="Garamond" w:eastAsia="Times New Roman" w:hAnsi="Garamond" w:cs="Times New Roman"/>
          <w:sz w:val="24"/>
          <w:szCs w:val="24"/>
        </w:rPr>
        <w:t xml:space="preserve"> citizen-immigrant TANF participation gap. This suggests that in states with weaker immigrant political power, </w:t>
      </w:r>
      <w:r w:rsidR="00473F50">
        <w:rPr>
          <w:rFonts w:ascii="Garamond" w:eastAsia="Times New Roman" w:hAnsi="Garamond" w:cs="Times New Roman"/>
          <w:sz w:val="24"/>
          <w:szCs w:val="24"/>
        </w:rPr>
        <w:t xml:space="preserve">a </w:t>
      </w:r>
      <w:r w:rsidRPr="00403705">
        <w:rPr>
          <w:rFonts w:ascii="Garamond" w:eastAsia="Times New Roman" w:hAnsi="Garamond" w:cs="Times New Roman"/>
          <w:sz w:val="24"/>
          <w:szCs w:val="24"/>
        </w:rPr>
        <w:t>more inclusive immigrant policy will help close the gap. However, in states with stronger immigrant political power, the effect is different. Generally, states with strong immigrant power will almost always see a reduction in the gap. However, it is when these states also see very exclusive immigrant policy in the previous year, the reduction in gap will be the most. This makes sense because in states with</w:t>
      </w:r>
      <w:r w:rsidR="00473F50">
        <w:rPr>
          <w:rFonts w:ascii="Garamond" w:eastAsia="Times New Roman" w:hAnsi="Garamond" w:cs="Times New Roman"/>
          <w:sz w:val="24"/>
          <w:szCs w:val="24"/>
        </w:rPr>
        <w:t xml:space="preserve"> a</w:t>
      </w:r>
      <w:r w:rsidRPr="00403705">
        <w:rPr>
          <w:rFonts w:ascii="Garamond" w:eastAsia="Times New Roman" w:hAnsi="Garamond" w:cs="Times New Roman"/>
          <w:sz w:val="24"/>
          <w:szCs w:val="24"/>
        </w:rPr>
        <w:t xml:space="preserve"> very inclusive immigrant policy previously, the gap is small to begin with and there are </w:t>
      </w:r>
      <w:r w:rsidR="00473F50">
        <w:rPr>
          <w:rFonts w:ascii="Garamond" w:eastAsia="Times New Roman" w:hAnsi="Garamond" w:cs="Times New Roman"/>
          <w:sz w:val="24"/>
          <w:szCs w:val="24"/>
        </w:rPr>
        <w:t>fewer</w:t>
      </w:r>
      <w:r w:rsidRPr="00403705">
        <w:rPr>
          <w:rFonts w:ascii="Garamond" w:eastAsia="Times New Roman" w:hAnsi="Garamond" w:cs="Times New Roman"/>
          <w:sz w:val="24"/>
          <w:szCs w:val="24"/>
        </w:rPr>
        <w:t xml:space="preserve"> “improvements” that can be made. </w:t>
      </w:r>
      <w:r w:rsidRPr="0085011F">
        <w:rPr>
          <w:rFonts w:ascii="Garamond" w:eastAsia="Times New Roman" w:hAnsi="Garamond" w:cs="Times New Roman"/>
          <w:sz w:val="24"/>
          <w:szCs w:val="24"/>
        </w:rPr>
        <w:t xml:space="preserve">This result is still in line with our argument that immigrant political power conditions the effect of immigrant TANF policy on </w:t>
      </w:r>
      <w:r w:rsidR="00473F50">
        <w:rPr>
          <w:rFonts w:ascii="Garamond" w:eastAsia="Times New Roman" w:hAnsi="Garamond" w:cs="Times New Roman"/>
          <w:sz w:val="24"/>
          <w:szCs w:val="24"/>
        </w:rPr>
        <w:t xml:space="preserve">the </w:t>
      </w:r>
      <w:r w:rsidRPr="0085011F">
        <w:rPr>
          <w:rFonts w:ascii="Garamond" w:eastAsia="Times New Roman" w:hAnsi="Garamond" w:cs="Times New Roman"/>
          <w:sz w:val="24"/>
          <w:szCs w:val="24"/>
        </w:rPr>
        <w:t xml:space="preserve">citizen-immigrant TANF participation gap.  We decide to use immigrant population density in the main model because it can serve as a proxy </w:t>
      </w:r>
      <w:r>
        <w:rPr>
          <w:rFonts w:ascii="Garamond" w:eastAsia="Times New Roman" w:hAnsi="Garamond" w:cs="Times New Roman"/>
          <w:sz w:val="24"/>
          <w:szCs w:val="24"/>
        </w:rPr>
        <w:t>to capture both immigrant</w:t>
      </w:r>
      <w:r w:rsidRPr="0085011F">
        <w:rPr>
          <w:rFonts w:ascii="Garamond" w:eastAsia="Times New Roman" w:hAnsi="Garamond" w:cs="Times New Roman"/>
          <w:sz w:val="24"/>
          <w:szCs w:val="24"/>
        </w:rPr>
        <w:t xml:space="preserve"> network and voting power.</w:t>
      </w:r>
    </w:p>
    <w:p w14:paraId="27B80F98" w14:textId="77777777" w:rsidR="00174FE8" w:rsidRDefault="00174FE8">
      <w:pPr>
        <w:rPr>
          <w:rFonts w:ascii="Garamond" w:hAnsi="Garamond" w:cs="Courier New"/>
          <w:b/>
        </w:rPr>
      </w:pPr>
      <w:r>
        <w:rPr>
          <w:rFonts w:ascii="Garamond" w:hAnsi="Garamond" w:cs="Courier New"/>
          <w:b/>
        </w:rPr>
        <w:br w:type="page"/>
      </w:r>
    </w:p>
    <w:p w14:paraId="76F2E0EA" w14:textId="71DF89D8" w:rsidR="00174FE8" w:rsidRDefault="00174FE8" w:rsidP="00174FE8">
      <w:pPr>
        <w:rPr>
          <w:rFonts w:ascii="Garamond" w:hAnsi="Garamond" w:cs="Courier New"/>
          <w:b/>
        </w:rPr>
      </w:pPr>
      <w:r w:rsidRPr="00C6700F">
        <w:rPr>
          <w:rFonts w:ascii="Garamond" w:hAnsi="Garamond" w:cs="Courier New"/>
          <w:b/>
        </w:rPr>
        <w:lastRenderedPageBreak/>
        <w:t>Figure</w:t>
      </w:r>
      <w:r>
        <w:rPr>
          <w:rFonts w:ascii="Garamond" w:hAnsi="Garamond" w:cs="Courier New"/>
          <w:b/>
        </w:rPr>
        <w:t xml:space="preserve"> 2</w:t>
      </w:r>
      <w:r w:rsidRPr="00CE7B99">
        <w:rPr>
          <w:rFonts w:ascii="Garamond" w:hAnsi="Garamond" w:cs="Courier New"/>
          <w:b/>
        </w:rPr>
        <w:t xml:space="preserve">: </w:t>
      </w:r>
      <w:r>
        <w:rPr>
          <w:rFonts w:ascii="Garamond" w:hAnsi="Garamond" w:cs="Courier New"/>
          <w:b/>
        </w:rPr>
        <w:t>State Immigrant TANF Policy, Immigrant Political Power and Citizen-Immigrant TANF Participation Gap</w:t>
      </w:r>
    </w:p>
    <w:p w14:paraId="4C5116E4" w14:textId="5A349AF9" w:rsidR="00174FE8" w:rsidRPr="00844604" w:rsidRDefault="00174FE8" w:rsidP="00174FE8">
      <w:pPr>
        <w:rPr>
          <w:rFonts w:ascii="Garamond" w:hAnsi="Garamond" w:cs="Courier New"/>
          <w:b/>
        </w:rPr>
      </w:pPr>
      <w:r>
        <w:rPr>
          <w:rFonts w:ascii="Garamond" w:hAnsi="Garamond" w:cs="Courier New"/>
          <w:b/>
        </w:rPr>
        <w:t xml:space="preserve"> </w:t>
      </w:r>
      <w:r w:rsidRPr="008C6E76">
        <w:rPr>
          <w:rFonts w:ascii="Garamond" w:hAnsi="Garamond" w:cs="Courier New"/>
          <w:b/>
        </w:rPr>
        <w:t>(a)</w:t>
      </w:r>
      <w:r>
        <w:rPr>
          <w:rFonts w:ascii="Garamond" w:hAnsi="Garamond" w:cs="Courier New"/>
          <w:b/>
        </w:rPr>
        <w:t xml:space="preserve"> </w:t>
      </w:r>
      <w:r w:rsidRPr="008C6E76">
        <w:rPr>
          <w:rFonts w:ascii="Garamond" w:hAnsi="Garamond" w:cs="Courier New"/>
          <w:b/>
        </w:rPr>
        <w:t>Effects of Immigrant TANF Policy</w:t>
      </w:r>
      <w:r>
        <w:rPr>
          <w:rFonts w:ascii="Garamond" w:hAnsi="Garamond" w:cs="Courier New"/>
          <w:b/>
        </w:rPr>
        <w:t xml:space="preserve"> (t-1)</w:t>
      </w:r>
      <w:r w:rsidRPr="008C6E76">
        <w:rPr>
          <w:rFonts w:ascii="Garamond" w:hAnsi="Garamond" w:cs="Courier New"/>
          <w:b/>
        </w:rPr>
        <w:t xml:space="preserve"> on </w:t>
      </w:r>
      <w:r>
        <w:rPr>
          <w:rFonts w:ascii="Garamond" w:hAnsi="Garamond" w:cs="Courier New"/>
          <w:b/>
        </w:rPr>
        <w:t xml:space="preserve">Change in </w:t>
      </w:r>
      <w:r w:rsidRPr="008C6E76">
        <w:rPr>
          <w:rFonts w:ascii="Garamond" w:hAnsi="Garamond" w:cs="Courier New"/>
          <w:b/>
        </w:rPr>
        <w:t>Citizen-Immigrant TANF</w:t>
      </w:r>
      <w:r>
        <w:rPr>
          <w:rFonts w:ascii="Garamond" w:hAnsi="Garamond" w:cs="Courier New"/>
          <w:b/>
        </w:rPr>
        <w:t xml:space="preserve"> Participation</w:t>
      </w:r>
      <w:r w:rsidRPr="008C6E76">
        <w:rPr>
          <w:rFonts w:ascii="Garamond" w:hAnsi="Garamond" w:cs="Courier New"/>
          <w:b/>
        </w:rPr>
        <w:t xml:space="preserve"> Gap in States</w:t>
      </w:r>
      <w:r>
        <w:rPr>
          <w:rFonts w:ascii="Garamond" w:hAnsi="Garamond" w:cs="Courier New"/>
          <w:b/>
        </w:rPr>
        <w:t xml:space="preserve"> with Stronger/Weaker Immigrant Network</w:t>
      </w:r>
    </w:p>
    <w:p w14:paraId="5DE7FB79" w14:textId="77777777" w:rsidR="00174FE8" w:rsidRDefault="00174FE8" w:rsidP="00174FE8">
      <w:pPr>
        <w:rPr>
          <w:rFonts w:ascii="Times New Roman" w:eastAsia="Times New Roman" w:hAnsi="Times New Roman" w:cs="Times New Roman"/>
          <w:color w:val="222222"/>
          <w:shd w:val="clear" w:color="auto" w:fill="FFFFFF"/>
        </w:rPr>
      </w:pPr>
      <w:r w:rsidRPr="001F73A5">
        <w:rPr>
          <w:rFonts w:ascii="Times New Roman" w:eastAsia="Times New Roman" w:hAnsi="Times New Roman" w:cs="Times New Roman"/>
          <w:noProof/>
          <w:color w:val="222222"/>
          <w:shd w:val="clear" w:color="auto" w:fill="FFFFFF"/>
        </w:rPr>
        <w:drawing>
          <wp:inline distT="0" distB="0" distL="0" distR="0" wp14:anchorId="3ED18D60" wp14:editId="5729C7C1">
            <wp:extent cx="3820160" cy="2674113"/>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6383" cy="2678469"/>
                    </a:xfrm>
                    <a:prstGeom prst="rect">
                      <a:avLst/>
                    </a:prstGeom>
                    <a:noFill/>
                    <a:ln>
                      <a:noFill/>
                    </a:ln>
                  </pic:spPr>
                </pic:pic>
              </a:graphicData>
            </a:graphic>
          </wp:inline>
        </w:drawing>
      </w:r>
    </w:p>
    <w:p w14:paraId="681DCD79" w14:textId="2F2A34F3" w:rsidR="00174FE8" w:rsidRDefault="00174FE8" w:rsidP="00174FE8">
      <w:pPr>
        <w:rPr>
          <w:rFonts w:ascii="Times New Roman" w:eastAsia="Times New Roman" w:hAnsi="Times New Roman" w:cs="Times New Roman"/>
          <w:color w:val="222222"/>
          <w:shd w:val="clear" w:color="auto" w:fill="FFFFFF"/>
        </w:rPr>
      </w:pPr>
      <w:r w:rsidRPr="008C6E76">
        <w:rPr>
          <w:rFonts w:ascii="Garamond" w:hAnsi="Garamond" w:cs="Courier New"/>
          <w:b/>
        </w:rPr>
        <w:t>(b)</w:t>
      </w:r>
      <w:r w:rsidRPr="008C6E76">
        <w:rPr>
          <w:rFonts w:ascii="Garamond" w:hAnsi="Garamond" w:cs="Courier New"/>
          <w:b/>
        </w:rPr>
        <w:tab/>
        <w:t>Effects of Immigrant TANF Policy</w:t>
      </w:r>
      <w:r>
        <w:rPr>
          <w:rFonts w:ascii="Garamond" w:hAnsi="Garamond" w:cs="Courier New"/>
          <w:b/>
        </w:rPr>
        <w:t xml:space="preserve"> (t-1)</w:t>
      </w:r>
      <w:r w:rsidRPr="008C6E76">
        <w:rPr>
          <w:rFonts w:ascii="Garamond" w:hAnsi="Garamond" w:cs="Courier New"/>
          <w:b/>
        </w:rPr>
        <w:t xml:space="preserve"> on </w:t>
      </w:r>
      <w:r>
        <w:rPr>
          <w:rFonts w:ascii="Garamond" w:hAnsi="Garamond" w:cs="Courier New"/>
          <w:b/>
        </w:rPr>
        <w:t xml:space="preserve">Change in </w:t>
      </w:r>
      <w:r w:rsidRPr="008C6E76">
        <w:rPr>
          <w:rFonts w:ascii="Garamond" w:hAnsi="Garamond" w:cs="Courier New"/>
          <w:b/>
        </w:rPr>
        <w:t>Citizen-Immigrant TANF</w:t>
      </w:r>
      <w:r>
        <w:rPr>
          <w:rFonts w:ascii="Garamond" w:hAnsi="Garamond" w:cs="Courier New"/>
          <w:b/>
        </w:rPr>
        <w:t xml:space="preserve"> Participation</w:t>
      </w:r>
      <w:r w:rsidRPr="008C6E76">
        <w:rPr>
          <w:rFonts w:ascii="Garamond" w:hAnsi="Garamond" w:cs="Courier New"/>
          <w:b/>
        </w:rPr>
        <w:t xml:space="preserve"> Gap in States</w:t>
      </w:r>
      <w:r>
        <w:rPr>
          <w:rFonts w:ascii="Garamond" w:hAnsi="Garamond" w:cs="Courier New"/>
          <w:b/>
        </w:rPr>
        <w:t xml:space="preserve"> with Stronger/Weaker Immigrant Voting Power</w:t>
      </w:r>
    </w:p>
    <w:p w14:paraId="5A6085E1" w14:textId="77777777" w:rsidR="00174FE8" w:rsidRDefault="00174FE8" w:rsidP="00174FE8">
      <w:pPr>
        <w:rPr>
          <w:rFonts w:ascii="Times New Roman" w:eastAsia="Times New Roman" w:hAnsi="Times New Roman" w:cs="Times New Roman"/>
          <w:color w:val="222222"/>
          <w:shd w:val="clear" w:color="auto" w:fill="FFFFFF"/>
        </w:rPr>
      </w:pPr>
    </w:p>
    <w:p w14:paraId="43FCEA4C" w14:textId="77777777" w:rsidR="00174FE8" w:rsidRPr="00ED16E1" w:rsidRDefault="00174FE8" w:rsidP="00174FE8">
      <w:pPr>
        <w:rPr>
          <w:rFonts w:ascii="Times New Roman" w:eastAsia="Times New Roman" w:hAnsi="Times New Roman" w:cs="Times New Roman"/>
          <w:color w:val="222222"/>
          <w:shd w:val="clear" w:color="auto" w:fill="FFFFFF"/>
        </w:rPr>
      </w:pPr>
      <w:r w:rsidRPr="00C0598E">
        <w:rPr>
          <w:rFonts w:ascii="Times New Roman" w:eastAsia="Times New Roman" w:hAnsi="Times New Roman" w:cs="Times New Roman"/>
          <w:noProof/>
          <w:color w:val="222222"/>
          <w:shd w:val="clear" w:color="auto" w:fill="FFFFFF"/>
        </w:rPr>
        <w:drawing>
          <wp:inline distT="0" distB="0" distL="0" distR="0" wp14:anchorId="3A9B5362" wp14:editId="6D570AF4">
            <wp:extent cx="3898605" cy="2729023"/>
            <wp:effectExtent l="0" t="0" r="63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12462" cy="2738723"/>
                    </a:xfrm>
                    <a:prstGeom prst="rect">
                      <a:avLst/>
                    </a:prstGeom>
                    <a:noFill/>
                    <a:ln>
                      <a:noFill/>
                    </a:ln>
                  </pic:spPr>
                </pic:pic>
              </a:graphicData>
            </a:graphic>
          </wp:inline>
        </w:drawing>
      </w:r>
    </w:p>
    <w:p w14:paraId="58B52C1E" w14:textId="77777777" w:rsidR="00174FE8" w:rsidRPr="00ED16E1" w:rsidRDefault="00174FE8" w:rsidP="00174FE8">
      <w:pPr>
        <w:rPr>
          <w:rFonts w:ascii="Times New Roman" w:eastAsia="Times New Roman" w:hAnsi="Times New Roman" w:cs="Times New Roman"/>
          <w:color w:val="222222"/>
          <w:shd w:val="clear" w:color="auto" w:fill="FFFFFF"/>
        </w:rPr>
      </w:pPr>
    </w:p>
    <w:p w14:paraId="47DC80AE" w14:textId="396A51D1" w:rsidR="00174FE8" w:rsidRPr="00174FE8" w:rsidRDefault="00174FE8" w:rsidP="00174FE8">
      <w:pPr>
        <w:pStyle w:val="ListParagraph"/>
        <w:autoSpaceDE w:val="0"/>
        <w:autoSpaceDN w:val="0"/>
        <w:adjustRightInd w:val="0"/>
        <w:spacing w:after="0" w:line="480" w:lineRule="auto"/>
        <w:rPr>
          <w:rFonts w:ascii="Garamond" w:hAnsi="Garamond" w:cs="Times New Roman"/>
          <w:sz w:val="24"/>
          <w:szCs w:val="24"/>
        </w:rPr>
      </w:pPr>
      <w:r w:rsidRPr="00F26715">
        <w:rPr>
          <w:rFonts w:ascii="Times New Roman" w:eastAsia="Times New Roman" w:hAnsi="Times New Roman" w:cs="Times New Roman"/>
          <w:b/>
          <w:bCs/>
          <w:color w:val="222222"/>
        </w:rPr>
        <w:lastRenderedPageBreak/>
        <w:br/>
      </w:r>
    </w:p>
    <w:p w14:paraId="49A8DE13" w14:textId="4468287E" w:rsidR="00AF5AA6" w:rsidRPr="007C294D" w:rsidRDefault="00737A2A" w:rsidP="00174FE8">
      <w:pPr>
        <w:spacing w:after="0" w:line="480" w:lineRule="auto"/>
        <w:rPr>
          <w:rFonts w:ascii="Garamond" w:hAnsi="Garamond" w:cs="Times New Roman"/>
          <w:b/>
          <w:sz w:val="24"/>
          <w:szCs w:val="24"/>
        </w:rPr>
      </w:pPr>
      <w:r w:rsidRPr="007C294D">
        <w:rPr>
          <w:rFonts w:ascii="Garamond" w:hAnsi="Garamond" w:cs="Times New Roman"/>
          <w:b/>
          <w:sz w:val="24"/>
          <w:szCs w:val="24"/>
        </w:rPr>
        <w:t>Work Cited:</w:t>
      </w:r>
    </w:p>
    <w:p w14:paraId="194CEE62" w14:textId="1231A537" w:rsidR="005D41FF" w:rsidRDefault="00A0759C" w:rsidP="00B52A23">
      <w:pPr>
        <w:spacing w:after="0" w:line="240" w:lineRule="auto"/>
        <w:ind w:left="720" w:hanging="720"/>
        <w:rPr>
          <w:rFonts w:ascii="Garamond" w:hAnsi="Garamond" w:cs="Calibri"/>
          <w:noProof/>
          <w:sz w:val="24"/>
          <w:szCs w:val="24"/>
        </w:rPr>
      </w:pPr>
      <w:r w:rsidRPr="007C294D">
        <w:rPr>
          <w:rFonts w:ascii="Garamond" w:hAnsi="Garamond" w:cs="Times New Roman"/>
          <w:sz w:val="24"/>
          <w:szCs w:val="24"/>
        </w:rPr>
        <w:fldChar w:fldCharType="begin"/>
      </w:r>
      <w:r w:rsidRPr="007C294D">
        <w:rPr>
          <w:rFonts w:ascii="Garamond" w:hAnsi="Garamond" w:cs="Times New Roman"/>
          <w:sz w:val="24"/>
          <w:szCs w:val="24"/>
        </w:rPr>
        <w:instrText xml:space="preserve"> ADDIN EN.REFLIST </w:instrText>
      </w:r>
      <w:r w:rsidRPr="007C294D">
        <w:rPr>
          <w:rFonts w:ascii="Garamond" w:hAnsi="Garamond" w:cs="Times New Roman"/>
          <w:sz w:val="24"/>
          <w:szCs w:val="24"/>
        </w:rPr>
        <w:fldChar w:fldCharType="separate"/>
      </w:r>
      <w:bookmarkStart w:id="0" w:name="_ENREF_2"/>
      <w:r w:rsidR="005D41FF" w:rsidRPr="005D41FF">
        <w:rPr>
          <w:rFonts w:ascii="Garamond" w:hAnsi="Garamond" w:cs="Calibri"/>
          <w:noProof/>
          <w:sz w:val="24"/>
          <w:szCs w:val="24"/>
        </w:rPr>
        <w:t>Allison, Paul D.</w:t>
      </w:r>
      <w:r w:rsidR="005D41FF">
        <w:rPr>
          <w:rFonts w:ascii="Garamond" w:hAnsi="Garamond" w:cs="Calibri"/>
          <w:noProof/>
          <w:sz w:val="24"/>
          <w:szCs w:val="24"/>
        </w:rPr>
        <w:t xml:space="preserve"> 2009.</w:t>
      </w:r>
      <w:r w:rsidR="005D41FF" w:rsidRPr="005D41FF">
        <w:rPr>
          <w:rFonts w:ascii="Garamond" w:hAnsi="Garamond" w:cs="Calibri"/>
          <w:noProof/>
          <w:sz w:val="24"/>
          <w:szCs w:val="24"/>
        </w:rPr>
        <w:t> </w:t>
      </w:r>
      <w:r w:rsidR="005D41FF" w:rsidRPr="005D41FF">
        <w:rPr>
          <w:rFonts w:ascii="Garamond" w:hAnsi="Garamond" w:cs="Calibri"/>
          <w:i/>
          <w:iCs/>
          <w:noProof/>
          <w:sz w:val="24"/>
          <w:szCs w:val="24"/>
        </w:rPr>
        <w:t>Fixed effects regression models</w:t>
      </w:r>
      <w:r w:rsidR="005D41FF" w:rsidRPr="005D41FF">
        <w:rPr>
          <w:rFonts w:ascii="Garamond" w:hAnsi="Garamond" w:cs="Calibri"/>
          <w:noProof/>
          <w:sz w:val="24"/>
          <w:szCs w:val="24"/>
        </w:rPr>
        <w:t>. SAGE publications, 2009.</w:t>
      </w:r>
    </w:p>
    <w:p w14:paraId="434A176F" w14:textId="6B00D082" w:rsidR="00B52A23" w:rsidRPr="007C294D" w:rsidRDefault="005D41FF" w:rsidP="00B52A23">
      <w:pPr>
        <w:spacing w:after="0" w:line="240" w:lineRule="auto"/>
        <w:ind w:left="720" w:hanging="720"/>
        <w:rPr>
          <w:rFonts w:ascii="Garamond" w:hAnsi="Garamond" w:cs="Calibri"/>
          <w:noProof/>
          <w:sz w:val="24"/>
          <w:szCs w:val="24"/>
        </w:rPr>
      </w:pPr>
      <w:r w:rsidRPr="005D41FF">
        <w:rPr>
          <w:rFonts w:ascii="Garamond" w:hAnsi="Garamond" w:cs="Calibri"/>
          <w:noProof/>
          <w:sz w:val="24"/>
          <w:szCs w:val="24"/>
        </w:rPr>
        <w:t>De Boef, Suzanna, and Luke Keele.</w:t>
      </w:r>
      <w:r>
        <w:rPr>
          <w:rFonts w:ascii="Garamond" w:hAnsi="Garamond" w:cs="Calibri"/>
          <w:noProof/>
          <w:sz w:val="24"/>
          <w:szCs w:val="24"/>
        </w:rPr>
        <w:t xml:space="preserve"> 2008.</w:t>
      </w:r>
      <w:r w:rsidRPr="005D41FF">
        <w:rPr>
          <w:rFonts w:ascii="Garamond" w:hAnsi="Garamond" w:cs="Calibri"/>
          <w:noProof/>
          <w:sz w:val="24"/>
          <w:szCs w:val="24"/>
        </w:rPr>
        <w:t xml:space="preserve"> "Taking time seriously." </w:t>
      </w:r>
      <w:r w:rsidRPr="005D41FF">
        <w:rPr>
          <w:rFonts w:ascii="Garamond" w:hAnsi="Garamond" w:cs="Calibri"/>
          <w:i/>
          <w:iCs/>
          <w:noProof/>
          <w:sz w:val="24"/>
          <w:szCs w:val="24"/>
        </w:rPr>
        <w:t>American journal of political science</w:t>
      </w:r>
      <w:r w:rsidRPr="005D41FF">
        <w:rPr>
          <w:rFonts w:ascii="Garamond" w:hAnsi="Garamond" w:cs="Calibri"/>
          <w:noProof/>
          <w:sz w:val="24"/>
          <w:szCs w:val="24"/>
        </w:rPr>
        <w:t> 52</w:t>
      </w:r>
      <w:r>
        <w:rPr>
          <w:rFonts w:ascii="Garamond" w:hAnsi="Garamond" w:cs="Calibri"/>
          <w:noProof/>
          <w:sz w:val="24"/>
          <w:szCs w:val="24"/>
        </w:rPr>
        <w:t>(</w:t>
      </w:r>
      <w:r w:rsidRPr="005D41FF">
        <w:rPr>
          <w:rFonts w:ascii="Garamond" w:hAnsi="Garamond" w:cs="Calibri"/>
          <w:noProof/>
          <w:sz w:val="24"/>
          <w:szCs w:val="24"/>
        </w:rPr>
        <w:t>1</w:t>
      </w:r>
      <w:r>
        <w:rPr>
          <w:rFonts w:ascii="Garamond" w:hAnsi="Garamond" w:cs="Calibri"/>
          <w:noProof/>
          <w:sz w:val="24"/>
          <w:szCs w:val="24"/>
        </w:rPr>
        <w:t>)</w:t>
      </w:r>
      <w:r w:rsidRPr="005D41FF">
        <w:rPr>
          <w:rFonts w:ascii="Garamond" w:hAnsi="Garamond" w:cs="Calibri"/>
          <w:noProof/>
          <w:sz w:val="24"/>
          <w:szCs w:val="24"/>
        </w:rPr>
        <w:t>: 184-200.</w:t>
      </w:r>
      <w:r w:rsidR="00B52A23" w:rsidRPr="007C294D">
        <w:rPr>
          <w:rFonts w:ascii="Garamond" w:hAnsi="Garamond" w:cs="Calibri"/>
          <w:noProof/>
          <w:sz w:val="24"/>
          <w:szCs w:val="24"/>
        </w:rPr>
        <w:t xml:space="preserve"> </w:t>
      </w:r>
      <w:bookmarkEnd w:id="0"/>
    </w:p>
    <w:p w14:paraId="170CFA32" w14:textId="6B6583DD" w:rsidR="00B52A23" w:rsidRPr="007C294D" w:rsidRDefault="005D41FF" w:rsidP="00B52A23">
      <w:pPr>
        <w:spacing w:after="0" w:line="240" w:lineRule="auto"/>
        <w:ind w:left="720" w:hanging="720"/>
        <w:rPr>
          <w:rFonts w:ascii="Garamond" w:hAnsi="Garamond" w:cs="Calibri"/>
          <w:noProof/>
          <w:sz w:val="24"/>
          <w:szCs w:val="24"/>
        </w:rPr>
      </w:pPr>
      <w:bookmarkStart w:id="1" w:name="_ENREF_3"/>
      <w:r w:rsidRPr="005D41FF">
        <w:rPr>
          <w:rFonts w:ascii="Garamond" w:hAnsi="Garamond" w:cs="Calibri"/>
          <w:noProof/>
          <w:sz w:val="24"/>
          <w:szCs w:val="24"/>
        </w:rPr>
        <w:t>Dickey, David A., and Wayne A. Fuller.</w:t>
      </w:r>
      <w:r>
        <w:rPr>
          <w:rFonts w:ascii="Garamond" w:hAnsi="Garamond" w:cs="Calibri"/>
          <w:noProof/>
          <w:sz w:val="24"/>
          <w:szCs w:val="24"/>
        </w:rPr>
        <w:t xml:space="preserve"> 1979.</w:t>
      </w:r>
      <w:r w:rsidRPr="005D41FF">
        <w:rPr>
          <w:rFonts w:ascii="Garamond" w:hAnsi="Garamond" w:cs="Calibri"/>
          <w:noProof/>
          <w:sz w:val="24"/>
          <w:szCs w:val="24"/>
        </w:rPr>
        <w:t xml:space="preserve"> "Distribution of the estimators for autoregressive time series with a unit root." </w:t>
      </w:r>
      <w:r w:rsidRPr="005D41FF">
        <w:rPr>
          <w:rFonts w:ascii="Garamond" w:hAnsi="Garamond" w:cs="Calibri"/>
          <w:i/>
          <w:iCs/>
          <w:noProof/>
          <w:sz w:val="24"/>
          <w:szCs w:val="24"/>
        </w:rPr>
        <w:t>Journal of the American statistical association</w:t>
      </w:r>
      <w:r w:rsidRPr="005D41FF">
        <w:rPr>
          <w:rFonts w:ascii="Garamond" w:hAnsi="Garamond" w:cs="Calibri"/>
          <w:noProof/>
          <w:sz w:val="24"/>
          <w:szCs w:val="24"/>
        </w:rPr>
        <w:t> 74.366a: 427-431.</w:t>
      </w:r>
      <w:r w:rsidR="00B52A23" w:rsidRPr="007C294D">
        <w:rPr>
          <w:rFonts w:ascii="Garamond" w:hAnsi="Garamond" w:cs="Calibri"/>
          <w:noProof/>
          <w:sz w:val="24"/>
          <w:szCs w:val="24"/>
        </w:rPr>
        <w:t xml:space="preserve"> </w:t>
      </w:r>
      <w:bookmarkEnd w:id="1"/>
    </w:p>
    <w:p w14:paraId="17B49054" w14:textId="108C6480" w:rsidR="00B52A23" w:rsidRPr="007C294D" w:rsidRDefault="00B52A23" w:rsidP="00B52A23">
      <w:pPr>
        <w:spacing w:after="0" w:line="240" w:lineRule="auto"/>
        <w:ind w:left="720" w:hanging="720"/>
        <w:rPr>
          <w:rFonts w:ascii="Garamond" w:hAnsi="Garamond" w:cs="Calibri"/>
          <w:noProof/>
          <w:sz w:val="24"/>
          <w:szCs w:val="24"/>
        </w:rPr>
      </w:pPr>
      <w:bookmarkStart w:id="2" w:name="_ENREF_4"/>
      <w:r w:rsidRPr="007C294D">
        <w:rPr>
          <w:rFonts w:ascii="Garamond" w:hAnsi="Garamond" w:cs="Calibri"/>
          <w:noProof/>
          <w:sz w:val="24"/>
          <w:szCs w:val="24"/>
        </w:rPr>
        <w:t>Greene, W</w:t>
      </w:r>
      <w:r w:rsidR="005D41FF">
        <w:rPr>
          <w:rFonts w:ascii="Garamond" w:hAnsi="Garamond" w:cs="Calibri"/>
          <w:noProof/>
          <w:sz w:val="24"/>
          <w:szCs w:val="24"/>
        </w:rPr>
        <w:t xml:space="preserve">illiam H. </w:t>
      </w:r>
      <w:r w:rsidRPr="007C294D">
        <w:rPr>
          <w:rFonts w:ascii="Garamond" w:hAnsi="Garamond" w:cs="Calibri"/>
          <w:noProof/>
          <w:sz w:val="24"/>
          <w:szCs w:val="24"/>
        </w:rPr>
        <w:t xml:space="preserve">2011. </w:t>
      </w:r>
      <w:r w:rsidRPr="007C294D">
        <w:rPr>
          <w:rFonts w:ascii="Garamond" w:hAnsi="Garamond" w:cs="Calibri"/>
          <w:i/>
          <w:noProof/>
          <w:sz w:val="24"/>
          <w:szCs w:val="24"/>
        </w:rPr>
        <w:t>Econometric analysis</w:t>
      </w:r>
      <w:r w:rsidRPr="007C294D">
        <w:rPr>
          <w:rFonts w:ascii="Garamond" w:hAnsi="Garamond" w:cs="Calibri"/>
          <w:noProof/>
          <w:sz w:val="24"/>
          <w:szCs w:val="24"/>
        </w:rPr>
        <w:t xml:space="preserve"> (7th Edition ed.). New York: Prentice Hall.</w:t>
      </w:r>
      <w:bookmarkEnd w:id="2"/>
    </w:p>
    <w:p w14:paraId="120AD765" w14:textId="2A554129" w:rsidR="00B52A23" w:rsidRPr="007C294D" w:rsidRDefault="00B52A23" w:rsidP="00B52A23">
      <w:pPr>
        <w:spacing w:after="0" w:line="240" w:lineRule="auto"/>
        <w:ind w:left="720" w:hanging="720"/>
        <w:rPr>
          <w:rFonts w:ascii="Garamond" w:hAnsi="Garamond" w:cs="Calibri"/>
          <w:noProof/>
          <w:sz w:val="24"/>
          <w:szCs w:val="24"/>
        </w:rPr>
      </w:pPr>
      <w:bookmarkStart w:id="3" w:name="_ENREF_5"/>
      <w:r w:rsidRPr="007C294D">
        <w:rPr>
          <w:rFonts w:ascii="Garamond" w:hAnsi="Garamond" w:cs="Calibri"/>
          <w:noProof/>
          <w:sz w:val="24"/>
          <w:szCs w:val="24"/>
        </w:rPr>
        <w:t>Hausman, J</w:t>
      </w:r>
      <w:r w:rsidR="005D41FF">
        <w:rPr>
          <w:rFonts w:ascii="Garamond" w:hAnsi="Garamond" w:cs="Calibri"/>
          <w:noProof/>
          <w:sz w:val="24"/>
          <w:szCs w:val="24"/>
        </w:rPr>
        <w:t>erry</w:t>
      </w:r>
      <w:r w:rsidRPr="007C294D">
        <w:rPr>
          <w:rFonts w:ascii="Garamond" w:hAnsi="Garamond" w:cs="Calibri"/>
          <w:noProof/>
          <w:sz w:val="24"/>
          <w:szCs w:val="24"/>
        </w:rPr>
        <w:t xml:space="preserve"> A. 1978. Specification tests in econometrics. </w:t>
      </w:r>
      <w:r w:rsidRPr="007C294D">
        <w:rPr>
          <w:rFonts w:ascii="Garamond" w:hAnsi="Garamond" w:cs="Calibri"/>
          <w:i/>
          <w:noProof/>
          <w:sz w:val="24"/>
          <w:szCs w:val="24"/>
        </w:rPr>
        <w:t>Econometrica, 46</w:t>
      </w:r>
      <w:r w:rsidRPr="007C294D">
        <w:rPr>
          <w:rFonts w:ascii="Garamond" w:hAnsi="Garamond" w:cs="Calibri"/>
          <w:noProof/>
          <w:sz w:val="24"/>
          <w:szCs w:val="24"/>
        </w:rPr>
        <w:t xml:space="preserve">, 1251-1271. </w:t>
      </w:r>
      <w:bookmarkEnd w:id="3"/>
    </w:p>
    <w:p w14:paraId="28EA1F0A" w14:textId="3578D0ED" w:rsidR="00B52A23" w:rsidRPr="007C294D" w:rsidRDefault="00B52A23" w:rsidP="00B52A23">
      <w:pPr>
        <w:spacing w:after="0" w:line="240" w:lineRule="auto"/>
        <w:ind w:left="720" w:hanging="720"/>
        <w:rPr>
          <w:rFonts w:ascii="Garamond" w:hAnsi="Garamond" w:cs="Calibri"/>
          <w:noProof/>
          <w:sz w:val="24"/>
          <w:szCs w:val="24"/>
        </w:rPr>
      </w:pPr>
      <w:bookmarkStart w:id="4" w:name="_ENREF_6"/>
      <w:r w:rsidRPr="007C294D">
        <w:rPr>
          <w:rFonts w:ascii="Garamond" w:hAnsi="Garamond" w:cs="Calibri"/>
          <w:noProof/>
          <w:sz w:val="24"/>
          <w:szCs w:val="24"/>
        </w:rPr>
        <w:t>Phillips, P</w:t>
      </w:r>
      <w:r w:rsidR="005D41FF">
        <w:rPr>
          <w:rFonts w:ascii="Garamond" w:hAnsi="Garamond" w:cs="Calibri"/>
          <w:noProof/>
          <w:sz w:val="24"/>
          <w:szCs w:val="24"/>
        </w:rPr>
        <w:t>eter</w:t>
      </w:r>
      <w:r w:rsidRPr="007C294D">
        <w:rPr>
          <w:rFonts w:ascii="Garamond" w:hAnsi="Garamond" w:cs="Calibri"/>
          <w:noProof/>
          <w:sz w:val="24"/>
          <w:szCs w:val="24"/>
        </w:rPr>
        <w:t xml:space="preserve"> &amp; Perron, P</w:t>
      </w:r>
      <w:r w:rsidR="005D41FF">
        <w:rPr>
          <w:rFonts w:ascii="Garamond" w:hAnsi="Garamond" w:cs="Calibri"/>
          <w:noProof/>
          <w:sz w:val="24"/>
          <w:szCs w:val="24"/>
        </w:rPr>
        <w:t>ierre</w:t>
      </w:r>
      <w:r w:rsidRPr="007C294D">
        <w:rPr>
          <w:rFonts w:ascii="Garamond" w:hAnsi="Garamond" w:cs="Calibri"/>
          <w:noProof/>
          <w:sz w:val="24"/>
          <w:szCs w:val="24"/>
        </w:rPr>
        <w:t xml:space="preserve">. 1988. Testing for a unit root in time series regression. </w:t>
      </w:r>
      <w:r w:rsidRPr="007C294D">
        <w:rPr>
          <w:rFonts w:ascii="Garamond" w:hAnsi="Garamond" w:cs="Calibri"/>
          <w:i/>
          <w:noProof/>
          <w:sz w:val="24"/>
          <w:szCs w:val="24"/>
        </w:rPr>
        <w:t>Biometrika, 75</w:t>
      </w:r>
      <w:r w:rsidRPr="007C294D">
        <w:rPr>
          <w:rFonts w:ascii="Garamond" w:hAnsi="Garamond" w:cs="Calibri"/>
          <w:noProof/>
          <w:sz w:val="24"/>
          <w:szCs w:val="24"/>
        </w:rPr>
        <w:t xml:space="preserve">, 335–346. </w:t>
      </w:r>
      <w:bookmarkEnd w:id="4"/>
    </w:p>
    <w:p w14:paraId="306697BD" w14:textId="31754301" w:rsidR="00B52A23" w:rsidRPr="007C294D" w:rsidRDefault="00B52A23" w:rsidP="00B52A23">
      <w:pPr>
        <w:spacing w:after="0" w:line="240" w:lineRule="auto"/>
        <w:ind w:left="720" w:hanging="720"/>
        <w:rPr>
          <w:rFonts w:ascii="Garamond" w:hAnsi="Garamond" w:cs="Calibri"/>
          <w:noProof/>
          <w:sz w:val="24"/>
          <w:szCs w:val="24"/>
        </w:rPr>
      </w:pPr>
      <w:bookmarkStart w:id="5" w:name="_ENREF_7"/>
      <w:r w:rsidRPr="007C294D">
        <w:rPr>
          <w:rFonts w:ascii="Garamond" w:hAnsi="Garamond" w:cs="Calibri"/>
          <w:noProof/>
          <w:sz w:val="24"/>
          <w:szCs w:val="24"/>
        </w:rPr>
        <w:t>Tumlin, K</w:t>
      </w:r>
      <w:r w:rsidR="005D41FF">
        <w:rPr>
          <w:rFonts w:ascii="Garamond" w:hAnsi="Garamond" w:cs="Calibri"/>
          <w:noProof/>
          <w:sz w:val="24"/>
          <w:szCs w:val="24"/>
        </w:rPr>
        <w:t>aren</w:t>
      </w:r>
      <w:r w:rsidRPr="007C294D">
        <w:rPr>
          <w:rFonts w:ascii="Garamond" w:hAnsi="Garamond" w:cs="Calibri"/>
          <w:noProof/>
          <w:sz w:val="24"/>
          <w:szCs w:val="24"/>
        </w:rPr>
        <w:t>., Zimmermann, W</w:t>
      </w:r>
      <w:r w:rsidR="005D41FF">
        <w:rPr>
          <w:rFonts w:ascii="Garamond" w:hAnsi="Garamond" w:cs="Calibri"/>
          <w:noProof/>
          <w:sz w:val="24"/>
          <w:szCs w:val="24"/>
        </w:rPr>
        <w:t>endy</w:t>
      </w:r>
      <w:r w:rsidRPr="007C294D">
        <w:rPr>
          <w:rFonts w:ascii="Garamond" w:hAnsi="Garamond" w:cs="Calibri"/>
          <w:noProof/>
          <w:sz w:val="24"/>
          <w:szCs w:val="24"/>
        </w:rPr>
        <w:t>, &amp; Ost, J</w:t>
      </w:r>
      <w:r w:rsidR="005D41FF">
        <w:rPr>
          <w:rFonts w:ascii="Garamond" w:hAnsi="Garamond" w:cs="Calibri"/>
          <w:noProof/>
          <w:sz w:val="24"/>
          <w:szCs w:val="24"/>
        </w:rPr>
        <w:t xml:space="preserve">ason. </w:t>
      </w:r>
      <w:r w:rsidRPr="007C294D">
        <w:rPr>
          <w:rFonts w:ascii="Garamond" w:hAnsi="Garamond" w:cs="Calibri"/>
          <w:noProof/>
          <w:sz w:val="24"/>
          <w:szCs w:val="24"/>
        </w:rPr>
        <w:t>1999. State snapshots of public benefits for immigrants: A supplemental report to `patchwork policies': The Urban Institute.</w:t>
      </w:r>
      <w:bookmarkEnd w:id="5"/>
    </w:p>
    <w:p w14:paraId="730E39C6" w14:textId="417B95E2" w:rsidR="00B52A23" w:rsidRPr="007C294D" w:rsidRDefault="00B52A23" w:rsidP="00B52A23">
      <w:pPr>
        <w:spacing w:line="240" w:lineRule="auto"/>
        <w:ind w:left="720" w:hanging="720"/>
        <w:rPr>
          <w:rFonts w:ascii="Garamond" w:hAnsi="Garamond" w:cs="Calibri"/>
          <w:noProof/>
          <w:sz w:val="24"/>
          <w:szCs w:val="24"/>
        </w:rPr>
      </w:pPr>
      <w:bookmarkStart w:id="6" w:name="_ENREF_8"/>
      <w:r w:rsidRPr="007C294D">
        <w:rPr>
          <w:rFonts w:ascii="Garamond" w:hAnsi="Garamond" w:cs="Calibri"/>
          <w:noProof/>
          <w:sz w:val="24"/>
          <w:szCs w:val="24"/>
        </w:rPr>
        <w:t>Zhu, L</w:t>
      </w:r>
      <w:r w:rsidR="005D41FF">
        <w:rPr>
          <w:rFonts w:ascii="Garamond" w:hAnsi="Garamond" w:cs="Calibri"/>
          <w:noProof/>
          <w:sz w:val="24"/>
          <w:szCs w:val="24"/>
        </w:rPr>
        <w:t>ing</w:t>
      </w:r>
      <w:r w:rsidRPr="007C294D">
        <w:rPr>
          <w:rFonts w:ascii="Garamond" w:hAnsi="Garamond" w:cs="Calibri"/>
          <w:noProof/>
          <w:sz w:val="24"/>
          <w:szCs w:val="24"/>
        </w:rPr>
        <w:t xml:space="preserve">. 2013. Panel data analysis in public administration: Substantive and statistical considerations. </w:t>
      </w:r>
      <w:r w:rsidRPr="007C294D">
        <w:rPr>
          <w:rFonts w:ascii="Garamond" w:hAnsi="Garamond" w:cs="Calibri"/>
          <w:i/>
          <w:noProof/>
          <w:sz w:val="24"/>
          <w:szCs w:val="24"/>
        </w:rPr>
        <w:t>Journal of Public Administration Research and Theory, 23</w:t>
      </w:r>
      <w:r w:rsidRPr="007C294D">
        <w:rPr>
          <w:rFonts w:ascii="Garamond" w:hAnsi="Garamond" w:cs="Calibri"/>
          <w:noProof/>
          <w:sz w:val="24"/>
          <w:szCs w:val="24"/>
        </w:rPr>
        <w:t xml:space="preserve">, 395-428. </w:t>
      </w:r>
      <w:bookmarkEnd w:id="6"/>
    </w:p>
    <w:p w14:paraId="6BE8335A" w14:textId="7BE3F3D5" w:rsidR="00B52A23" w:rsidRPr="007C294D" w:rsidRDefault="00B52A23" w:rsidP="00B52A23">
      <w:pPr>
        <w:spacing w:line="240" w:lineRule="auto"/>
        <w:rPr>
          <w:rFonts w:ascii="Garamond" w:hAnsi="Garamond" w:cs="Calibri"/>
          <w:noProof/>
          <w:sz w:val="24"/>
          <w:szCs w:val="24"/>
        </w:rPr>
      </w:pPr>
    </w:p>
    <w:p w14:paraId="0DC8AB03" w14:textId="009EEC9F" w:rsidR="002E707F" w:rsidRPr="002C22ED" w:rsidRDefault="00A0759C" w:rsidP="002C22ED">
      <w:pPr>
        <w:autoSpaceDE w:val="0"/>
        <w:autoSpaceDN w:val="0"/>
        <w:adjustRightInd w:val="0"/>
        <w:spacing w:after="0" w:line="480" w:lineRule="auto"/>
        <w:ind w:firstLine="720"/>
        <w:rPr>
          <w:rFonts w:ascii="Garamond" w:hAnsi="Garamond" w:cs="Times New Roman"/>
          <w:sz w:val="24"/>
          <w:szCs w:val="24"/>
        </w:rPr>
      </w:pPr>
      <w:r w:rsidRPr="007C294D">
        <w:rPr>
          <w:rFonts w:ascii="Garamond" w:hAnsi="Garamond" w:cs="Times New Roman"/>
          <w:sz w:val="24"/>
          <w:szCs w:val="24"/>
        </w:rPr>
        <w:fldChar w:fldCharType="end"/>
      </w:r>
    </w:p>
    <w:sectPr w:rsidR="002E707F" w:rsidRPr="002C22E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5E5F" w14:textId="77777777" w:rsidR="0044703F" w:rsidRDefault="0044703F" w:rsidP="007379B4">
      <w:pPr>
        <w:spacing w:after="0" w:line="240" w:lineRule="auto"/>
      </w:pPr>
      <w:r>
        <w:separator/>
      </w:r>
    </w:p>
  </w:endnote>
  <w:endnote w:type="continuationSeparator" w:id="0">
    <w:p w14:paraId="4AC56F6E" w14:textId="77777777" w:rsidR="0044703F" w:rsidRDefault="0044703F" w:rsidP="0073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CDF0" w14:textId="77777777" w:rsidR="00EE49E3" w:rsidRDefault="00EE49E3" w:rsidP="007C2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E7EDD" w14:textId="77777777" w:rsidR="00EE49E3" w:rsidRDefault="00EE49E3" w:rsidP="00FC3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0D02" w14:textId="77777777" w:rsidR="00EE49E3" w:rsidRDefault="00EE49E3" w:rsidP="007C2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BB8">
      <w:rPr>
        <w:rStyle w:val="PageNumber"/>
        <w:noProof/>
      </w:rPr>
      <w:t>2</w:t>
    </w:r>
    <w:r>
      <w:rPr>
        <w:rStyle w:val="PageNumber"/>
      </w:rPr>
      <w:fldChar w:fldCharType="end"/>
    </w:r>
  </w:p>
  <w:p w14:paraId="0DADBAEF" w14:textId="77777777" w:rsidR="00EE49E3" w:rsidRDefault="00EE49E3" w:rsidP="00FC3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C0AD" w14:textId="77777777" w:rsidR="007379B4" w:rsidRDefault="007379B4" w:rsidP="007F1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4D2">
      <w:rPr>
        <w:rStyle w:val="PageNumber"/>
        <w:noProof/>
      </w:rPr>
      <w:t>2</w:t>
    </w:r>
    <w:r>
      <w:rPr>
        <w:rStyle w:val="PageNumber"/>
      </w:rPr>
      <w:fldChar w:fldCharType="end"/>
    </w:r>
  </w:p>
  <w:p w14:paraId="3E3E2D68" w14:textId="77777777" w:rsidR="007379B4" w:rsidRDefault="007379B4" w:rsidP="006C359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2937" w14:textId="77777777" w:rsidR="007379B4" w:rsidRDefault="007379B4" w:rsidP="007F16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94D">
      <w:rPr>
        <w:rStyle w:val="PageNumber"/>
        <w:noProof/>
      </w:rPr>
      <w:t>10</w:t>
    </w:r>
    <w:r>
      <w:rPr>
        <w:rStyle w:val="PageNumber"/>
      </w:rPr>
      <w:fldChar w:fldCharType="end"/>
    </w:r>
  </w:p>
  <w:p w14:paraId="38689C4E" w14:textId="77777777" w:rsidR="007379B4" w:rsidRDefault="007379B4" w:rsidP="006C35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E292" w14:textId="77777777" w:rsidR="0044703F" w:rsidRDefault="0044703F" w:rsidP="007379B4">
      <w:pPr>
        <w:spacing w:after="0" w:line="240" w:lineRule="auto"/>
      </w:pPr>
      <w:r>
        <w:separator/>
      </w:r>
    </w:p>
  </w:footnote>
  <w:footnote w:type="continuationSeparator" w:id="0">
    <w:p w14:paraId="3AD03C7D" w14:textId="77777777" w:rsidR="0044703F" w:rsidRDefault="0044703F" w:rsidP="0073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3C"/>
    <w:multiLevelType w:val="hybridMultilevel"/>
    <w:tmpl w:val="3BC8B638"/>
    <w:lvl w:ilvl="0" w:tplc="648A9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0675E"/>
    <w:multiLevelType w:val="hybridMultilevel"/>
    <w:tmpl w:val="14C2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F25AE"/>
    <w:multiLevelType w:val="hybridMultilevel"/>
    <w:tmpl w:val="BC00E90C"/>
    <w:lvl w:ilvl="0" w:tplc="7CB6D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D666A"/>
    <w:multiLevelType w:val="hybridMultilevel"/>
    <w:tmpl w:val="221C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exatpswrfd94etax55efrsvzxwv95f5dtv&quot;&gt;My EndNote Library&lt;record-ids&gt;&lt;item&gt;390&lt;/item&gt;&lt;item&gt;885&lt;/item&gt;&lt;item&gt;886&lt;/item&gt;&lt;item&gt;887&lt;/item&gt;&lt;item&gt;888&lt;/item&gt;&lt;item&gt;889&lt;/item&gt;&lt;item&gt;890&lt;/item&gt;&lt;item&gt;989&lt;/item&gt;&lt;/record-ids&gt;&lt;/item&gt;&lt;/Libraries&gt;"/>
  </w:docVars>
  <w:rsids>
    <w:rsidRoot w:val="00255AFB"/>
    <w:rsid w:val="00014166"/>
    <w:rsid w:val="00023A58"/>
    <w:rsid w:val="0002600A"/>
    <w:rsid w:val="000272C3"/>
    <w:rsid w:val="00035DFF"/>
    <w:rsid w:val="0003736B"/>
    <w:rsid w:val="0004216E"/>
    <w:rsid w:val="00055200"/>
    <w:rsid w:val="00070491"/>
    <w:rsid w:val="000714D2"/>
    <w:rsid w:val="000820F9"/>
    <w:rsid w:val="000A0133"/>
    <w:rsid w:val="000A73FB"/>
    <w:rsid w:val="000B4F23"/>
    <w:rsid w:val="000B5903"/>
    <w:rsid w:val="000C23E3"/>
    <w:rsid w:val="000C7445"/>
    <w:rsid w:val="000D334B"/>
    <w:rsid w:val="000E15C7"/>
    <w:rsid w:val="000E7406"/>
    <w:rsid w:val="00105532"/>
    <w:rsid w:val="00106CE5"/>
    <w:rsid w:val="00114C71"/>
    <w:rsid w:val="0013283A"/>
    <w:rsid w:val="0014004B"/>
    <w:rsid w:val="001500F5"/>
    <w:rsid w:val="00151B6C"/>
    <w:rsid w:val="00152415"/>
    <w:rsid w:val="0015378C"/>
    <w:rsid w:val="00167158"/>
    <w:rsid w:val="00171F42"/>
    <w:rsid w:val="00171F7E"/>
    <w:rsid w:val="00174FE8"/>
    <w:rsid w:val="00183A4A"/>
    <w:rsid w:val="00190258"/>
    <w:rsid w:val="001946C6"/>
    <w:rsid w:val="001A4BAA"/>
    <w:rsid w:val="001C0571"/>
    <w:rsid w:val="001D24DB"/>
    <w:rsid w:val="001D2740"/>
    <w:rsid w:val="001D582B"/>
    <w:rsid w:val="001D7D75"/>
    <w:rsid w:val="001E1A7E"/>
    <w:rsid w:val="001F18C6"/>
    <w:rsid w:val="001F49F4"/>
    <w:rsid w:val="00215834"/>
    <w:rsid w:val="002210C9"/>
    <w:rsid w:val="002307E4"/>
    <w:rsid w:val="00243577"/>
    <w:rsid w:val="00255330"/>
    <w:rsid w:val="0025571C"/>
    <w:rsid w:val="00255AFB"/>
    <w:rsid w:val="0027041F"/>
    <w:rsid w:val="0027077E"/>
    <w:rsid w:val="00287FB9"/>
    <w:rsid w:val="00290B74"/>
    <w:rsid w:val="00296AFB"/>
    <w:rsid w:val="002A4309"/>
    <w:rsid w:val="002B09AD"/>
    <w:rsid w:val="002B6890"/>
    <w:rsid w:val="002B78B4"/>
    <w:rsid w:val="002C22ED"/>
    <w:rsid w:val="002C373B"/>
    <w:rsid w:val="002C6562"/>
    <w:rsid w:val="002D33D1"/>
    <w:rsid w:val="002D5284"/>
    <w:rsid w:val="002E1375"/>
    <w:rsid w:val="002E707F"/>
    <w:rsid w:val="002F1165"/>
    <w:rsid w:val="002F34D2"/>
    <w:rsid w:val="002F621E"/>
    <w:rsid w:val="00313B92"/>
    <w:rsid w:val="00313C33"/>
    <w:rsid w:val="00324E6F"/>
    <w:rsid w:val="00332F91"/>
    <w:rsid w:val="0034067D"/>
    <w:rsid w:val="003427F4"/>
    <w:rsid w:val="00352967"/>
    <w:rsid w:val="00357CF0"/>
    <w:rsid w:val="003616AD"/>
    <w:rsid w:val="003D1CE4"/>
    <w:rsid w:val="003D2DA3"/>
    <w:rsid w:val="003E2003"/>
    <w:rsid w:val="003E34F1"/>
    <w:rsid w:val="003E43C4"/>
    <w:rsid w:val="003F3316"/>
    <w:rsid w:val="003F7189"/>
    <w:rsid w:val="00400549"/>
    <w:rsid w:val="00406B2C"/>
    <w:rsid w:val="00417CB4"/>
    <w:rsid w:val="00420BD3"/>
    <w:rsid w:val="00424CF4"/>
    <w:rsid w:val="00436FFC"/>
    <w:rsid w:val="00445F53"/>
    <w:rsid w:val="0044703F"/>
    <w:rsid w:val="0045018E"/>
    <w:rsid w:val="00450CC7"/>
    <w:rsid w:val="004545B2"/>
    <w:rsid w:val="00455AA5"/>
    <w:rsid w:val="00462F06"/>
    <w:rsid w:val="004655DB"/>
    <w:rsid w:val="00473F50"/>
    <w:rsid w:val="0048493F"/>
    <w:rsid w:val="00485836"/>
    <w:rsid w:val="004862AB"/>
    <w:rsid w:val="004A4BCB"/>
    <w:rsid w:val="004A7E70"/>
    <w:rsid w:val="004B3469"/>
    <w:rsid w:val="004B5A87"/>
    <w:rsid w:val="004B7EC3"/>
    <w:rsid w:val="004C1CBE"/>
    <w:rsid w:val="004C5999"/>
    <w:rsid w:val="004D2D60"/>
    <w:rsid w:val="004E2ED5"/>
    <w:rsid w:val="004E618A"/>
    <w:rsid w:val="004F2020"/>
    <w:rsid w:val="00500C99"/>
    <w:rsid w:val="0050504F"/>
    <w:rsid w:val="00505A63"/>
    <w:rsid w:val="005065FA"/>
    <w:rsid w:val="00510166"/>
    <w:rsid w:val="00530C24"/>
    <w:rsid w:val="0054034B"/>
    <w:rsid w:val="0055076C"/>
    <w:rsid w:val="00557B23"/>
    <w:rsid w:val="00581928"/>
    <w:rsid w:val="00593BCC"/>
    <w:rsid w:val="005A1D7F"/>
    <w:rsid w:val="005A3675"/>
    <w:rsid w:val="005A7FAC"/>
    <w:rsid w:val="005B39C1"/>
    <w:rsid w:val="005C51CD"/>
    <w:rsid w:val="005C7AD5"/>
    <w:rsid w:val="005D0F46"/>
    <w:rsid w:val="005D41FF"/>
    <w:rsid w:val="005D4D98"/>
    <w:rsid w:val="005E37DE"/>
    <w:rsid w:val="005F4D75"/>
    <w:rsid w:val="00603074"/>
    <w:rsid w:val="00603D86"/>
    <w:rsid w:val="00615BB0"/>
    <w:rsid w:val="00634952"/>
    <w:rsid w:val="00635EA2"/>
    <w:rsid w:val="0063699D"/>
    <w:rsid w:val="006509A8"/>
    <w:rsid w:val="006A7BE3"/>
    <w:rsid w:val="006B5CC2"/>
    <w:rsid w:val="006C00C2"/>
    <w:rsid w:val="006C026E"/>
    <w:rsid w:val="006C359A"/>
    <w:rsid w:val="006D465B"/>
    <w:rsid w:val="006D6E7A"/>
    <w:rsid w:val="006E0BE5"/>
    <w:rsid w:val="006E2E6C"/>
    <w:rsid w:val="006E428F"/>
    <w:rsid w:val="006F0326"/>
    <w:rsid w:val="00700E3E"/>
    <w:rsid w:val="00712108"/>
    <w:rsid w:val="0072157A"/>
    <w:rsid w:val="00721855"/>
    <w:rsid w:val="0072412F"/>
    <w:rsid w:val="00726E40"/>
    <w:rsid w:val="0072744F"/>
    <w:rsid w:val="00736F0B"/>
    <w:rsid w:val="007379B4"/>
    <w:rsid w:val="00737A2A"/>
    <w:rsid w:val="00740788"/>
    <w:rsid w:val="00750E25"/>
    <w:rsid w:val="00752F57"/>
    <w:rsid w:val="007574EE"/>
    <w:rsid w:val="007649EB"/>
    <w:rsid w:val="00771126"/>
    <w:rsid w:val="007801C8"/>
    <w:rsid w:val="00782844"/>
    <w:rsid w:val="0078285E"/>
    <w:rsid w:val="00783C01"/>
    <w:rsid w:val="007A5AFF"/>
    <w:rsid w:val="007B39DC"/>
    <w:rsid w:val="007B4F7E"/>
    <w:rsid w:val="007C294D"/>
    <w:rsid w:val="007C7B34"/>
    <w:rsid w:val="007D3931"/>
    <w:rsid w:val="007E0A95"/>
    <w:rsid w:val="007E6280"/>
    <w:rsid w:val="007E6E41"/>
    <w:rsid w:val="007F2374"/>
    <w:rsid w:val="007F59D2"/>
    <w:rsid w:val="007F602E"/>
    <w:rsid w:val="00806FB0"/>
    <w:rsid w:val="00810286"/>
    <w:rsid w:val="008227CE"/>
    <w:rsid w:val="00835D12"/>
    <w:rsid w:val="008360D3"/>
    <w:rsid w:val="00841F19"/>
    <w:rsid w:val="00844604"/>
    <w:rsid w:val="008456B0"/>
    <w:rsid w:val="008529FB"/>
    <w:rsid w:val="008554B5"/>
    <w:rsid w:val="00872384"/>
    <w:rsid w:val="008851BC"/>
    <w:rsid w:val="0088674F"/>
    <w:rsid w:val="008905F9"/>
    <w:rsid w:val="008A3715"/>
    <w:rsid w:val="008A402C"/>
    <w:rsid w:val="008A5776"/>
    <w:rsid w:val="008B629B"/>
    <w:rsid w:val="008B7DC8"/>
    <w:rsid w:val="008C305C"/>
    <w:rsid w:val="008C684B"/>
    <w:rsid w:val="008C7CCE"/>
    <w:rsid w:val="008C7DD8"/>
    <w:rsid w:val="008D0C42"/>
    <w:rsid w:val="008D6376"/>
    <w:rsid w:val="008E2263"/>
    <w:rsid w:val="008E4045"/>
    <w:rsid w:val="008F4ED4"/>
    <w:rsid w:val="008F54C2"/>
    <w:rsid w:val="008F5E72"/>
    <w:rsid w:val="009011F1"/>
    <w:rsid w:val="009151D4"/>
    <w:rsid w:val="009220D6"/>
    <w:rsid w:val="00922B76"/>
    <w:rsid w:val="009247D5"/>
    <w:rsid w:val="00936768"/>
    <w:rsid w:val="00937E85"/>
    <w:rsid w:val="0094771D"/>
    <w:rsid w:val="00953AAB"/>
    <w:rsid w:val="009547EF"/>
    <w:rsid w:val="00957156"/>
    <w:rsid w:val="00967F9D"/>
    <w:rsid w:val="00973646"/>
    <w:rsid w:val="00981620"/>
    <w:rsid w:val="009C0601"/>
    <w:rsid w:val="009C5663"/>
    <w:rsid w:val="009D0106"/>
    <w:rsid w:val="009D0E3C"/>
    <w:rsid w:val="009E24BA"/>
    <w:rsid w:val="009E7A13"/>
    <w:rsid w:val="009F073F"/>
    <w:rsid w:val="009F2486"/>
    <w:rsid w:val="009F7EC4"/>
    <w:rsid w:val="00A04926"/>
    <w:rsid w:val="00A06B0E"/>
    <w:rsid w:val="00A0759C"/>
    <w:rsid w:val="00A1314B"/>
    <w:rsid w:val="00A21EBA"/>
    <w:rsid w:val="00A23B2F"/>
    <w:rsid w:val="00A45A85"/>
    <w:rsid w:val="00A472D3"/>
    <w:rsid w:val="00A512C6"/>
    <w:rsid w:val="00A51794"/>
    <w:rsid w:val="00A52EA8"/>
    <w:rsid w:val="00A618C7"/>
    <w:rsid w:val="00A62C97"/>
    <w:rsid w:val="00A83B12"/>
    <w:rsid w:val="00A85EB4"/>
    <w:rsid w:val="00A911B8"/>
    <w:rsid w:val="00AC20DB"/>
    <w:rsid w:val="00AC5982"/>
    <w:rsid w:val="00AF5AA6"/>
    <w:rsid w:val="00AF7B0B"/>
    <w:rsid w:val="00B01ECC"/>
    <w:rsid w:val="00B036BA"/>
    <w:rsid w:val="00B1155C"/>
    <w:rsid w:val="00B11B19"/>
    <w:rsid w:val="00B22FDC"/>
    <w:rsid w:val="00B31EC8"/>
    <w:rsid w:val="00B33778"/>
    <w:rsid w:val="00B453E0"/>
    <w:rsid w:val="00B52A23"/>
    <w:rsid w:val="00B5327A"/>
    <w:rsid w:val="00B56DDC"/>
    <w:rsid w:val="00B615ED"/>
    <w:rsid w:val="00B74EB1"/>
    <w:rsid w:val="00B75F6F"/>
    <w:rsid w:val="00B80464"/>
    <w:rsid w:val="00B8093A"/>
    <w:rsid w:val="00B83DF3"/>
    <w:rsid w:val="00B8481A"/>
    <w:rsid w:val="00B90F8D"/>
    <w:rsid w:val="00B91524"/>
    <w:rsid w:val="00B95335"/>
    <w:rsid w:val="00BB4CD2"/>
    <w:rsid w:val="00BB4CD8"/>
    <w:rsid w:val="00BB785F"/>
    <w:rsid w:val="00BC24F8"/>
    <w:rsid w:val="00BC27E7"/>
    <w:rsid w:val="00BC62DF"/>
    <w:rsid w:val="00BD72A5"/>
    <w:rsid w:val="00BF1D4E"/>
    <w:rsid w:val="00BF71F3"/>
    <w:rsid w:val="00BF791B"/>
    <w:rsid w:val="00C037E7"/>
    <w:rsid w:val="00C247A5"/>
    <w:rsid w:val="00C24A9A"/>
    <w:rsid w:val="00C25528"/>
    <w:rsid w:val="00C3173F"/>
    <w:rsid w:val="00C33966"/>
    <w:rsid w:val="00C33A0F"/>
    <w:rsid w:val="00C42CE1"/>
    <w:rsid w:val="00C52166"/>
    <w:rsid w:val="00C52D34"/>
    <w:rsid w:val="00C542E4"/>
    <w:rsid w:val="00C74591"/>
    <w:rsid w:val="00C760D5"/>
    <w:rsid w:val="00C77599"/>
    <w:rsid w:val="00C92851"/>
    <w:rsid w:val="00C94466"/>
    <w:rsid w:val="00C977E0"/>
    <w:rsid w:val="00CA2BB3"/>
    <w:rsid w:val="00CA3DFC"/>
    <w:rsid w:val="00CB21C0"/>
    <w:rsid w:val="00CB22E8"/>
    <w:rsid w:val="00CC5B69"/>
    <w:rsid w:val="00CE072F"/>
    <w:rsid w:val="00CE7302"/>
    <w:rsid w:val="00CE7579"/>
    <w:rsid w:val="00D00A8C"/>
    <w:rsid w:val="00D1173A"/>
    <w:rsid w:val="00D21F99"/>
    <w:rsid w:val="00D23030"/>
    <w:rsid w:val="00D24D5C"/>
    <w:rsid w:val="00D2520B"/>
    <w:rsid w:val="00D318A6"/>
    <w:rsid w:val="00D31925"/>
    <w:rsid w:val="00D45EF4"/>
    <w:rsid w:val="00D54895"/>
    <w:rsid w:val="00D559AC"/>
    <w:rsid w:val="00D85DBB"/>
    <w:rsid w:val="00D9081B"/>
    <w:rsid w:val="00D92108"/>
    <w:rsid w:val="00D94687"/>
    <w:rsid w:val="00D963F9"/>
    <w:rsid w:val="00D97CF0"/>
    <w:rsid w:val="00DA3D97"/>
    <w:rsid w:val="00DB01F8"/>
    <w:rsid w:val="00DB1C4E"/>
    <w:rsid w:val="00DB4C65"/>
    <w:rsid w:val="00DB64D5"/>
    <w:rsid w:val="00DC4BB8"/>
    <w:rsid w:val="00DC57C3"/>
    <w:rsid w:val="00DC7ECF"/>
    <w:rsid w:val="00DD02AA"/>
    <w:rsid w:val="00DD0B50"/>
    <w:rsid w:val="00DD3851"/>
    <w:rsid w:val="00DD7F3A"/>
    <w:rsid w:val="00DF3F24"/>
    <w:rsid w:val="00E043BA"/>
    <w:rsid w:val="00E106DD"/>
    <w:rsid w:val="00E23B1A"/>
    <w:rsid w:val="00E27070"/>
    <w:rsid w:val="00E2767B"/>
    <w:rsid w:val="00E33B28"/>
    <w:rsid w:val="00E50853"/>
    <w:rsid w:val="00E533B7"/>
    <w:rsid w:val="00E54C63"/>
    <w:rsid w:val="00E57D45"/>
    <w:rsid w:val="00E6075D"/>
    <w:rsid w:val="00E678AA"/>
    <w:rsid w:val="00E80E14"/>
    <w:rsid w:val="00E820A4"/>
    <w:rsid w:val="00E87E99"/>
    <w:rsid w:val="00EA4315"/>
    <w:rsid w:val="00EA4437"/>
    <w:rsid w:val="00EB1DC8"/>
    <w:rsid w:val="00EB1E7D"/>
    <w:rsid w:val="00EB41C3"/>
    <w:rsid w:val="00EC1D3E"/>
    <w:rsid w:val="00EC69F1"/>
    <w:rsid w:val="00EC7905"/>
    <w:rsid w:val="00EE49E3"/>
    <w:rsid w:val="00EF3E62"/>
    <w:rsid w:val="00F12D43"/>
    <w:rsid w:val="00F41361"/>
    <w:rsid w:val="00F46268"/>
    <w:rsid w:val="00F508B8"/>
    <w:rsid w:val="00F54FFC"/>
    <w:rsid w:val="00F556AA"/>
    <w:rsid w:val="00F601FE"/>
    <w:rsid w:val="00F74332"/>
    <w:rsid w:val="00F921E6"/>
    <w:rsid w:val="00FA277F"/>
    <w:rsid w:val="00FA50E8"/>
    <w:rsid w:val="00FA523C"/>
    <w:rsid w:val="00FB3C07"/>
    <w:rsid w:val="00FB4487"/>
    <w:rsid w:val="00FB7434"/>
    <w:rsid w:val="00FC3B67"/>
    <w:rsid w:val="00FC7BFE"/>
    <w:rsid w:val="00FD145E"/>
    <w:rsid w:val="00FE2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96EAD"/>
  <w15:docId w15:val="{1680E4FE-952D-7E42-989F-DA6457DD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84"/>
    <w:pPr>
      <w:ind w:left="720"/>
      <w:contextualSpacing/>
    </w:pPr>
  </w:style>
  <w:style w:type="table" w:styleId="TableGrid">
    <w:name w:val="Table Grid"/>
    <w:basedOn w:val="TableNormal"/>
    <w:uiPriority w:val="59"/>
    <w:rsid w:val="00A04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4B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24BA"/>
    <w:rPr>
      <w:rFonts w:ascii="Lucida Grande" w:hAnsi="Lucida Grande"/>
      <w:sz w:val="18"/>
      <w:szCs w:val="18"/>
    </w:rPr>
  </w:style>
  <w:style w:type="paragraph" w:styleId="Footer">
    <w:name w:val="footer"/>
    <w:basedOn w:val="Normal"/>
    <w:link w:val="FooterChar"/>
    <w:uiPriority w:val="99"/>
    <w:unhideWhenUsed/>
    <w:rsid w:val="007379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79B4"/>
  </w:style>
  <w:style w:type="character" w:styleId="PageNumber">
    <w:name w:val="page number"/>
    <w:basedOn w:val="DefaultParagraphFont"/>
    <w:uiPriority w:val="99"/>
    <w:semiHidden/>
    <w:unhideWhenUsed/>
    <w:rsid w:val="007379B4"/>
  </w:style>
  <w:style w:type="paragraph" w:styleId="Revision">
    <w:name w:val="Revision"/>
    <w:hidden/>
    <w:uiPriority w:val="99"/>
    <w:semiHidden/>
    <w:rsid w:val="006C359A"/>
    <w:pPr>
      <w:spacing w:after="0" w:line="240" w:lineRule="auto"/>
    </w:pPr>
  </w:style>
  <w:style w:type="paragraph" w:styleId="Header">
    <w:name w:val="header"/>
    <w:basedOn w:val="Normal"/>
    <w:link w:val="HeaderChar"/>
    <w:uiPriority w:val="99"/>
    <w:unhideWhenUsed/>
    <w:rsid w:val="006C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3104">
      <w:bodyDiv w:val="1"/>
      <w:marLeft w:val="0"/>
      <w:marRight w:val="0"/>
      <w:marTop w:val="0"/>
      <w:marBottom w:val="0"/>
      <w:divBdr>
        <w:top w:val="none" w:sz="0" w:space="0" w:color="auto"/>
        <w:left w:val="none" w:sz="0" w:space="0" w:color="auto"/>
        <w:bottom w:val="none" w:sz="0" w:space="0" w:color="auto"/>
        <w:right w:val="none" w:sz="0" w:space="0" w:color="auto"/>
      </w:divBdr>
    </w:div>
    <w:div w:id="189148583">
      <w:bodyDiv w:val="1"/>
      <w:marLeft w:val="0"/>
      <w:marRight w:val="0"/>
      <w:marTop w:val="0"/>
      <w:marBottom w:val="0"/>
      <w:divBdr>
        <w:top w:val="none" w:sz="0" w:space="0" w:color="auto"/>
        <w:left w:val="none" w:sz="0" w:space="0" w:color="auto"/>
        <w:bottom w:val="none" w:sz="0" w:space="0" w:color="auto"/>
        <w:right w:val="none" w:sz="0" w:space="0" w:color="auto"/>
      </w:divBdr>
    </w:div>
    <w:div w:id="236476375">
      <w:bodyDiv w:val="1"/>
      <w:marLeft w:val="0"/>
      <w:marRight w:val="0"/>
      <w:marTop w:val="0"/>
      <w:marBottom w:val="0"/>
      <w:divBdr>
        <w:top w:val="none" w:sz="0" w:space="0" w:color="auto"/>
        <w:left w:val="none" w:sz="0" w:space="0" w:color="auto"/>
        <w:bottom w:val="none" w:sz="0" w:space="0" w:color="auto"/>
        <w:right w:val="none" w:sz="0" w:space="0" w:color="auto"/>
      </w:divBdr>
    </w:div>
    <w:div w:id="261301304">
      <w:bodyDiv w:val="1"/>
      <w:marLeft w:val="0"/>
      <w:marRight w:val="0"/>
      <w:marTop w:val="0"/>
      <w:marBottom w:val="0"/>
      <w:divBdr>
        <w:top w:val="none" w:sz="0" w:space="0" w:color="auto"/>
        <w:left w:val="none" w:sz="0" w:space="0" w:color="auto"/>
        <w:bottom w:val="none" w:sz="0" w:space="0" w:color="auto"/>
        <w:right w:val="none" w:sz="0" w:space="0" w:color="auto"/>
      </w:divBdr>
    </w:div>
    <w:div w:id="408888391">
      <w:bodyDiv w:val="1"/>
      <w:marLeft w:val="0"/>
      <w:marRight w:val="0"/>
      <w:marTop w:val="0"/>
      <w:marBottom w:val="0"/>
      <w:divBdr>
        <w:top w:val="none" w:sz="0" w:space="0" w:color="auto"/>
        <w:left w:val="none" w:sz="0" w:space="0" w:color="auto"/>
        <w:bottom w:val="none" w:sz="0" w:space="0" w:color="auto"/>
        <w:right w:val="none" w:sz="0" w:space="0" w:color="auto"/>
      </w:divBdr>
    </w:div>
    <w:div w:id="764961034">
      <w:bodyDiv w:val="1"/>
      <w:marLeft w:val="0"/>
      <w:marRight w:val="0"/>
      <w:marTop w:val="0"/>
      <w:marBottom w:val="0"/>
      <w:divBdr>
        <w:top w:val="none" w:sz="0" w:space="0" w:color="auto"/>
        <w:left w:val="none" w:sz="0" w:space="0" w:color="auto"/>
        <w:bottom w:val="none" w:sz="0" w:space="0" w:color="auto"/>
        <w:right w:val="none" w:sz="0" w:space="0" w:color="auto"/>
      </w:divBdr>
    </w:div>
    <w:div w:id="813909153">
      <w:bodyDiv w:val="1"/>
      <w:marLeft w:val="0"/>
      <w:marRight w:val="0"/>
      <w:marTop w:val="0"/>
      <w:marBottom w:val="0"/>
      <w:divBdr>
        <w:top w:val="none" w:sz="0" w:space="0" w:color="auto"/>
        <w:left w:val="none" w:sz="0" w:space="0" w:color="auto"/>
        <w:bottom w:val="none" w:sz="0" w:space="0" w:color="auto"/>
        <w:right w:val="none" w:sz="0" w:space="0" w:color="auto"/>
      </w:divBdr>
    </w:div>
    <w:div w:id="981425317">
      <w:bodyDiv w:val="1"/>
      <w:marLeft w:val="0"/>
      <w:marRight w:val="0"/>
      <w:marTop w:val="0"/>
      <w:marBottom w:val="0"/>
      <w:divBdr>
        <w:top w:val="none" w:sz="0" w:space="0" w:color="auto"/>
        <w:left w:val="none" w:sz="0" w:space="0" w:color="auto"/>
        <w:bottom w:val="none" w:sz="0" w:space="0" w:color="auto"/>
        <w:right w:val="none" w:sz="0" w:space="0" w:color="auto"/>
      </w:divBdr>
    </w:div>
    <w:div w:id="1060834775">
      <w:bodyDiv w:val="1"/>
      <w:marLeft w:val="0"/>
      <w:marRight w:val="0"/>
      <w:marTop w:val="0"/>
      <w:marBottom w:val="0"/>
      <w:divBdr>
        <w:top w:val="none" w:sz="0" w:space="0" w:color="auto"/>
        <w:left w:val="none" w:sz="0" w:space="0" w:color="auto"/>
        <w:bottom w:val="none" w:sz="0" w:space="0" w:color="auto"/>
        <w:right w:val="none" w:sz="0" w:space="0" w:color="auto"/>
      </w:divBdr>
    </w:div>
    <w:div w:id="1125080112">
      <w:bodyDiv w:val="1"/>
      <w:marLeft w:val="0"/>
      <w:marRight w:val="0"/>
      <w:marTop w:val="0"/>
      <w:marBottom w:val="0"/>
      <w:divBdr>
        <w:top w:val="none" w:sz="0" w:space="0" w:color="auto"/>
        <w:left w:val="none" w:sz="0" w:space="0" w:color="auto"/>
        <w:bottom w:val="none" w:sz="0" w:space="0" w:color="auto"/>
        <w:right w:val="none" w:sz="0" w:space="0" w:color="auto"/>
      </w:divBdr>
    </w:div>
    <w:div w:id="1138692417">
      <w:bodyDiv w:val="1"/>
      <w:marLeft w:val="0"/>
      <w:marRight w:val="0"/>
      <w:marTop w:val="0"/>
      <w:marBottom w:val="0"/>
      <w:divBdr>
        <w:top w:val="none" w:sz="0" w:space="0" w:color="auto"/>
        <w:left w:val="none" w:sz="0" w:space="0" w:color="auto"/>
        <w:bottom w:val="none" w:sz="0" w:space="0" w:color="auto"/>
        <w:right w:val="none" w:sz="0" w:space="0" w:color="auto"/>
      </w:divBdr>
    </w:div>
    <w:div w:id="1145972749">
      <w:bodyDiv w:val="1"/>
      <w:marLeft w:val="0"/>
      <w:marRight w:val="0"/>
      <w:marTop w:val="0"/>
      <w:marBottom w:val="0"/>
      <w:divBdr>
        <w:top w:val="none" w:sz="0" w:space="0" w:color="auto"/>
        <w:left w:val="none" w:sz="0" w:space="0" w:color="auto"/>
        <w:bottom w:val="none" w:sz="0" w:space="0" w:color="auto"/>
        <w:right w:val="none" w:sz="0" w:space="0" w:color="auto"/>
      </w:divBdr>
    </w:div>
    <w:div w:id="1151362207">
      <w:bodyDiv w:val="1"/>
      <w:marLeft w:val="0"/>
      <w:marRight w:val="0"/>
      <w:marTop w:val="0"/>
      <w:marBottom w:val="0"/>
      <w:divBdr>
        <w:top w:val="none" w:sz="0" w:space="0" w:color="auto"/>
        <w:left w:val="none" w:sz="0" w:space="0" w:color="auto"/>
        <w:bottom w:val="none" w:sz="0" w:space="0" w:color="auto"/>
        <w:right w:val="none" w:sz="0" w:space="0" w:color="auto"/>
      </w:divBdr>
    </w:div>
    <w:div w:id="1264461307">
      <w:bodyDiv w:val="1"/>
      <w:marLeft w:val="0"/>
      <w:marRight w:val="0"/>
      <w:marTop w:val="0"/>
      <w:marBottom w:val="0"/>
      <w:divBdr>
        <w:top w:val="none" w:sz="0" w:space="0" w:color="auto"/>
        <w:left w:val="none" w:sz="0" w:space="0" w:color="auto"/>
        <w:bottom w:val="none" w:sz="0" w:space="0" w:color="auto"/>
        <w:right w:val="none" w:sz="0" w:space="0" w:color="auto"/>
      </w:divBdr>
    </w:div>
    <w:div w:id="1266964127">
      <w:bodyDiv w:val="1"/>
      <w:marLeft w:val="0"/>
      <w:marRight w:val="0"/>
      <w:marTop w:val="0"/>
      <w:marBottom w:val="0"/>
      <w:divBdr>
        <w:top w:val="none" w:sz="0" w:space="0" w:color="auto"/>
        <w:left w:val="none" w:sz="0" w:space="0" w:color="auto"/>
        <w:bottom w:val="none" w:sz="0" w:space="0" w:color="auto"/>
        <w:right w:val="none" w:sz="0" w:space="0" w:color="auto"/>
      </w:divBdr>
    </w:div>
    <w:div w:id="1655601541">
      <w:bodyDiv w:val="1"/>
      <w:marLeft w:val="0"/>
      <w:marRight w:val="0"/>
      <w:marTop w:val="0"/>
      <w:marBottom w:val="0"/>
      <w:divBdr>
        <w:top w:val="none" w:sz="0" w:space="0" w:color="auto"/>
        <w:left w:val="none" w:sz="0" w:space="0" w:color="auto"/>
        <w:bottom w:val="none" w:sz="0" w:space="0" w:color="auto"/>
        <w:right w:val="none" w:sz="0" w:space="0" w:color="auto"/>
      </w:divBdr>
    </w:div>
    <w:div w:id="1786730696">
      <w:bodyDiv w:val="1"/>
      <w:marLeft w:val="0"/>
      <w:marRight w:val="0"/>
      <w:marTop w:val="0"/>
      <w:marBottom w:val="0"/>
      <w:divBdr>
        <w:top w:val="none" w:sz="0" w:space="0" w:color="auto"/>
        <w:left w:val="none" w:sz="0" w:space="0" w:color="auto"/>
        <w:bottom w:val="none" w:sz="0" w:space="0" w:color="auto"/>
        <w:right w:val="none" w:sz="0" w:space="0" w:color="auto"/>
      </w:divBdr>
    </w:div>
    <w:div w:id="2049453913">
      <w:bodyDiv w:val="1"/>
      <w:marLeft w:val="0"/>
      <w:marRight w:val="0"/>
      <w:marTop w:val="0"/>
      <w:marBottom w:val="0"/>
      <w:divBdr>
        <w:top w:val="none" w:sz="0" w:space="0" w:color="auto"/>
        <w:left w:val="none" w:sz="0" w:space="0" w:color="auto"/>
        <w:bottom w:val="none" w:sz="0" w:space="0" w:color="auto"/>
        <w:right w:val="none" w:sz="0" w:space="0" w:color="auto"/>
      </w:divBdr>
    </w:div>
    <w:div w:id="20744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Xu</dc:creator>
  <cp:lastModifiedBy>Ping Xu</cp:lastModifiedBy>
  <cp:revision>6</cp:revision>
  <cp:lastPrinted>2019-09-03T18:01:00Z</cp:lastPrinted>
  <dcterms:created xsi:type="dcterms:W3CDTF">2021-07-13T20:21:00Z</dcterms:created>
  <dcterms:modified xsi:type="dcterms:W3CDTF">2021-11-29T07:22:00Z</dcterms:modified>
</cp:coreProperties>
</file>