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45" w:rsidRPr="00886E04" w:rsidRDefault="00F32D45" w:rsidP="00F32D45">
      <w:pPr>
        <w:pStyle w:val="berschrift1"/>
        <w:rPr>
          <w:lang w:val="en-US"/>
        </w:rPr>
      </w:pPr>
      <w:r w:rsidRPr="00886E04">
        <w:rPr>
          <w:lang w:val="en-US"/>
        </w:rPr>
        <w:t xml:space="preserve">Supplement </w:t>
      </w:r>
    </w:p>
    <w:p w:rsidR="009D7E89" w:rsidRPr="009D7E89" w:rsidRDefault="009D7E89" w:rsidP="009D7E89">
      <w:pPr>
        <w:jc w:val="center"/>
        <w:rPr>
          <w:b/>
          <w:sz w:val="24"/>
          <w:szCs w:val="24"/>
          <w:lang w:val="en-US"/>
        </w:rPr>
      </w:pPr>
    </w:p>
    <w:p w:rsidR="00F32D45" w:rsidRPr="009D7E89" w:rsidRDefault="00F32D45" w:rsidP="009D7E89">
      <w:pPr>
        <w:jc w:val="center"/>
        <w:rPr>
          <w:b/>
          <w:sz w:val="24"/>
          <w:szCs w:val="24"/>
          <w:lang w:val="en-US"/>
        </w:rPr>
      </w:pPr>
      <w:r w:rsidRPr="009D7E89">
        <w:rPr>
          <w:b/>
          <w:sz w:val="24"/>
          <w:szCs w:val="24"/>
          <w:lang w:val="en-US"/>
        </w:rPr>
        <w:t>Stability over time of psychiatric ratings and questionnaire results, but not cognitive performance in control individuals</w:t>
      </w:r>
    </w:p>
    <w:p w:rsidR="009D7E89" w:rsidRPr="003A4B9E" w:rsidRDefault="009D7E89" w:rsidP="009D7E89">
      <w:pPr>
        <w:jc w:val="center"/>
        <w:rPr>
          <w:lang w:val="en-US"/>
        </w:rPr>
      </w:pPr>
      <w:r w:rsidRPr="003A4B9E">
        <w:rPr>
          <w:lang w:val="en-US"/>
        </w:rPr>
        <w:t>Stahl, Katharina</w:t>
      </w:r>
      <w:r w:rsidRPr="004D2555">
        <w:rPr>
          <w:lang w:val="en-US"/>
        </w:rPr>
        <w:t xml:space="preserve">, </w:t>
      </w:r>
      <w:proofErr w:type="spellStart"/>
      <w:r w:rsidRPr="003A4B9E">
        <w:rPr>
          <w:lang w:val="en-US"/>
        </w:rPr>
        <w:t>Adorjan</w:t>
      </w:r>
      <w:proofErr w:type="spellEnd"/>
      <w:r w:rsidRPr="003A4B9E">
        <w:rPr>
          <w:lang w:val="en-US"/>
        </w:rPr>
        <w:t>, Kristina</w:t>
      </w:r>
      <w:r w:rsidRPr="004D2555">
        <w:rPr>
          <w:lang w:val="en-US"/>
        </w:rPr>
        <w:t xml:space="preserve">, </w:t>
      </w:r>
      <w:r w:rsidRPr="003A4B9E">
        <w:rPr>
          <w:lang w:val="en-US"/>
        </w:rPr>
        <w:t>Anderson-Schmidt, Heike</w:t>
      </w:r>
      <w:r w:rsidRPr="004D2555">
        <w:rPr>
          <w:lang w:val="en-US"/>
        </w:rPr>
        <w:t xml:space="preserve">, </w:t>
      </w:r>
      <w:r w:rsidRPr="003A4B9E">
        <w:rPr>
          <w:lang w:val="en-US"/>
        </w:rPr>
        <w:t>Budde, Monika</w:t>
      </w:r>
      <w:r w:rsidRPr="004D2555">
        <w:rPr>
          <w:lang w:val="en-US"/>
        </w:rPr>
        <w:t xml:space="preserve">, </w:t>
      </w:r>
      <w:r w:rsidRPr="003A4B9E">
        <w:rPr>
          <w:lang w:val="en-US"/>
        </w:rPr>
        <w:t>Comes, Ashley L.</w:t>
      </w:r>
      <w:r w:rsidRPr="004D2555">
        <w:rPr>
          <w:lang w:val="en-US"/>
        </w:rPr>
        <w:t xml:space="preserve">, </w:t>
      </w:r>
      <w:proofErr w:type="spellStart"/>
      <w:r w:rsidRPr="003A4B9E">
        <w:rPr>
          <w:lang w:val="en-US"/>
        </w:rPr>
        <w:t>Gade</w:t>
      </w:r>
      <w:proofErr w:type="spellEnd"/>
      <w:r w:rsidRPr="003A4B9E">
        <w:rPr>
          <w:lang w:val="en-US"/>
        </w:rPr>
        <w:t xml:space="preserve">, </w:t>
      </w:r>
      <w:proofErr w:type="spellStart"/>
      <w:r w:rsidRPr="003A4B9E">
        <w:rPr>
          <w:lang w:val="en-US"/>
        </w:rPr>
        <w:t>Katrin</w:t>
      </w:r>
      <w:proofErr w:type="spellEnd"/>
      <w:r w:rsidRPr="004D2555">
        <w:rPr>
          <w:lang w:val="en-US"/>
        </w:rPr>
        <w:t xml:space="preserve">, </w:t>
      </w:r>
      <w:r w:rsidRPr="003A4B9E">
        <w:rPr>
          <w:lang w:val="en-US"/>
        </w:rPr>
        <w:t>Heilbronner, Maria</w:t>
      </w:r>
      <w:r w:rsidRPr="004D2555">
        <w:rPr>
          <w:lang w:val="en-US"/>
        </w:rPr>
        <w:t xml:space="preserve">, </w:t>
      </w:r>
      <w:proofErr w:type="spellStart"/>
      <w:r w:rsidRPr="003A4B9E">
        <w:rPr>
          <w:lang w:val="en-US"/>
        </w:rPr>
        <w:t>Kalman</w:t>
      </w:r>
      <w:proofErr w:type="spellEnd"/>
      <w:r w:rsidRPr="004D2555">
        <w:rPr>
          <w:lang w:val="en-US"/>
        </w:rPr>
        <w:t>,</w:t>
      </w:r>
      <w:r w:rsidRPr="003A4B9E">
        <w:rPr>
          <w:lang w:val="en-US"/>
        </w:rPr>
        <w:t xml:space="preserve"> Janos L.</w:t>
      </w:r>
      <w:r w:rsidRPr="004D2555">
        <w:rPr>
          <w:lang w:val="en-US"/>
        </w:rPr>
        <w:t xml:space="preserve">, </w:t>
      </w:r>
      <w:proofErr w:type="spellStart"/>
      <w:r w:rsidRPr="003A4B9E">
        <w:rPr>
          <w:lang w:val="en-US"/>
        </w:rPr>
        <w:t>Klöhn-Saghatolislam</w:t>
      </w:r>
      <w:proofErr w:type="spellEnd"/>
      <w:r w:rsidRPr="003A4B9E">
        <w:rPr>
          <w:lang w:val="en-US"/>
        </w:rPr>
        <w:t xml:space="preserve">, </w:t>
      </w:r>
      <w:proofErr w:type="spellStart"/>
      <w:r w:rsidRPr="003A4B9E">
        <w:rPr>
          <w:lang w:val="en-US"/>
        </w:rPr>
        <w:t>Farahnaz</w:t>
      </w:r>
      <w:proofErr w:type="spellEnd"/>
      <w:r w:rsidRPr="004D2555">
        <w:rPr>
          <w:lang w:val="en-US"/>
        </w:rPr>
        <w:t xml:space="preserve">, </w:t>
      </w:r>
      <w:proofErr w:type="spellStart"/>
      <w:r w:rsidRPr="003A4B9E">
        <w:rPr>
          <w:lang w:val="en-US"/>
        </w:rPr>
        <w:t>Oraki</w:t>
      </w:r>
      <w:proofErr w:type="spellEnd"/>
      <w:r w:rsidRPr="003A4B9E">
        <w:rPr>
          <w:lang w:val="en-US"/>
        </w:rPr>
        <w:t xml:space="preserve"> </w:t>
      </w:r>
      <w:proofErr w:type="spellStart"/>
      <w:r w:rsidRPr="003A4B9E">
        <w:rPr>
          <w:lang w:val="en-US"/>
        </w:rPr>
        <w:t>Kohshour</w:t>
      </w:r>
      <w:proofErr w:type="spellEnd"/>
      <w:r w:rsidRPr="003A4B9E">
        <w:rPr>
          <w:lang w:val="en-US"/>
        </w:rPr>
        <w:t xml:space="preserve">, </w:t>
      </w:r>
      <w:proofErr w:type="spellStart"/>
      <w:r w:rsidRPr="003A4B9E">
        <w:rPr>
          <w:lang w:val="en-US"/>
        </w:rPr>
        <w:t>Mojtaba</w:t>
      </w:r>
      <w:proofErr w:type="spellEnd"/>
      <w:r w:rsidRPr="004D2555">
        <w:rPr>
          <w:lang w:val="en-US"/>
        </w:rPr>
        <w:t xml:space="preserve">, </w:t>
      </w:r>
      <w:r w:rsidRPr="003A4B9E">
        <w:rPr>
          <w:lang w:val="en-US"/>
        </w:rPr>
        <w:t>Papiol, Sergi</w:t>
      </w:r>
      <w:r>
        <w:rPr>
          <w:lang w:val="en-US"/>
        </w:rPr>
        <w:t xml:space="preserve">, </w:t>
      </w:r>
      <w:r w:rsidRPr="003A4B9E">
        <w:rPr>
          <w:lang w:val="en-US"/>
        </w:rPr>
        <w:t>Reich-</w:t>
      </w:r>
      <w:proofErr w:type="spellStart"/>
      <w:r w:rsidRPr="003A4B9E">
        <w:rPr>
          <w:lang w:val="en-US"/>
        </w:rPr>
        <w:t>Erkelenz</w:t>
      </w:r>
      <w:proofErr w:type="spellEnd"/>
      <w:r w:rsidRPr="003A4B9E">
        <w:rPr>
          <w:lang w:val="en-US"/>
        </w:rPr>
        <w:t>, Daniela</w:t>
      </w:r>
      <w:r>
        <w:rPr>
          <w:lang w:val="en-US"/>
        </w:rPr>
        <w:t xml:space="preserve">, </w:t>
      </w:r>
      <w:proofErr w:type="spellStart"/>
      <w:r w:rsidRPr="003A4B9E">
        <w:rPr>
          <w:lang w:val="en-US"/>
        </w:rPr>
        <w:t>Schaupp</w:t>
      </w:r>
      <w:proofErr w:type="spellEnd"/>
      <w:r w:rsidRPr="003A4B9E">
        <w:rPr>
          <w:lang w:val="en-US"/>
        </w:rPr>
        <w:t>, Sabrina K.</w:t>
      </w:r>
      <w:r>
        <w:rPr>
          <w:lang w:val="en-US"/>
        </w:rPr>
        <w:t xml:space="preserve">, </w:t>
      </w:r>
      <w:r w:rsidRPr="003A4B9E">
        <w:rPr>
          <w:lang w:val="en-US"/>
        </w:rPr>
        <w:t>Schulte, Eva C.</w:t>
      </w:r>
      <w:r>
        <w:rPr>
          <w:lang w:val="en-US"/>
        </w:rPr>
        <w:t xml:space="preserve">, </w:t>
      </w:r>
      <w:r w:rsidRPr="003A4B9E">
        <w:rPr>
          <w:lang w:val="en-US"/>
        </w:rPr>
        <w:t>Senner, Fanny</w:t>
      </w:r>
      <w:r>
        <w:rPr>
          <w:lang w:val="en-US"/>
        </w:rPr>
        <w:t xml:space="preserve">, </w:t>
      </w:r>
      <w:proofErr w:type="spellStart"/>
      <w:r w:rsidRPr="003A4B9E">
        <w:rPr>
          <w:lang w:val="en-US"/>
        </w:rPr>
        <w:t>Vogl</w:t>
      </w:r>
      <w:proofErr w:type="spellEnd"/>
      <w:r w:rsidRPr="003A4B9E">
        <w:rPr>
          <w:lang w:val="en-US"/>
        </w:rPr>
        <w:t>, Thomas</w:t>
      </w:r>
      <w:r w:rsidRPr="004D2555">
        <w:rPr>
          <w:lang w:val="en-US"/>
        </w:rPr>
        <w:t xml:space="preserve">, </w:t>
      </w:r>
      <w:r>
        <w:rPr>
          <w:lang w:val="en-US"/>
        </w:rPr>
        <w:t>Wiltfang, Jens</w:t>
      </w:r>
      <w:r w:rsidRPr="004D2555">
        <w:rPr>
          <w:lang w:val="en-US"/>
        </w:rPr>
        <w:t xml:space="preserve">, </w:t>
      </w:r>
      <w:proofErr w:type="spellStart"/>
      <w:r w:rsidRPr="003A4B9E">
        <w:rPr>
          <w:lang w:val="en-US"/>
        </w:rPr>
        <w:t>Reininghaus</w:t>
      </w:r>
      <w:proofErr w:type="spellEnd"/>
      <w:r w:rsidRPr="003A4B9E">
        <w:rPr>
          <w:lang w:val="en-US"/>
        </w:rPr>
        <w:t>, Eva</w:t>
      </w:r>
      <w:r w:rsidRPr="004D2555">
        <w:rPr>
          <w:lang w:val="en-US"/>
        </w:rPr>
        <w:t xml:space="preserve">, </w:t>
      </w:r>
      <w:proofErr w:type="spellStart"/>
      <w:r w:rsidRPr="003A4B9E">
        <w:rPr>
          <w:lang w:val="en-US"/>
        </w:rPr>
        <w:t>Falkai</w:t>
      </w:r>
      <w:proofErr w:type="spellEnd"/>
      <w:r w:rsidRPr="003A4B9E">
        <w:rPr>
          <w:lang w:val="en-US"/>
        </w:rPr>
        <w:t>, Peter</w:t>
      </w:r>
      <w:r w:rsidRPr="004D2555">
        <w:rPr>
          <w:lang w:val="en-US"/>
        </w:rPr>
        <w:t xml:space="preserve">, Schulze, Thomas G., </w:t>
      </w:r>
      <w:r w:rsidRPr="003A4B9E">
        <w:rPr>
          <w:lang w:val="en-US"/>
        </w:rPr>
        <w:t>Bickeböller, Heike</w:t>
      </w:r>
      <w:r w:rsidRPr="004D2555">
        <w:rPr>
          <w:lang w:val="en-US"/>
        </w:rPr>
        <w:t xml:space="preserve">, and </w:t>
      </w:r>
      <w:r w:rsidRPr="003A4B9E">
        <w:rPr>
          <w:lang w:val="en-US"/>
        </w:rPr>
        <w:t>Heilbronner, Urs</w:t>
      </w:r>
    </w:p>
    <w:p w:rsidR="009D7E89" w:rsidRDefault="009D7E89" w:rsidP="00935689">
      <w:pPr>
        <w:pStyle w:val="berschrift2"/>
        <w:rPr>
          <w:lang w:val="en-US"/>
        </w:rPr>
      </w:pPr>
    </w:p>
    <w:p w:rsidR="00F32D45" w:rsidRDefault="00935689" w:rsidP="00935689">
      <w:pPr>
        <w:pStyle w:val="berschrift2"/>
        <w:rPr>
          <w:lang w:val="en-US"/>
        </w:rPr>
      </w:pPr>
      <w:r>
        <w:rPr>
          <w:lang w:val="en-US"/>
        </w:rPr>
        <w:t>Dropout analysis</w:t>
      </w:r>
    </w:p>
    <w:p w:rsidR="00C6359C" w:rsidRDefault="00A301A9" w:rsidP="00935689">
      <w:pPr>
        <w:rPr>
          <w:lang w:val="en-US"/>
        </w:rPr>
      </w:pPr>
      <w:r>
        <w:rPr>
          <w:lang w:val="en-US"/>
        </w:rPr>
        <w:t>We investigated</w:t>
      </w:r>
      <w:r w:rsidR="00224623">
        <w:rPr>
          <w:lang w:val="en-US"/>
        </w:rPr>
        <w:t xml:space="preserve"> differences </w:t>
      </w:r>
      <w:r w:rsidR="00F5109E">
        <w:rPr>
          <w:lang w:val="en-US"/>
        </w:rPr>
        <w:t>between the participants with one and</w:t>
      </w:r>
      <w:r>
        <w:rPr>
          <w:lang w:val="en-US"/>
        </w:rPr>
        <w:t xml:space="preserve"> </w:t>
      </w:r>
      <w:r w:rsidR="00A71D24">
        <w:rPr>
          <w:lang w:val="en-US"/>
        </w:rPr>
        <w:t>those</w:t>
      </w:r>
      <w:r>
        <w:rPr>
          <w:lang w:val="en-US"/>
        </w:rPr>
        <w:t xml:space="preserve"> with</w:t>
      </w:r>
      <w:r w:rsidR="00F5109E">
        <w:rPr>
          <w:lang w:val="en-US"/>
        </w:rPr>
        <w:t xml:space="preserve"> two or more administrat</w:t>
      </w:r>
      <w:r w:rsidR="006273A2">
        <w:rPr>
          <w:lang w:val="en-US"/>
        </w:rPr>
        <w:t>i</w:t>
      </w:r>
      <w:r w:rsidR="00F5109E">
        <w:rPr>
          <w:lang w:val="en-US"/>
        </w:rPr>
        <w:t>ons</w:t>
      </w:r>
      <w:r w:rsidR="00224623">
        <w:rPr>
          <w:lang w:val="en-US"/>
        </w:rPr>
        <w:t xml:space="preserve">. Since </w:t>
      </w:r>
      <w:r w:rsidR="008C7C80">
        <w:rPr>
          <w:lang w:val="en-US"/>
        </w:rPr>
        <w:t>we expect the performance in cognitive tests to improve in later administrations</w:t>
      </w:r>
      <w:r w:rsidR="00224623">
        <w:rPr>
          <w:lang w:val="en-US"/>
        </w:rPr>
        <w:t>, we only took the data from the first.</w:t>
      </w:r>
      <w:r w:rsidR="00502A4E">
        <w:rPr>
          <w:lang w:val="en-US"/>
        </w:rPr>
        <w:t xml:space="preserve"> Note that VLMT </w:t>
      </w:r>
      <w:proofErr w:type="gramStart"/>
      <w:r w:rsidR="00502A4E">
        <w:rPr>
          <w:lang w:val="en-US"/>
        </w:rPr>
        <w:t>was only performed</w:t>
      </w:r>
      <w:proofErr w:type="gramEnd"/>
      <w:r w:rsidR="00502A4E">
        <w:rPr>
          <w:lang w:val="en-US"/>
        </w:rPr>
        <w:t xml:space="preserve"> </w:t>
      </w:r>
      <w:r w:rsidR="008C7C80">
        <w:rPr>
          <w:lang w:val="en-US"/>
        </w:rPr>
        <w:t xml:space="preserve">as part of </w:t>
      </w:r>
      <w:r w:rsidR="00502A4E">
        <w:rPr>
          <w:lang w:val="en-US"/>
        </w:rPr>
        <w:t>the second administration, which is why we cannot include it.</w:t>
      </w:r>
      <w:r w:rsidR="0038707D">
        <w:rPr>
          <w:lang w:val="en-US"/>
        </w:rPr>
        <w:t xml:space="preserve"> Figure S1 presents the data, stratified according to administrations. </w:t>
      </w:r>
    </w:p>
    <w:p w:rsidR="00D56E7C" w:rsidRDefault="00F5109E" w:rsidP="00935689">
      <w:pPr>
        <w:rPr>
          <w:lang w:val="en-US"/>
        </w:rPr>
      </w:pPr>
      <w:r>
        <w:rPr>
          <w:lang w:val="en-US"/>
        </w:rPr>
        <w:t xml:space="preserve">Our main concern was a </w:t>
      </w:r>
      <w:r w:rsidR="008C7C80">
        <w:rPr>
          <w:lang w:val="en-US"/>
        </w:rPr>
        <w:t>dropout</w:t>
      </w:r>
      <w:r>
        <w:rPr>
          <w:lang w:val="en-US"/>
        </w:rPr>
        <w:t xml:space="preserve"> bias</w:t>
      </w:r>
      <w:r w:rsidR="008C7C80">
        <w:rPr>
          <w:lang w:val="en-US"/>
        </w:rPr>
        <w:t xml:space="preserve">, </w:t>
      </w:r>
      <w:r w:rsidR="002F2149">
        <w:rPr>
          <w:lang w:val="en-US"/>
        </w:rPr>
        <w:t xml:space="preserve">with </w:t>
      </w:r>
      <w:r>
        <w:rPr>
          <w:lang w:val="en-US"/>
        </w:rPr>
        <w:t>particular</w:t>
      </w:r>
      <w:r w:rsidR="002F2149">
        <w:rPr>
          <w:lang w:val="en-US"/>
        </w:rPr>
        <w:t xml:space="preserve"> regard to</w:t>
      </w:r>
      <w:r>
        <w:rPr>
          <w:lang w:val="en-US"/>
        </w:rPr>
        <w:t xml:space="preserve"> </w:t>
      </w:r>
      <w:r w:rsidR="008C7C80">
        <w:rPr>
          <w:lang w:val="en-US"/>
        </w:rPr>
        <w:t xml:space="preserve">those </w:t>
      </w:r>
      <w:r>
        <w:rPr>
          <w:lang w:val="en-US"/>
        </w:rPr>
        <w:t>participants</w:t>
      </w:r>
      <w:r w:rsidR="008C7C80">
        <w:rPr>
          <w:lang w:val="en-US"/>
        </w:rPr>
        <w:t xml:space="preserve"> dropping out whose</w:t>
      </w:r>
      <w:r>
        <w:rPr>
          <w:lang w:val="en-US"/>
        </w:rPr>
        <w:t xml:space="preserve"> performance</w:t>
      </w:r>
      <w:r w:rsidR="008C7C80" w:rsidRPr="008C7C80">
        <w:rPr>
          <w:lang w:val="en-US"/>
        </w:rPr>
        <w:t xml:space="preserve"> </w:t>
      </w:r>
      <w:r w:rsidR="008C7C80">
        <w:rPr>
          <w:lang w:val="en-US"/>
        </w:rPr>
        <w:t>was worse</w:t>
      </w:r>
      <w:r>
        <w:rPr>
          <w:lang w:val="en-US"/>
        </w:rPr>
        <w:t>.</w:t>
      </w:r>
      <w:r w:rsidR="00A301A9">
        <w:rPr>
          <w:lang w:val="en-US"/>
        </w:rPr>
        <w:t xml:space="preserve"> T</w:t>
      </w:r>
      <w:r w:rsidR="00224623">
        <w:rPr>
          <w:lang w:val="en-US"/>
        </w:rPr>
        <w:t>he res</w:t>
      </w:r>
      <w:r w:rsidR="00A301A9">
        <w:rPr>
          <w:lang w:val="en-US"/>
        </w:rPr>
        <w:t>ults pointed rather towards</w:t>
      </w:r>
      <w:r w:rsidR="00224623">
        <w:rPr>
          <w:lang w:val="en-US"/>
        </w:rPr>
        <w:t xml:space="preserve"> the other direction</w:t>
      </w:r>
      <w:r w:rsidR="00A301A9">
        <w:rPr>
          <w:lang w:val="en-US"/>
        </w:rPr>
        <w:t>, if a</w:t>
      </w:r>
      <w:r w:rsidR="008C7C80">
        <w:rPr>
          <w:lang w:val="en-US"/>
        </w:rPr>
        <w:t>ny</w:t>
      </w:r>
      <w:r w:rsidR="00A301A9">
        <w:rPr>
          <w:lang w:val="en-US"/>
        </w:rPr>
        <w:t xml:space="preserve"> difference </w:t>
      </w:r>
      <w:proofErr w:type="gramStart"/>
      <w:r w:rsidR="00A301A9">
        <w:rPr>
          <w:lang w:val="en-US"/>
        </w:rPr>
        <w:t>could be observed</w:t>
      </w:r>
      <w:proofErr w:type="gramEnd"/>
      <w:r w:rsidR="008C7C80">
        <w:rPr>
          <w:lang w:val="en-US"/>
        </w:rPr>
        <w:t xml:space="preserve"> at all</w:t>
      </w:r>
      <w:r w:rsidR="00224623">
        <w:rPr>
          <w:lang w:val="en-US"/>
        </w:rPr>
        <w:t xml:space="preserve">. </w:t>
      </w:r>
      <w:r w:rsidR="00480A49">
        <w:rPr>
          <w:lang w:val="en-US"/>
        </w:rPr>
        <w:t>We</w:t>
      </w:r>
      <w:r w:rsidR="00224623">
        <w:rPr>
          <w:lang w:val="en-US"/>
        </w:rPr>
        <w:t xml:space="preserve"> tested for other differences between the groups and </w:t>
      </w:r>
      <w:r w:rsidR="008C7C80">
        <w:rPr>
          <w:lang w:val="en-US"/>
        </w:rPr>
        <w:t xml:space="preserve">discovered </w:t>
      </w:r>
      <w:r w:rsidR="00224623">
        <w:rPr>
          <w:lang w:val="en-US"/>
        </w:rPr>
        <w:t xml:space="preserve">that the </w:t>
      </w:r>
      <w:r w:rsidR="00A71D24">
        <w:rPr>
          <w:lang w:val="en-US"/>
        </w:rPr>
        <w:t>participant</w:t>
      </w:r>
      <w:r w:rsidR="004A5824">
        <w:rPr>
          <w:lang w:val="en-US"/>
        </w:rPr>
        <w:t>s</w:t>
      </w:r>
      <w:r w:rsidR="008C7C80">
        <w:rPr>
          <w:lang w:val="en-US"/>
        </w:rPr>
        <w:t xml:space="preserve"> dropping out</w:t>
      </w:r>
      <w:r w:rsidR="00A71D24">
        <w:rPr>
          <w:lang w:val="en-US"/>
        </w:rPr>
        <w:t xml:space="preserve"> </w:t>
      </w:r>
      <w:r w:rsidR="008C7C80">
        <w:rPr>
          <w:lang w:val="en-US"/>
        </w:rPr>
        <w:t xml:space="preserve">were </w:t>
      </w:r>
      <w:r w:rsidR="00224623">
        <w:rPr>
          <w:lang w:val="en-US"/>
        </w:rPr>
        <w:t xml:space="preserve">also significantly younger than the other </w:t>
      </w:r>
      <w:proofErr w:type="gramStart"/>
      <w:r w:rsidR="00224623">
        <w:rPr>
          <w:lang w:val="en-US"/>
        </w:rPr>
        <w:t>participants</w:t>
      </w:r>
      <w:proofErr w:type="gramEnd"/>
      <w:r w:rsidR="00502A4E">
        <w:rPr>
          <w:lang w:val="en-US"/>
        </w:rPr>
        <w:t xml:space="preserve"> (p=0.03426)</w:t>
      </w:r>
      <w:r w:rsidR="00224623">
        <w:rPr>
          <w:lang w:val="en-US"/>
        </w:rPr>
        <w:t>.</w:t>
      </w:r>
      <w:r w:rsidR="00A301A9">
        <w:rPr>
          <w:lang w:val="en-US"/>
        </w:rPr>
        <w:t xml:space="preserve"> We believe that age</w:t>
      </w:r>
      <w:r>
        <w:rPr>
          <w:lang w:val="en-US"/>
        </w:rPr>
        <w:t xml:space="preserve"> i</w:t>
      </w:r>
      <w:r w:rsidR="00224623">
        <w:rPr>
          <w:lang w:val="en-US"/>
        </w:rPr>
        <w:t xml:space="preserve">s the reason for </w:t>
      </w:r>
      <w:r w:rsidR="00D65DD0">
        <w:rPr>
          <w:lang w:val="en-US"/>
        </w:rPr>
        <w:t>differences in</w:t>
      </w:r>
      <w:r w:rsidR="00224623">
        <w:rPr>
          <w:lang w:val="en-US"/>
        </w:rPr>
        <w:t xml:space="preserve"> performance</w:t>
      </w:r>
      <w:r w:rsidR="00D65DD0">
        <w:rPr>
          <w:lang w:val="en-US"/>
        </w:rPr>
        <w:t>, where younger participants perform better,</w:t>
      </w:r>
      <w:r w:rsidR="00224623">
        <w:rPr>
          <w:lang w:val="en-US"/>
        </w:rPr>
        <w:t xml:space="preserve"> and </w:t>
      </w:r>
      <w:r w:rsidR="008C7C80">
        <w:rPr>
          <w:lang w:val="en-US"/>
        </w:rPr>
        <w:t xml:space="preserve">we </w:t>
      </w:r>
      <w:r w:rsidR="00224623">
        <w:rPr>
          <w:lang w:val="en-US"/>
        </w:rPr>
        <w:t xml:space="preserve">are not overly concerned </w:t>
      </w:r>
      <w:r w:rsidR="008C7C80">
        <w:rPr>
          <w:lang w:val="en-US"/>
        </w:rPr>
        <w:t xml:space="preserve">about </w:t>
      </w:r>
      <w:r w:rsidR="00F1126F">
        <w:rPr>
          <w:lang w:val="en-US"/>
        </w:rPr>
        <w:t>systematic differences between the groups</w:t>
      </w:r>
      <w:r w:rsidR="00A71D24">
        <w:rPr>
          <w:lang w:val="en-US"/>
        </w:rPr>
        <w:t>. T</w:t>
      </w:r>
      <w:r w:rsidR="00F1126F">
        <w:rPr>
          <w:lang w:val="en-US"/>
        </w:rPr>
        <w:t>herefore</w:t>
      </w:r>
      <w:r w:rsidR="008C7C80">
        <w:rPr>
          <w:lang w:val="en-US"/>
        </w:rPr>
        <w:t>,</w:t>
      </w:r>
      <w:r w:rsidR="00F1126F">
        <w:rPr>
          <w:lang w:val="en-US"/>
        </w:rPr>
        <w:t xml:space="preserve"> </w:t>
      </w:r>
      <w:r w:rsidR="00A71D24">
        <w:rPr>
          <w:lang w:val="en-US"/>
        </w:rPr>
        <w:t xml:space="preserve">we </w:t>
      </w:r>
      <w:r w:rsidR="00F1126F">
        <w:rPr>
          <w:lang w:val="en-US"/>
        </w:rPr>
        <w:t xml:space="preserve">assume missing at random. </w:t>
      </w:r>
    </w:p>
    <w:p w:rsidR="00D56E7C" w:rsidRDefault="00D56E7C" w:rsidP="00935689">
      <w:pPr>
        <w:rPr>
          <w:lang w:val="en-US"/>
        </w:rPr>
      </w:pPr>
    </w:p>
    <w:p w:rsidR="00F5109E" w:rsidRDefault="00D56E7C" w:rsidP="00D56E7C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226.5pt">
            <v:imagedata r:id="rId4" o:title="Rplot01"/>
          </v:shape>
        </w:pict>
      </w:r>
      <w:r w:rsidR="00DD5A65">
        <w:rPr>
          <w:lang w:val="en-US"/>
        </w:rPr>
        <w:t xml:space="preserve">Figure S1: Boxplots </w:t>
      </w:r>
      <w:r w:rsidR="002F2149">
        <w:rPr>
          <w:lang w:val="en-US"/>
        </w:rPr>
        <w:t xml:space="preserve">of </w:t>
      </w:r>
      <w:r w:rsidR="00DD5A65">
        <w:rPr>
          <w:lang w:val="en-US"/>
        </w:rPr>
        <w:t>performance for inst</w:t>
      </w:r>
      <w:r w:rsidR="00B23A1B">
        <w:rPr>
          <w:lang w:val="en-US"/>
        </w:rPr>
        <w:t>r</w:t>
      </w:r>
      <w:r w:rsidR="00DD5A65">
        <w:rPr>
          <w:lang w:val="en-US"/>
        </w:rPr>
        <w:t xml:space="preserve">uments at the first administration comparing participants with one and two or more administrations. </w:t>
      </w:r>
    </w:p>
    <w:p w:rsidR="00A301A9" w:rsidRPr="00A301A9" w:rsidRDefault="00A301A9" w:rsidP="00A301A9">
      <w:pPr>
        <w:rPr>
          <w:lang w:val="en-US"/>
        </w:rPr>
      </w:pPr>
    </w:p>
    <w:p w:rsidR="00F32D45" w:rsidRDefault="00F32D45" w:rsidP="00F32D45">
      <w:pPr>
        <w:pStyle w:val="berschrift2"/>
        <w:rPr>
          <w:lang w:val="en-US"/>
        </w:rPr>
      </w:pPr>
      <w:r>
        <w:rPr>
          <w:lang w:val="en-US"/>
        </w:rPr>
        <w:lastRenderedPageBreak/>
        <w:t>Intra</w:t>
      </w:r>
      <w:r w:rsidR="00F5109E">
        <w:rPr>
          <w:lang w:val="en-US"/>
        </w:rPr>
        <w:t>-</w:t>
      </w:r>
      <w:r>
        <w:rPr>
          <w:lang w:val="en-US"/>
        </w:rPr>
        <w:t>person variability</w:t>
      </w:r>
    </w:p>
    <w:p w:rsidR="00F32D45" w:rsidRDefault="00F32D45" w:rsidP="00F32D45">
      <w:pPr>
        <w:rPr>
          <w:lang w:val="en-US"/>
        </w:rPr>
      </w:pPr>
    </w:p>
    <w:p w:rsidR="00F32D45" w:rsidRDefault="00F32D45" w:rsidP="00F32D45">
      <w:pPr>
        <w:rPr>
          <w:lang w:val="en-US"/>
        </w:rPr>
      </w:pPr>
      <w:r>
        <w:rPr>
          <w:lang w:val="en-US"/>
        </w:rPr>
        <w:t>We identified people with higher variab</w:t>
      </w:r>
      <w:r w:rsidR="00F5109E">
        <w:rPr>
          <w:lang w:val="en-US"/>
        </w:rPr>
        <w:t>ility with the following procedure</w:t>
      </w:r>
      <w:r>
        <w:rPr>
          <w:lang w:val="en-US"/>
        </w:rPr>
        <w:t>:</w:t>
      </w:r>
    </w:p>
    <w:p w:rsidR="00F32D45" w:rsidRDefault="00F32D45" w:rsidP="00F32D45">
      <w:pPr>
        <w:rPr>
          <w:lang w:val="en-US"/>
        </w:rPr>
      </w:pPr>
      <w:r>
        <w:rPr>
          <w:lang w:val="en-US"/>
        </w:rPr>
        <w:t xml:space="preserve">For each cognitive test and each individual, we computed the difference between </w:t>
      </w:r>
      <w:r w:rsidR="00A71D24">
        <w:rPr>
          <w:lang w:val="en-US"/>
        </w:rPr>
        <w:t>administrations</w:t>
      </w:r>
      <w:r>
        <w:rPr>
          <w:lang w:val="en-US"/>
        </w:rPr>
        <w:t xml:space="preserve"> and th</w:t>
      </w:r>
      <w:r w:rsidR="00F5109E">
        <w:rPr>
          <w:lang w:val="en-US"/>
        </w:rPr>
        <w:t>en derived a decisive interval. This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well known</w:t>
      </w:r>
      <w:proofErr w:type="gramEnd"/>
      <w:r>
        <w:rPr>
          <w:lang w:val="en-US"/>
        </w:rPr>
        <w:t xml:space="preserve"> for outlier detection, using the quartiles</w:t>
      </w:r>
      <w:r w:rsidR="000D3C11">
        <w:rPr>
          <w:lang w:val="en-US"/>
        </w:rPr>
        <w:t xml:space="preserve"> (</w:t>
      </w:r>
      <w:r w:rsidR="000D3C11" w:rsidRPr="00F32D45">
        <w:rPr>
          <w:lang w:val="en-US"/>
        </w:rPr>
        <w:t>q</w:t>
      </w:r>
      <w:r w:rsidR="000D3C11" w:rsidRPr="00F32D45">
        <w:rPr>
          <w:vertAlign w:val="subscript"/>
          <w:lang w:val="en-US"/>
        </w:rPr>
        <w:t>0.25</w:t>
      </w:r>
      <w:r w:rsidR="000D3C11">
        <w:rPr>
          <w:vertAlign w:val="subscript"/>
          <w:lang w:val="en-US"/>
        </w:rPr>
        <w:t xml:space="preserve"> </w:t>
      </w:r>
      <w:r w:rsidR="000D3C11" w:rsidRPr="000D3C11">
        <w:rPr>
          <w:lang w:val="en-US"/>
        </w:rPr>
        <w:t>and</w:t>
      </w:r>
      <w:r w:rsidR="000D3C11">
        <w:rPr>
          <w:vertAlign w:val="subscript"/>
          <w:lang w:val="en-US"/>
        </w:rPr>
        <w:t xml:space="preserve"> </w:t>
      </w:r>
      <w:r w:rsidR="000D3C11" w:rsidRPr="00F32D45">
        <w:rPr>
          <w:lang w:val="en-US"/>
        </w:rPr>
        <w:t>q</w:t>
      </w:r>
      <w:r w:rsidR="000D3C11" w:rsidRPr="00F32D45">
        <w:rPr>
          <w:vertAlign w:val="subscript"/>
          <w:lang w:val="en-US"/>
        </w:rPr>
        <w:t>0.75</w:t>
      </w:r>
      <w:r w:rsidR="000D3C11">
        <w:rPr>
          <w:lang w:val="en-US"/>
        </w:rPr>
        <w:t>)</w:t>
      </w:r>
      <w:r w:rsidR="005F6693">
        <w:rPr>
          <w:lang w:val="en-US"/>
        </w:rPr>
        <w:t xml:space="preserve"> </w:t>
      </w:r>
      <w:r w:rsidR="000D3C11">
        <w:rPr>
          <w:lang w:val="en-US"/>
        </w:rPr>
        <w:t>and the interquartile range (IQR)</w:t>
      </w:r>
      <w:r>
        <w:rPr>
          <w:lang w:val="en-US"/>
        </w:rPr>
        <w:t>.</w:t>
      </w:r>
    </w:p>
    <w:p w:rsidR="00F32D45" w:rsidRDefault="00F32D45" w:rsidP="00731C92">
      <w:pPr>
        <w:jc w:val="center"/>
        <w:rPr>
          <w:lang w:val="en-US"/>
        </w:rPr>
      </w:pPr>
      <w:bookmarkStart w:id="0" w:name="_GoBack"/>
      <w:bookmarkEnd w:id="0"/>
      <w:r w:rsidRPr="00F32D45">
        <w:rPr>
          <w:lang w:val="en-US"/>
        </w:rPr>
        <w:t>I</w:t>
      </w:r>
      <w:r w:rsidR="00731C92">
        <w:rPr>
          <w:lang w:val="en-US"/>
        </w:rPr>
        <w:t xml:space="preserve"> </w:t>
      </w:r>
      <w:r w:rsidRPr="00F32D45">
        <w:rPr>
          <w:lang w:val="en-US"/>
        </w:rPr>
        <w:t>=</w:t>
      </w:r>
      <w:r w:rsidR="00731C92">
        <w:rPr>
          <w:lang w:val="en-US"/>
        </w:rPr>
        <w:t xml:space="preserve"> </w:t>
      </w:r>
      <w:r w:rsidRPr="00F32D45">
        <w:rPr>
          <w:lang w:val="en-US"/>
        </w:rPr>
        <w:t>[q</w:t>
      </w:r>
      <w:r w:rsidRPr="00F32D45">
        <w:rPr>
          <w:vertAlign w:val="subscript"/>
          <w:lang w:val="en-US"/>
        </w:rPr>
        <w:t>0.25</w:t>
      </w:r>
      <w:r w:rsidR="00731C92">
        <w:rPr>
          <w:vertAlign w:val="subscript"/>
          <w:lang w:val="en-US"/>
        </w:rPr>
        <w:t xml:space="preserve"> </w:t>
      </w:r>
      <w:r w:rsidRPr="00F32D45">
        <w:rPr>
          <w:lang w:val="en-US"/>
        </w:rPr>
        <w:t>−</w:t>
      </w:r>
      <w:r w:rsidR="00731C92">
        <w:rPr>
          <w:lang w:val="en-US"/>
        </w:rPr>
        <w:t xml:space="preserve"> </w:t>
      </w:r>
      <w:r w:rsidRPr="00F32D45">
        <w:rPr>
          <w:lang w:val="en-US"/>
        </w:rPr>
        <w:t>1.5</w:t>
      </w:r>
      <w:r w:rsidRPr="00F32D45">
        <w:rPr>
          <w:rFonts w:ascii="Cambria Math" w:hAnsi="Cambria Math" w:cs="Cambria Math"/>
          <w:lang w:val="en-US"/>
        </w:rPr>
        <w:t>⋅</w:t>
      </w:r>
      <w:r w:rsidRPr="00F32D45">
        <w:rPr>
          <w:lang w:val="en-US"/>
        </w:rPr>
        <w:t>IQR;</w:t>
      </w:r>
      <w:r>
        <w:rPr>
          <w:lang w:val="en-US"/>
        </w:rPr>
        <w:t xml:space="preserve"> </w:t>
      </w:r>
      <w:r w:rsidRPr="00F32D45">
        <w:rPr>
          <w:lang w:val="en-US"/>
        </w:rPr>
        <w:t>q</w:t>
      </w:r>
      <w:r w:rsidRPr="00F32D45">
        <w:rPr>
          <w:vertAlign w:val="subscript"/>
          <w:lang w:val="en-US"/>
        </w:rPr>
        <w:t>0.75</w:t>
      </w:r>
      <w:r w:rsidR="00731C92">
        <w:rPr>
          <w:vertAlign w:val="subscript"/>
          <w:lang w:val="en-US"/>
        </w:rPr>
        <w:t xml:space="preserve"> </w:t>
      </w:r>
      <w:r w:rsidRPr="00F32D45">
        <w:rPr>
          <w:lang w:val="en-US"/>
        </w:rPr>
        <w:t>+</w:t>
      </w:r>
      <w:r w:rsidR="00731C92">
        <w:rPr>
          <w:lang w:val="en-US"/>
        </w:rPr>
        <w:t xml:space="preserve"> </w:t>
      </w:r>
      <w:r w:rsidRPr="00F32D45">
        <w:rPr>
          <w:lang w:val="en-US"/>
        </w:rPr>
        <w:t>1.5</w:t>
      </w:r>
      <w:r w:rsidRPr="00F32D45">
        <w:rPr>
          <w:rFonts w:ascii="Cambria Math" w:hAnsi="Cambria Math" w:cs="Cambria Math"/>
          <w:lang w:val="en-US"/>
        </w:rPr>
        <w:t>⋅</w:t>
      </w:r>
      <w:r w:rsidRPr="00F32D45">
        <w:rPr>
          <w:lang w:val="en-US"/>
        </w:rPr>
        <w:t>IQR]</w:t>
      </w:r>
    </w:p>
    <w:p w:rsidR="00F32D45" w:rsidRDefault="00F77C78" w:rsidP="00F32D45">
      <w:pPr>
        <w:rPr>
          <w:lang w:val="en-US"/>
        </w:rPr>
      </w:pPr>
      <w:r>
        <w:rPr>
          <w:lang w:val="en-US"/>
        </w:rPr>
        <w:t>Every individual with at least one particularly large change</w:t>
      </w:r>
      <w:r w:rsidR="005F6693">
        <w:rPr>
          <w:lang w:val="en-US"/>
        </w:rPr>
        <w:t xml:space="preserve"> falling</w:t>
      </w:r>
      <w:r>
        <w:rPr>
          <w:lang w:val="en-US"/>
        </w:rPr>
        <w:t xml:space="preserve"> outside </w:t>
      </w:r>
      <w:r w:rsidR="00D65DD0">
        <w:rPr>
          <w:lang w:val="en-US"/>
        </w:rPr>
        <w:t xml:space="preserve">of </w:t>
      </w:r>
      <w:r w:rsidR="005F6693">
        <w:rPr>
          <w:lang w:val="en-US"/>
        </w:rPr>
        <w:t xml:space="preserve">this </w:t>
      </w:r>
      <w:r>
        <w:rPr>
          <w:lang w:val="en-US"/>
        </w:rPr>
        <w:t xml:space="preserve">interval </w:t>
      </w:r>
      <w:r w:rsidR="005F6693">
        <w:rPr>
          <w:lang w:val="en-US"/>
        </w:rPr>
        <w:t>(</w:t>
      </w:r>
      <w:r>
        <w:rPr>
          <w:lang w:val="en-US"/>
        </w:rPr>
        <w:t xml:space="preserve">and </w:t>
      </w:r>
      <w:r w:rsidR="005F6693">
        <w:rPr>
          <w:lang w:val="en-US"/>
        </w:rPr>
        <w:t>thus representing</w:t>
      </w:r>
      <w:r>
        <w:rPr>
          <w:lang w:val="en-US"/>
        </w:rPr>
        <w:t xml:space="preserve"> a potential outlier in variability</w:t>
      </w:r>
      <w:r w:rsidR="005F6693">
        <w:rPr>
          <w:lang w:val="en-US"/>
        </w:rPr>
        <w:t>)</w:t>
      </w:r>
      <w:r>
        <w:rPr>
          <w:lang w:val="en-US"/>
        </w:rPr>
        <w:t>, was labeled “Higher Variability”. This led to the dichoto</w:t>
      </w:r>
      <w:r w:rsidR="000D3C11">
        <w:rPr>
          <w:lang w:val="en-US"/>
        </w:rPr>
        <w:t>mization of the dataset into the two groups of higher and lower variability</w:t>
      </w:r>
      <w:r>
        <w:rPr>
          <w:lang w:val="en-US"/>
        </w:rPr>
        <w:t xml:space="preserve">: </w:t>
      </w:r>
    </w:p>
    <w:p w:rsidR="00F77C78" w:rsidRDefault="00F77C78" w:rsidP="00F32D45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792C" w:rsidTr="00C61B93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:rsidR="0022792C" w:rsidRDefault="0022792C" w:rsidP="00D65DD0">
            <w:pPr>
              <w:rPr>
                <w:lang w:val="en-US"/>
              </w:rPr>
            </w:pPr>
            <w:r>
              <w:rPr>
                <w:lang w:val="en-US"/>
              </w:rPr>
              <w:t xml:space="preserve">Table S1: Dichotomization of the dataset according to assigned variability group, stratified by sex. </w:t>
            </w:r>
          </w:p>
        </w:tc>
      </w:tr>
      <w:tr w:rsidR="00F77C78" w:rsidTr="00C61B93">
        <w:tc>
          <w:tcPr>
            <w:tcW w:w="3020" w:type="dxa"/>
            <w:tcBorders>
              <w:left w:val="nil"/>
              <w:bottom w:val="single" w:sz="4" w:space="0" w:color="auto"/>
            </w:tcBorders>
          </w:tcPr>
          <w:p w:rsidR="00F77C78" w:rsidRDefault="00F77C78" w:rsidP="00F32D45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77C78" w:rsidRDefault="00F77C78" w:rsidP="00F32D45">
            <w:pPr>
              <w:rPr>
                <w:lang w:val="en-US"/>
              </w:rPr>
            </w:pPr>
            <w:r>
              <w:rPr>
                <w:lang w:val="en-US"/>
              </w:rPr>
              <w:t>Lower Variability</w:t>
            </w:r>
          </w:p>
        </w:tc>
        <w:tc>
          <w:tcPr>
            <w:tcW w:w="3021" w:type="dxa"/>
            <w:tcBorders>
              <w:bottom w:val="single" w:sz="4" w:space="0" w:color="auto"/>
              <w:right w:val="nil"/>
            </w:tcBorders>
          </w:tcPr>
          <w:p w:rsidR="00F77C78" w:rsidRDefault="00F77C78" w:rsidP="00F32D45">
            <w:pPr>
              <w:rPr>
                <w:lang w:val="en-US"/>
              </w:rPr>
            </w:pPr>
            <w:r>
              <w:rPr>
                <w:lang w:val="en-US"/>
              </w:rPr>
              <w:t>Higher Variability</w:t>
            </w:r>
          </w:p>
        </w:tc>
      </w:tr>
      <w:tr w:rsidR="00F77C78" w:rsidTr="00C61B93">
        <w:tc>
          <w:tcPr>
            <w:tcW w:w="3020" w:type="dxa"/>
            <w:tcBorders>
              <w:left w:val="nil"/>
              <w:bottom w:val="nil"/>
            </w:tcBorders>
          </w:tcPr>
          <w:p w:rsidR="00F77C78" w:rsidRDefault="00F77C78" w:rsidP="00F32D45">
            <w:pPr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3021" w:type="dxa"/>
            <w:tcBorders>
              <w:bottom w:val="nil"/>
            </w:tcBorders>
          </w:tcPr>
          <w:p w:rsidR="00F77C78" w:rsidRDefault="00F77C78" w:rsidP="000D3C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3021" w:type="dxa"/>
            <w:tcBorders>
              <w:bottom w:val="nil"/>
              <w:right w:val="nil"/>
            </w:tcBorders>
          </w:tcPr>
          <w:p w:rsidR="00F77C78" w:rsidRDefault="00F77C78" w:rsidP="000D3C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F77C78" w:rsidTr="00C61B93">
        <w:tc>
          <w:tcPr>
            <w:tcW w:w="3020" w:type="dxa"/>
            <w:tcBorders>
              <w:top w:val="nil"/>
              <w:left w:val="nil"/>
              <w:bottom w:val="single" w:sz="4" w:space="0" w:color="auto"/>
            </w:tcBorders>
          </w:tcPr>
          <w:p w:rsidR="00F77C78" w:rsidRDefault="00F77C78" w:rsidP="00F32D45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3021" w:type="dxa"/>
            <w:tcBorders>
              <w:top w:val="nil"/>
            </w:tcBorders>
          </w:tcPr>
          <w:p w:rsidR="00F77C78" w:rsidRDefault="00F77C78" w:rsidP="000D3C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:rsidR="00F77C78" w:rsidRDefault="00F77C78" w:rsidP="000D3C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F77C78" w:rsidTr="00C61B93">
        <w:tc>
          <w:tcPr>
            <w:tcW w:w="3020" w:type="dxa"/>
            <w:tcBorders>
              <w:top w:val="single" w:sz="4" w:space="0" w:color="auto"/>
              <w:left w:val="nil"/>
              <w:bottom w:val="nil"/>
            </w:tcBorders>
          </w:tcPr>
          <w:p w:rsidR="00F77C78" w:rsidRDefault="00F77C78" w:rsidP="00D65DD0">
            <w:pPr>
              <w:rPr>
                <w:lang w:val="en-US"/>
              </w:rPr>
            </w:pPr>
            <w:r>
              <w:rPr>
                <w:lang w:val="en-US"/>
              </w:rPr>
              <w:t xml:space="preserve">Both Sexes </w:t>
            </w:r>
          </w:p>
        </w:tc>
        <w:tc>
          <w:tcPr>
            <w:tcW w:w="3021" w:type="dxa"/>
            <w:tcBorders>
              <w:bottom w:val="nil"/>
            </w:tcBorders>
          </w:tcPr>
          <w:p w:rsidR="00F77C78" w:rsidRDefault="00F77C78" w:rsidP="000D3C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3021" w:type="dxa"/>
            <w:tcBorders>
              <w:bottom w:val="nil"/>
              <w:right w:val="nil"/>
            </w:tcBorders>
          </w:tcPr>
          <w:p w:rsidR="00F77C78" w:rsidRDefault="00F77C78" w:rsidP="000D3C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</w:tbl>
    <w:p w:rsidR="000D3C11" w:rsidRDefault="000D3C11" w:rsidP="00F32D45">
      <w:pPr>
        <w:rPr>
          <w:lang w:val="en-US"/>
        </w:rPr>
      </w:pPr>
    </w:p>
    <w:p w:rsidR="0022792C" w:rsidRDefault="0022792C" w:rsidP="00F32D45">
      <w:pPr>
        <w:rPr>
          <w:lang w:val="en-US"/>
        </w:rPr>
      </w:pPr>
      <w:r>
        <w:rPr>
          <w:lang w:val="en-US"/>
        </w:rPr>
        <w:t>We then tested</w:t>
      </w:r>
      <w:r w:rsidR="000F6FAA">
        <w:rPr>
          <w:lang w:val="en-US"/>
        </w:rPr>
        <w:t xml:space="preserve"> with a Wilcoxon </w:t>
      </w:r>
      <w:r w:rsidR="002F2149">
        <w:rPr>
          <w:lang w:val="en-US"/>
        </w:rPr>
        <w:t xml:space="preserve">rank sum </w:t>
      </w:r>
      <w:r w:rsidR="000F6FAA">
        <w:rPr>
          <w:lang w:val="en-US"/>
        </w:rPr>
        <w:t>test</w:t>
      </w:r>
      <w:r>
        <w:rPr>
          <w:lang w:val="en-US"/>
        </w:rPr>
        <w:t xml:space="preserve"> for each variable</w:t>
      </w:r>
      <w:r w:rsidR="002F2149">
        <w:rPr>
          <w:lang w:val="en-US"/>
        </w:rPr>
        <w:t xml:space="preserve"> whether</w:t>
      </w:r>
      <w:r>
        <w:rPr>
          <w:lang w:val="en-US"/>
        </w:rPr>
        <w:t xml:space="preserve"> the lower variability group performed better than the higher variability group. Table S2 </w:t>
      </w:r>
      <w:r w:rsidR="000F6FAA">
        <w:rPr>
          <w:lang w:val="en-US"/>
        </w:rPr>
        <w:t>presents the results.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02"/>
      </w:tblGrid>
      <w:tr w:rsidR="00A301A9" w:rsidRPr="00A301A9" w:rsidTr="00C61B93">
        <w:trPr>
          <w:trHeight w:val="977"/>
        </w:trPr>
        <w:tc>
          <w:tcPr>
            <w:tcW w:w="9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1A9" w:rsidRDefault="00A301A9" w:rsidP="005F6693">
            <w:pPr>
              <w:rPr>
                <w:lang w:val="en-US"/>
              </w:rPr>
            </w:pPr>
            <w:r>
              <w:rPr>
                <w:lang w:val="en-US"/>
              </w:rPr>
              <w:t xml:space="preserve">Table S2: Results of Wilcoxon </w:t>
            </w:r>
            <w:r w:rsidR="002F2149">
              <w:rPr>
                <w:lang w:val="en-US"/>
              </w:rPr>
              <w:t xml:space="preserve">rank sum </w:t>
            </w:r>
            <w:r>
              <w:rPr>
                <w:lang w:val="en-US"/>
              </w:rPr>
              <w:t xml:space="preserve">tests for difference in performance according to assigned variability group. </w:t>
            </w:r>
            <w:proofErr w:type="spellStart"/>
            <w:proofErr w:type="gramStart"/>
            <w:r>
              <w:rPr>
                <w:vertAlign w:val="superscript"/>
                <w:lang w:val="en-US"/>
              </w:rPr>
              <w:t>neg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>
              <w:rPr>
                <w:rStyle w:val="ggboefpdawb"/>
                <w:lang w:val="en-US"/>
              </w:rPr>
              <w:t xml:space="preserve">indicates outcome variables </w:t>
            </w:r>
            <w:r w:rsidR="00A71D24">
              <w:rPr>
                <w:rStyle w:val="ggboefpdawb"/>
                <w:lang w:val="en-US"/>
              </w:rPr>
              <w:t xml:space="preserve">for which </w:t>
            </w:r>
            <w:r>
              <w:rPr>
                <w:rStyle w:val="ggboefpdawb"/>
                <w:lang w:val="en-US"/>
              </w:rPr>
              <w:t xml:space="preserve">a lower value is unfavorable. For all other variables, a higher value is unfavorable.  </w:t>
            </w:r>
          </w:p>
        </w:tc>
      </w:tr>
      <w:tr w:rsidR="00020000" w:rsidTr="00C61B93">
        <w:trPr>
          <w:trHeight w:val="252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020000" w:rsidTr="00C61B93">
        <w:trPr>
          <w:trHeight w:val="241"/>
        </w:trPr>
        <w:tc>
          <w:tcPr>
            <w:tcW w:w="3823" w:type="dxa"/>
            <w:tcBorders>
              <w:left w:val="nil"/>
              <w:bottom w:val="nil"/>
            </w:tcBorders>
          </w:tcPr>
          <w:p w:rsidR="00020000" w:rsidRPr="00A301A9" w:rsidRDefault="00020000" w:rsidP="00F32D45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DG_SYM</w:t>
            </w:r>
            <w:r w:rsidR="00A301A9">
              <w:rPr>
                <w:vertAlign w:val="superscript"/>
                <w:lang w:val="en-US"/>
              </w:rPr>
              <w:t>neg</w:t>
            </w:r>
            <w:proofErr w:type="spellEnd"/>
          </w:p>
        </w:tc>
        <w:tc>
          <w:tcPr>
            <w:tcW w:w="5202" w:type="dxa"/>
            <w:tcBorders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020000" w:rsidTr="00C61B93">
        <w:trPr>
          <w:trHeight w:val="241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020000" w:rsidRPr="00A301A9" w:rsidRDefault="00020000" w:rsidP="00F32D45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DGT_SP_bck</w:t>
            </w:r>
            <w:r w:rsidR="00A301A9">
              <w:rPr>
                <w:vertAlign w:val="superscript"/>
                <w:lang w:val="en-US"/>
              </w:rPr>
              <w:t>neg</w:t>
            </w:r>
            <w:proofErr w:type="spellEnd"/>
          </w:p>
        </w:tc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0.0266</w:t>
            </w:r>
          </w:p>
        </w:tc>
      </w:tr>
      <w:tr w:rsidR="00020000" w:rsidTr="00C61B93">
        <w:trPr>
          <w:trHeight w:val="241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020000" w:rsidRPr="00A301A9" w:rsidRDefault="00020000" w:rsidP="00F32D45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DGT_SP_frw</w:t>
            </w:r>
            <w:r w:rsidR="00A301A9">
              <w:rPr>
                <w:vertAlign w:val="superscript"/>
                <w:lang w:val="en-US"/>
              </w:rPr>
              <w:t>neg</w:t>
            </w:r>
            <w:proofErr w:type="spellEnd"/>
          </w:p>
        </w:tc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0.2584</w:t>
            </w:r>
          </w:p>
        </w:tc>
      </w:tr>
      <w:tr w:rsidR="00020000" w:rsidTr="00C61B93">
        <w:trPr>
          <w:trHeight w:val="241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TMT_A</w:t>
            </w:r>
          </w:p>
        </w:tc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020000" w:rsidTr="00C61B93">
        <w:trPr>
          <w:trHeight w:val="252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TMT_B</w:t>
            </w:r>
          </w:p>
        </w:tc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020000" w:rsidTr="00C61B93">
        <w:trPr>
          <w:trHeight w:val="241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020000" w:rsidRPr="00A301A9" w:rsidRDefault="00020000" w:rsidP="00F32D45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VLMT_corr</w:t>
            </w:r>
            <w:r w:rsidR="00A301A9">
              <w:rPr>
                <w:vertAlign w:val="superscript"/>
                <w:lang w:val="en-US"/>
              </w:rPr>
              <w:t>neg</w:t>
            </w:r>
            <w:proofErr w:type="spellEnd"/>
          </w:p>
        </w:tc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020000" w:rsidTr="00C61B93">
        <w:trPr>
          <w:trHeight w:val="241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VLMT_lss_d</w:t>
            </w:r>
            <w:proofErr w:type="spellEnd"/>
          </w:p>
        </w:tc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0.0002</w:t>
            </w:r>
          </w:p>
        </w:tc>
      </w:tr>
      <w:tr w:rsidR="00020000" w:rsidTr="00C61B93">
        <w:trPr>
          <w:trHeight w:val="241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VLMT_lss_t</w:t>
            </w:r>
            <w:proofErr w:type="spellEnd"/>
          </w:p>
        </w:tc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020000" w:rsidTr="00C61B93">
        <w:trPr>
          <w:trHeight w:val="241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:rsidR="00020000" w:rsidRPr="00A301A9" w:rsidRDefault="00020000" w:rsidP="00F32D45">
            <w:pPr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VLMT_rec</w:t>
            </w:r>
            <w:r w:rsidR="00A301A9">
              <w:rPr>
                <w:vertAlign w:val="superscript"/>
                <w:lang w:val="en-US"/>
              </w:rPr>
              <w:t>neg</w:t>
            </w:r>
            <w:proofErr w:type="spellEnd"/>
          </w:p>
        </w:tc>
        <w:tc>
          <w:tcPr>
            <w:tcW w:w="5202" w:type="dxa"/>
            <w:tcBorders>
              <w:top w:val="nil"/>
              <w:bottom w:val="nil"/>
              <w:right w:val="nil"/>
            </w:tcBorders>
          </w:tcPr>
          <w:p w:rsidR="00020000" w:rsidRDefault="00020000" w:rsidP="00F32D45">
            <w:pPr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</w:tbl>
    <w:p w:rsidR="000F6FAA" w:rsidRPr="00A301A9" w:rsidRDefault="00A301A9" w:rsidP="00F32D45">
      <w:pPr>
        <w:rPr>
          <w:lang w:val="en-US"/>
        </w:rPr>
      </w:pPr>
      <w:r>
        <w:rPr>
          <w:rStyle w:val="ggboefpdawb"/>
          <w:lang w:val="en-US"/>
        </w:rPr>
        <w:t xml:space="preserve">.  </w:t>
      </w:r>
    </w:p>
    <w:p w:rsidR="00935689" w:rsidRDefault="00935689" w:rsidP="00F32D45">
      <w:pPr>
        <w:rPr>
          <w:lang w:val="en-US"/>
        </w:rPr>
      </w:pPr>
      <w:r>
        <w:rPr>
          <w:lang w:val="en-US"/>
        </w:rPr>
        <w:t xml:space="preserve">The group with higher variability performed significantly worse in </w:t>
      </w:r>
      <w:r w:rsidR="002F2149">
        <w:rPr>
          <w:lang w:val="en-US"/>
        </w:rPr>
        <w:t xml:space="preserve">eight </w:t>
      </w:r>
      <w:r>
        <w:rPr>
          <w:lang w:val="en-US"/>
        </w:rPr>
        <w:t xml:space="preserve">out of </w:t>
      </w:r>
      <w:r w:rsidR="002F2149">
        <w:rPr>
          <w:lang w:val="en-US"/>
        </w:rPr>
        <w:t xml:space="preserve">nine </w:t>
      </w:r>
      <w:r>
        <w:rPr>
          <w:lang w:val="en-US"/>
        </w:rPr>
        <w:t xml:space="preserve">cognitive tests. </w:t>
      </w:r>
    </w:p>
    <w:p w:rsidR="0038707D" w:rsidRDefault="000D3C11" w:rsidP="00F32D45">
      <w:pPr>
        <w:rPr>
          <w:lang w:val="en-US"/>
        </w:rPr>
      </w:pPr>
      <w:r>
        <w:rPr>
          <w:lang w:val="en-US"/>
        </w:rPr>
        <w:t>The participants with higher variability are significantly older (p-value &lt; 10</w:t>
      </w:r>
      <w:r>
        <w:rPr>
          <w:vertAlign w:val="superscript"/>
          <w:lang w:val="en-US"/>
        </w:rPr>
        <w:t>-6</w:t>
      </w:r>
      <w:proofErr w:type="gramStart"/>
      <w:r w:rsidR="00C61B93">
        <w:rPr>
          <w:vertAlign w:val="superscript"/>
          <w:lang w:val="en-US"/>
        </w:rPr>
        <w:t>,</w:t>
      </w:r>
      <w:r w:rsidR="00C61B93">
        <w:rPr>
          <w:lang w:val="en-US"/>
        </w:rPr>
        <w:t>,</w:t>
      </w:r>
      <w:proofErr w:type="gramEnd"/>
      <w:r w:rsidR="00C61B93">
        <w:rPr>
          <w:lang w:val="en-US"/>
        </w:rPr>
        <w:t xml:space="preserve"> median age lower variability: 27 years, higher variability: 41 years) </w:t>
      </w:r>
    </w:p>
    <w:p w:rsidR="0038707D" w:rsidRDefault="00D56E7C" w:rsidP="00F32D45">
      <w:pPr>
        <w:rPr>
          <w:lang w:val="en-US"/>
        </w:rPr>
      </w:pPr>
      <w:r>
        <w:rPr>
          <w:lang w:val="en-US"/>
        </w:rPr>
        <w:lastRenderedPageBreak/>
        <w:pict>
          <v:shape id="_x0000_i1031" type="#_x0000_t75" style="width:453.5pt;height:313.5pt">
            <v:imagedata r:id="rId5" o:title="Review_variability"/>
          </v:shape>
        </w:pict>
      </w:r>
    </w:p>
    <w:p w:rsidR="00627821" w:rsidRPr="00A301A9" w:rsidRDefault="00627821" w:rsidP="00F32D45">
      <w:pPr>
        <w:rPr>
          <w:lang w:val="en-US"/>
        </w:rPr>
      </w:pPr>
      <w:r w:rsidRPr="00A301A9">
        <w:rPr>
          <w:lang w:val="en-US"/>
        </w:rPr>
        <w:t>S2:</w:t>
      </w:r>
      <w:r w:rsidR="00A301A9">
        <w:rPr>
          <w:lang w:val="en-US"/>
        </w:rPr>
        <w:t xml:space="preserve"> Boxplots </w:t>
      </w:r>
      <w:r w:rsidR="002F2149">
        <w:rPr>
          <w:lang w:val="en-US"/>
        </w:rPr>
        <w:t xml:space="preserve">of </w:t>
      </w:r>
      <w:r w:rsidR="00A301A9">
        <w:rPr>
          <w:lang w:val="en-US"/>
        </w:rPr>
        <w:t>performance in cognitive tests comparing participants with lower and higher variability</w:t>
      </w:r>
      <w:r w:rsidR="00A301A9" w:rsidRPr="00A301A9">
        <w:rPr>
          <w:lang w:val="en-US"/>
        </w:rPr>
        <w:t xml:space="preserve">. Please refer to </w:t>
      </w:r>
      <w:r w:rsidR="002F2149">
        <w:rPr>
          <w:lang w:val="en-US"/>
        </w:rPr>
        <w:t>T</w:t>
      </w:r>
      <w:r w:rsidR="002F2149" w:rsidRPr="00A301A9">
        <w:rPr>
          <w:lang w:val="en-US"/>
        </w:rPr>
        <w:t xml:space="preserve">able </w:t>
      </w:r>
      <w:r w:rsidR="00A301A9" w:rsidRPr="00A301A9">
        <w:rPr>
          <w:lang w:val="en-US"/>
        </w:rPr>
        <w:t>S2</w:t>
      </w:r>
      <w:r w:rsidR="00A301A9">
        <w:rPr>
          <w:lang w:val="en-US"/>
        </w:rPr>
        <w:t xml:space="preserve"> for the direction of better performance.</w:t>
      </w:r>
      <w:r w:rsidR="00A301A9" w:rsidRPr="00A301A9">
        <w:rPr>
          <w:lang w:val="en-US"/>
        </w:rPr>
        <w:t xml:space="preserve"> </w:t>
      </w:r>
    </w:p>
    <w:sectPr w:rsidR="00627821" w:rsidRPr="00A30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5"/>
    <w:rsid w:val="00020000"/>
    <w:rsid w:val="000D3C11"/>
    <w:rsid w:val="000D4165"/>
    <w:rsid w:val="000F6FAA"/>
    <w:rsid w:val="00224623"/>
    <w:rsid w:val="0022792C"/>
    <w:rsid w:val="002B1510"/>
    <w:rsid w:val="002E7B2B"/>
    <w:rsid w:val="002F0416"/>
    <w:rsid w:val="002F2149"/>
    <w:rsid w:val="003266F0"/>
    <w:rsid w:val="0038707D"/>
    <w:rsid w:val="004348FC"/>
    <w:rsid w:val="00480A49"/>
    <w:rsid w:val="00484FEA"/>
    <w:rsid w:val="004A5824"/>
    <w:rsid w:val="004C3EE3"/>
    <w:rsid w:val="00502A4E"/>
    <w:rsid w:val="005F6693"/>
    <w:rsid w:val="006273A2"/>
    <w:rsid w:val="00627821"/>
    <w:rsid w:val="006D64C1"/>
    <w:rsid w:val="006E69CC"/>
    <w:rsid w:val="00731C92"/>
    <w:rsid w:val="00762173"/>
    <w:rsid w:val="00886E04"/>
    <w:rsid w:val="008C7C80"/>
    <w:rsid w:val="00935689"/>
    <w:rsid w:val="009458EB"/>
    <w:rsid w:val="009D7E89"/>
    <w:rsid w:val="00A301A9"/>
    <w:rsid w:val="00A71D24"/>
    <w:rsid w:val="00B23A1B"/>
    <w:rsid w:val="00BC38C2"/>
    <w:rsid w:val="00C61B93"/>
    <w:rsid w:val="00C6359C"/>
    <w:rsid w:val="00CA0EF6"/>
    <w:rsid w:val="00D56E7C"/>
    <w:rsid w:val="00D65DD0"/>
    <w:rsid w:val="00DD5A65"/>
    <w:rsid w:val="00E26812"/>
    <w:rsid w:val="00F1126F"/>
    <w:rsid w:val="00F32D45"/>
    <w:rsid w:val="00F46DFA"/>
    <w:rsid w:val="00F5109E"/>
    <w:rsid w:val="00F77C78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A798"/>
  <w15:chartTrackingRefBased/>
  <w15:docId w15:val="{9123DA81-E801-4FB1-965E-0183634E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2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2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2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2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ellenraster">
    <w:name w:val="Table Grid"/>
    <w:basedOn w:val="NormaleTabelle"/>
    <w:uiPriority w:val="39"/>
    <w:rsid w:val="00F7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gboefpdawb">
    <w:name w:val="ggboefpdawb"/>
    <w:basedOn w:val="Absatz-Standardschriftart"/>
    <w:rsid w:val="00A301A9"/>
  </w:style>
  <w:style w:type="character" w:styleId="Kommentarzeichen">
    <w:name w:val="annotation reference"/>
    <w:basedOn w:val="Absatz-Standardschriftart"/>
    <w:uiPriority w:val="99"/>
    <w:semiHidden/>
    <w:unhideWhenUsed/>
    <w:rsid w:val="00A71D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D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1D2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D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D24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D2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Stahl</dc:creator>
  <cp:keywords/>
  <dc:description/>
  <cp:lastModifiedBy>Katharina Stahl</cp:lastModifiedBy>
  <cp:revision>5</cp:revision>
  <dcterms:created xsi:type="dcterms:W3CDTF">2021-12-13T10:44:00Z</dcterms:created>
  <dcterms:modified xsi:type="dcterms:W3CDTF">2021-12-14T12:55:00Z</dcterms:modified>
</cp:coreProperties>
</file>