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67" w:rsidRPr="009E3FFC" w:rsidRDefault="00000067" w:rsidP="00000067">
      <w:pPr>
        <w:spacing w:before="120" w:after="120" w:line="240" w:lineRule="auto"/>
        <w:jc w:val="center"/>
        <w:rPr>
          <w:rStyle w:val="jlqj4b"/>
          <w:rFonts w:cstheme="minorHAnsi"/>
          <w:b/>
          <w:sz w:val="28"/>
          <w:szCs w:val="24"/>
        </w:rPr>
      </w:pPr>
      <w:r w:rsidRPr="009E3FFC">
        <w:rPr>
          <w:rStyle w:val="jlqj4b"/>
          <w:rFonts w:cstheme="minorHAnsi"/>
          <w:b/>
          <w:sz w:val="28"/>
          <w:szCs w:val="24"/>
        </w:rPr>
        <w:t>Supplementary Material</w:t>
      </w:r>
    </w:p>
    <w:p w:rsidR="00000067" w:rsidRDefault="00000067" w:rsidP="00000067">
      <w:pPr>
        <w:spacing w:before="120" w:after="120" w:line="240" w:lineRule="auto"/>
        <w:jc w:val="center"/>
        <w:rPr>
          <w:rStyle w:val="jlqj4b"/>
          <w:rFonts w:cstheme="minorHAnsi"/>
          <w:b/>
          <w:sz w:val="24"/>
          <w:szCs w:val="24"/>
        </w:rPr>
      </w:pPr>
    </w:p>
    <w:p w:rsidR="00000067" w:rsidRPr="005D218E" w:rsidRDefault="00000067" w:rsidP="00000067">
      <w:pPr>
        <w:spacing w:before="120" w:after="120" w:line="240" w:lineRule="auto"/>
        <w:rPr>
          <w:rStyle w:val="jlqj4b"/>
          <w:rFonts w:cstheme="minorHAnsi"/>
          <w:b/>
          <w:sz w:val="24"/>
          <w:szCs w:val="24"/>
        </w:rPr>
      </w:pPr>
      <w:r>
        <w:rPr>
          <w:rStyle w:val="jlqj4b"/>
          <w:rFonts w:cstheme="minorHAnsi"/>
          <w:b/>
          <w:sz w:val="24"/>
          <w:szCs w:val="24"/>
        </w:rPr>
        <w:t>Review</w:t>
      </w:r>
    </w:p>
    <w:p w:rsidR="00000067" w:rsidRPr="006C3B67" w:rsidRDefault="00000067" w:rsidP="00000067">
      <w:pPr>
        <w:spacing w:afterLines="160" w:after="384" w:line="240" w:lineRule="auto"/>
        <w:jc w:val="center"/>
        <w:rPr>
          <w:rFonts w:cstheme="minorHAnsi"/>
          <w:b/>
          <w:sz w:val="28"/>
          <w:szCs w:val="24"/>
        </w:rPr>
      </w:pPr>
      <w:r w:rsidRPr="006C3B67">
        <w:rPr>
          <w:rFonts w:cstheme="minorHAnsi"/>
          <w:b/>
          <w:sz w:val="28"/>
          <w:szCs w:val="24"/>
        </w:rPr>
        <w:t>Genomic and Neuroimaging Approaches to Bipolar Disorder</w:t>
      </w:r>
    </w:p>
    <w:p w:rsidR="00000067" w:rsidRDefault="00000067" w:rsidP="00000067">
      <w:pPr>
        <w:rPr>
          <w:b/>
        </w:rPr>
      </w:pPr>
    </w:p>
    <w:p w:rsidR="00000067" w:rsidRPr="005D218E" w:rsidRDefault="005E1A0F" w:rsidP="00000067">
      <w:pPr>
        <w:rPr>
          <w:b/>
        </w:rPr>
      </w:pPr>
      <w:r>
        <w:rPr>
          <w:b/>
        </w:rPr>
        <w:t xml:space="preserve">Table S1. </w:t>
      </w:r>
      <w:r w:rsidR="00000067" w:rsidRPr="005D218E">
        <w:rPr>
          <w:b/>
        </w:rPr>
        <w:t>Glossary of key terms</w:t>
      </w:r>
    </w:p>
    <w:tbl>
      <w:tblPr>
        <w:tblStyle w:val="Tabellenraster"/>
        <w:tblW w:w="0" w:type="auto"/>
        <w:tblLook w:val="04A0" w:firstRow="1" w:lastRow="0" w:firstColumn="1" w:lastColumn="0" w:noHBand="0" w:noVBand="1"/>
      </w:tblPr>
      <w:tblGrid>
        <w:gridCol w:w="2962"/>
        <w:gridCol w:w="6054"/>
      </w:tblGrid>
      <w:tr w:rsidR="003E564B" w:rsidRPr="005D218E" w:rsidTr="001376A8">
        <w:tc>
          <w:tcPr>
            <w:tcW w:w="2962" w:type="dxa"/>
          </w:tcPr>
          <w:p w:rsidR="003E564B" w:rsidRPr="005D218E" w:rsidRDefault="003E564B" w:rsidP="001376A8">
            <w:pPr>
              <w:rPr>
                <w:b/>
              </w:rPr>
            </w:pPr>
            <w:r w:rsidRPr="005D218E">
              <w:rPr>
                <w:b/>
              </w:rPr>
              <w:t>Term</w:t>
            </w:r>
          </w:p>
        </w:tc>
        <w:tc>
          <w:tcPr>
            <w:tcW w:w="6054" w:type="dxa"/>
          </w:tcPr>
          <w:p w:rsidR="003E564B" w:rsidRPr="005D218E" w:rsidRDefault="003E564B" w:rsidP="001376A8">
            <w:pPr>
              <w:rPr>
                <w:b/>
              </w:rPr>
            </w:pPr>
            <w:r w:rsidRPr="005D218E">
              <w:rPr>
                <w:b/>
              </w:rPr>
              <w:t>Definition</w:t>
            </w:r>
          </w:p>
        </w:tc>
      </w:tr>
      <w:tr w:rsidR="00E7347D" w:rsidRPr="005D218E" w:rsidTr="001376A8">
        <w:tc>
          <w:tcPr>
            <w:tcW w:w="2962" w:type="dxa"/>
          </w:tcPr>
          <w:p w:rsidR="00E7347D" w:rsidRPr="005D218E" w:rsidRDefault="00E7347D" w:rsidP="00E7347D">
            <w:pPr>
              <w:pStyle w:val="berschrift1"/>
              <w:numPr>
                <w:ilvl w:val="0"/>
                <w:numId w:val="0"/>
              </w:numPr>
              <w:ind w:left="567" w:hanging="567"/>
              <w:outlineLvl w:val="0"/>
              <w:rPr>
                <w:rFonts w:asciiTheme="minorHAnsi" w:eastAsiaTheme="minorHAnsi" w:hAnsiTheme="minorHAnsi" w:cstheme="minorBidi"/>
                <w:bCs/>
                <w:sz w:val="22"/>
                <w:szCs w:val="22"/>
                <w:lang w:eastAsia="en-US"/>
              </w:rPr>
            </w:pPr>
            <w:r w:rsidRPr="005D218E">
              <w:rPr>
                <w:rFonts w:asciiTheme="minorHAnsi" w:eastAsiaTheme="minorHAnsi" w:hAnsiTheme="minorHAnsi" w:cstheme="minorBidi"/>
                <w:sz w:val="22"/>
                <w:szCs w:val="22"/>
                <w:lang w:eastAsia="en-US"/>
              </w:rPr>
              <w:t>Common genetic variant</w:t>
            </w:r>
          </w:p>
        </w:tc>
        <w:tc>
          <w:tcPr>
            <w:tcW w:w="6054" w:type="dxa"/>
          </w:tcPr>
          <w:p w:rsidR="00E7347D" w:rsidRPr="00E7347D" w:rsidRDefault="00E7347D" w:rsidP="00DD409D">
            <w:pPr>
              <w:pStyle w:val="berschrift1"/>
              <w:numPr>
                <w:ilvl w:val="0"/>
                <w:numId w:val="0"/>
              </w:numPr>
              <w:jc w:val="both"/>
              <w:outlineLvl w:val="0"/>
              <w:rPr>
                <w:rFonts w:asciiTheme="minorHAnsi" w:eastAsiaTheme="minorHAnsi" w:hAnsiTheme="minorHAnsi" w:cstheme="minorBidi"/>
                <w:b w:val="0"/>
                <w:sz w:val="22"/>
                <w:szCs w:val="22"/>
                <w:lang w:eastAsia="en-US"/>
              </w:rPr>
            </w:pPr>
            <w:r w:rsidRPr="00E7347D">
              <w:rPr>
                <w:rFonts w:asciiTheme="minorHAnsi" w:eastAsiaTheme="minorHAnsi" w:hAnsiTheme="minorHAnsi" w:cstheme="minorBidi"/>
                <w:b w:val="0"/>
                <w:sz w:val="22"/>
                <w:szCs w:val="22"/>
                <w:lang w:eastAsia="en-US"/>
              </w:rPr>
              <w:t>Alternative forms of a gene that are present with a minor allele frequency (MAF) of more than 1%</w:t>
            </w:r>
            <w:r w:rsidRPr="005D218E">
              <w:rPr>
                <w:rFonts w:asciiTheme="minorHAnsi" w:eastAsiaTheme="minorHAnsi" w:hAnsiTheme="minorHAnsi" w:cstheme="minorBidi"/>
                <w:b w:val="0"/>
                <w:sz w:val="22"/>
                <w:szCs w:val="22"/>
                <w:lang w:eastAsia="en-US"/>
              </w:rPr>
              <w:t xml:space="preserve"> in the population</w:t>
            </w:r>
            <w:r w:rsidR="00DD409D">
              <w:rPr>
                <w:rFonts w:asciiTheme="minorHAnsi" w:eastAsiaTheme="minorHAnsi" w:hAnsiTheme="minorHAnsi" w:cstheme="minorBidi"/>
                <w:b w:val="0"/>
                <w:sz w:val="22"/>
                <w:szCs w:val="22"/>
                <w:lang w:eastAsia="en-US"/>
              </w:rPr>
              <w:t xml:space="preserve"> </w:t>
            </w:r>
            <w:r w:rsidR="00DD409D" w:rsidRPr="00DD409D">
              <w:rPr>
                <w:rFonts w:asciiTheme="minorHAnsi" w:eastAsiaTheme="minorHAnsi" w:hAnsiTheme="minorHAnsi" w:cstheme="minorBidi"/>
                <w:b w:val="0"/>
                <w:sz w:val="22"/>
                <w:szCs w:val="22"/>
                <w:vertAlign w:val="superscript"/>
                <w:lang w:eastAsia="en-US"/>
              </w:rPr>
              <w:t>(1)</w:t>
            </w:r>
          </w:p>
        </w:tc>
      </w:tr>
      <w:tr w:rsidR="00E7347D" w:rsidRPr="005D218E" w:rsidTr="001376A8">
        <w:tc>
          <w:tcPr>
            <w:tcW w:w="2962" w:type="dxa"/>
          </w:tcPr>
          <w:p w:rsidR="00E7347D" w:rsidRPr="005D218E" w:rsidRDefault="00E7347D" w:rsidP="00E7347D">
            <w:pPr>
              <w:pStyle w:val="berschrift1"/>
              <w:numPr>
                <w:ilvl w:val="0"/>
                <w:numId w:val="0"/>
              </w:numPr>
              <w:ind w:left="567" w:hanging="567"/>
              <w:outlineLvl w:val="0"/>
              <w:rPr>
                <w:rFonts w:asciiTheme="minorHAnsi" w:eastAsiaTheme="minorHAnsi" w:hAnsiTheme="minorHAnsi" w:cstheme="minorBidi"/>
                <w:bCs/>
                <w:sz w:val="22"/>
                <w:szCs w:val="22"/>
                <w:lang w:eastAsia="en-US"/>
              </w:rPr>
            </w:pPr>
            <w:r w:rsidRPr="005D218E">
              <w:rPr>
                <w:rFonts w:asciiTheme="minorHAnsi" w:eastAsiaTheme="minorHAnsi" w:hAnsiTheme="minorHAnsi" w:cstheme="minorBidi"/>
                <w:sz w:val="22"/>
                <w:szCs w:val="22"/>
                <w:lang w:eastAsia="en-US"/>
              </w:rPr>
              <w:t>Rare genetic variant</w:t>
            </w:r>
          </w:p>
        </w:tc>
        <w:tc>
          <w:tcPr>
            <w:tcW w:w="6054" w:type="dxa"/>
          </w:tcPr>
          <w:p w:rsidR="00E7347D" w:rsidRPr="00E7347D" w:rsidRDefault="00E7347D" w:rsidP="00E7347D">
            <w:pPr>
              <w:pStyle w:val="berschrift1"/>
              <w:numPr>
                <w:ilvl w:val="0"/>
                <w:numId w:val="0"/>
              </w:numPr>
              <w:jc w:val="both"/>
              <w:outlineLvl w:val="0"/>
              <w:rPr>
                <w:rFonts w:asciiTheme="minorHAnsi" w:eastAsiaTheme="minorHAnsi" w:hAnsiTheme="minorHAnsi" w:cstheme="minorBidi"/>
                <w:b w:val="0"/>
                <w:sz w:val="22"/>
                <w:szCs w:val="22"/>
                <w:lang w:eastAsia="en-US"/>
              </w:rPr>
            </w:pPr>
            <w:r w:rsidRPr="00E7347D">
              <w:rPr>
                <w:rFonts w:asciiTheme="minorHAnsi" w:eastAsiaTheme="minorHAnsi" w:hAnsiTheme="minorHAnsi" w:cstheme="minorBidi"/>
                <w:b w:val="0"/>
                <w:sz w:val="22"/>
                <w:szCs w:val="22"/>
                <w:lang w:eastAsia="en-US"/>
              </w:rPr>
              <w:t>Alternative forms of a gene that are present with a minor allele frequency (MAF) of less than 1%</w:t>
            </w:r>
            <w:r w:rsidRPr="005D218E">
              <w:rPr>
                <w:rFonts w:asciiTheme="minorHAnsi" w:eastAsiaTheme="minorHAnsi" w:hAnsiTheme="minorHAnsi" w:cstheme="minorBidi"/>
                <w:b w:val="0"/>
                <w:sz w:val="22"/>
                <w:szCs w:val="22"/>
                <w:lang w:eastAsia="en-US"/>
              </w:rPr>
              <w:t xml:space="preserve"> in the population</w:t>
            </w:r>
            <w:r w:rsidR="00DD409D">
              <w:rPr>
                <w:rFonts w:asciiTheme="minorHAnsi" w:eastAsiaTheme="minorHAnsi" w:hAnsiTheme="minorHAnsi" w:cstheme="minorBidi"/>
                <w:b w:val="0"/>
                <w:sz w:val="22"/>
                <w:szCs w:val="22"/>
                <w:lang w:eastAsia="en-US"/>
              </w:rPr>
              <w:t xml:space="preserve"> </w:t>
            </w:r>
            <w:r w:rsidR="00DD409D" w:rsidRPr="00DD409D">
              <w:rPr>
                <w:rFonts w:asciiTheme="minorHAnsi" w:eastAsiaTheme="minorHAnsi" w:hAnsiTheme="minorHAnsi" w:cstheme="minorBidi"/>
                <w:b w:val="0"/>
                <w:sz w:val="22"/>
                <w:szCs w:val="22"/>
                <w:vertAlign w:val="superscript"/>
                <w:lang w:eastAsia="en-US"/>
              </w:rPr>
              <w:t>(1)</w:t>
            </w:r>
          </w:p>
        </w:tc>
      </w:tr>
      <w:tr w:rsidR="00E7347D" w:rsidRPr="005D218E" w:rsidTr="001376A8">
        <w:tc>
          <w:tcPr>
            <w:tcW w:w="2962" w:type="dxa"/>
          </w:tcPr>
          <w:p w:rsidR="00E7347D" w:rsidRPr="005D218E" w:rsidRDefault="00E7347D" w:rsidP="00E7347D">
            <w:pPr>
              <w:pStyle w:val="berschrift1"/>
              <w:numPr>
                <w:ilvl w:val="0"/>
                <w:numId w:val="0"/>
              </w:numPr>
              <w:ind w:left="567" w:hanging="567"/>
              <w:outlineLvl w:val="0"/>
              <w:rPr>
                <w:rFonts w:asciiTheme="minorHAnsi" w:eastAsiaTheme="minorHAnsi" w:hAnsiTheme="minorHAnsi" w:cstheme="minorBidi"/>
                <w:sz w:val="22"/>
                <w:szCs w:val="22"/>
                <w:lang w:eastAsia="en-US"/>
              </w:rPr>
            </w:pPr>
          </w:p>
          <w:p w:rsidR="00E7347D" w:rsidRPr="005D218E" w:rsidRDefault="00E7347D" w:rsidP="00E7347D">
            <w:pPr>
              <w:pStyle w:val="berschrift1"/>
              <w:numPr>
                <w:ilvl w:val="0"/>
                <w:numId w:val="0"/>
              </w:numPr>
              <w:ind w:left="567" w:hanging="567"/>
              <w:outlineLvl w:val="0"/>
              <w:rPr>
                <w:rFonts w:asciiTheme="minorHAnsi" w:eastAsiaTheme="minorHAnsi" w:hAnsiTheme="minorHAnsi" w:cstheme="minorBidi"/>
                <w:bCs/>
                <w:sz w:val="22"/>
                <w:szCs w:val="22"/>
                <w:lang w:eastAsia="en-US"/>
              </w:rPr>
            </w:pPr>
            <w:r w:rsidRPr="005D218E">
              <w:rPr>
                <w:rFonts w:asciiTheme="minorHAnsi" w:eastAsiaTheme="minorHAnsi" w:hAnsiTheme="minorHAnsi" w:cstheme="minorBidi"/>
                <w:sz w:val="22"/>
                <w:szCs w:val="22"/>
                <w:lang w:eastAsia="en-US"/>
              </w:rPr>
              <w:t>Epigenetics</w:t>
            </w:r>
          </w:p>
        </w:tc>
        <w:tc>
          <w:tcPr>
            <w:tcW w:w="6054" w:type="dxa"/>
          </w:tcPr>
          <w:p w:rsidR="00E7347D" w:rsidRPr="005D218E" w:rsidRDefault="00E7347D" w:rsidP="00E7347D">
            <w:pPr>
              <w:pStyle w:val="berschrift1"/>
              <w:numPr>
                <w:ilvl w:val="0"/>
                <w:numId w:val="0"/>
              </w:numPr>
              <w:jc w:val="both"/>
              <w:outlineLvl w:val="0"/>
              <w:rPr>
                <w:rFonts w:asciiTheme="minorHAnsi" w:eastAsiaTheme="minorHAnsi" w:hAnsiTheme="minorHAnsi" w:cstheme="minorBidi"/>
                <w:b w:val="0"/>
                <w:bCs/>
                <w:sz w:val="22"/>
                <w:szCs w:val="22"/>
                <w:lang w:eastAsia="en-US"/>
              </w:rPr>
            </w:pPr>
            <w:r w:rsidRPr="005D218E">
              <w:rPr>
                <w:rFonts w:asciiTheme="minorHAnsi" w:eastAsiaTheme="minorHAnsi" w:hAnsiTheme="minorHAnsi" w:cstheme="minorBidi"/>
                <w:b w:val="0"/>
                <w:sz w:val="22"/>
                <w:szCs w:val="22"/>
                <w:lang w:eastAsia="en-US"/>
              </w:rPr>
              <w:t>The study of molecular processes that influence the flow of information between a constant DNA sequence and variable gene expression patterns. This includes investigation of nuclear organization, DNA methylation, histone modification and RNA transcription</w:t>
            </w:r>
            <w:r w:rsidR="00DD409D">
              <w:rPr>
                <w:rFonts w:asciiTheme="minorHAnsi" w:eastAsiaTheme="minorHAnsi" w:hAnsiTheme="minorHAnsi" w:cstheme="minorBidi"/>
                <w:b w:val="0"/>
                <w:sz w:val="22"/>
                <w:szCs w:val="22"/>
                <w:lang w:eastAsia="en-US"/>
              </w:rPr>
              <w:t xml:space="preserve"> </w:t>
            </w:r>
            <w:r w:rsidR="00DD409D" w:rsidRPr="00DD409D">
              <w:rPr>
                <w:rFonts w:asciiTheme="minorHAnsi" w:eastAsiaTheme="minorHAnsi" w:hAnsiTheme="minorHAnsi" w:cstheme="minorBidi"/>
                <w:b w:val="0"/>
                <w:sz w:val="22"/>
                <w:szCs w:val="22"/>
                <w:vertAlign w:val="superscript"/>
                <w:lang w:eastAsia="en-US"/>
              </w:rPr>
              <w:t>(1)</w:t>
            </w:r>
          </w:p>
        </w:tc>
      </w:tr>
      <w:tr w:rsidR="00E7347D" w:rsidRPr="005D218E" w:rsidTr="001376A8">
        <w:tc>
          <w:tcPr>
            <w:tcW w:w="2962" w:type="dxa"/>
          </w:tcPr>
          <w:p w:rsidR="00E7347D" w:rsidRPr="005D218E" w:rsidRDefault="00E7347D" w:rsidP="00E7347D">
            <w:pPr>
              <w:pStyle w:val="berschrift1"/>
              <w:numPr>
                <w:ilvl w:val="0"/>
                <w:numId w:val="0"/>
              </w:numPr>
              <w:ind w:left="567" w:hanging="567"/>
              <w:outlineLvl w:val="0"/>
              <w:rPr>
                <w:rFonts w:asciiTheme="minorHAnsi" w:eastAsiaTheme="minorHAnsi" w:hAnsiTheme="minorHAnsi" w:cstheme="minorBidi"/>
                <w:bCs/>
                <w:sz w:val="22"/>
                <w:szCs w:val="22"/>
                <w:lang w:eastAsia="en-US"/>
              </w:rPr>
            </w:pPr>
            <w:r w:rsidRPr="005D218E">
              <w:rPr>
                <w:rFonts w:asciiTheme="minorHAnsi" w:eastAsiaTheme="minorHAnsi" w:hAnsiTheme="minorHAnsi" w:cstheme="minorBidi"/>
                <w:sz w:val="22"/>
                <w:szCs w:val="22"/>
                <w:lang w:eastAsia="en-US"/>
              </w:rPr>
              <w:t>Complex disorder</w:t>
            </w:r>
          </w:p>
        </w:tc>
        <w:tc>
          <w:tcPr>
            <w:tcW w:w="6054" w:type="dxa"/>
          </w:tcPr>
          <w:p w:rsidR="00E7347D" w:rsidRPr="005D218E" w:rsidRDefault="00E7347D" w:rsidP="00DD409D">
            <w:pPr>
              <w:pStyle w:val="berschrift1"/>
              <w:numPr>
                <w:ilvl w:val="0"/>
                <w:numId w:val="0"/>
              </w:numPr>
              <w:jc w:val="both"/>
              <w:outlineLvl w:val="0"/>
              <w:rPr>
                <w:rFonts w:asciiTheme="minorHAnsi" w:eastAsiaTheme="minorHAnsi" w:hAnsiTheme="minorHAnsi" w:cstheme="minorBidi"/>
                <w:b w:val="0"/>
                <w:bCs/>
                <w:sz w:val="22"/>
                <w:szCs w:val="22"/>
                <w:lang w:eastAsia="en-US"/>
              </w:rPr>
            </w:pPr>
            <w:r w:rsidRPr="005D218E">
              <w:rPr>
                <w:rFonts w:asciiTheme="minorHAnsi" w:eastAsiaTheme="minorHAnsi" w:hAnsiTheme="minorHAnsi" w:cstheme="minorBidi"/>
                <w:b w:val="0"/>
                <w:sz w:val="22"/>
                <w:szCs w:val="22"/>
                <w:lang w:eastAsia="en-US"/>
              </w:rPr>
              <w:t xml:space="preserve">A disease that </w:t>
            </w:r>
            <w:proofErr w:type="gramStart"/>
            <w:r w:rsidRPr="005D218E">
              <w:rPr>
                <w:rFonts w:asciiTheme="minorHAnsi" w:eastAsiaTheme="minorHAnsi" w:hAnsiTheme="minorHAnsi" w:cstheme="minorBidi"/>
                <w:b w:val="0"/>
                <w:sz w:val="22"/>
                <w:szCs w:val="22"/>
                <w:lang w:eastAsia="en-US"/>
              </w:rPr>
              <w:t>is caused</w:t>
            </w:r>
            <w:proofErr w:type="gramEnd"/>
            <w:r w:rsidRPr="005D218E">
              <w:rPr>
                <w:rFonts w:asciiTheme="minorHAnsi" w:eastAsiaTheme="minorHAnsi" w:hAnsiTheme="minorHAnsi" w:cstheme="minorBidi"/>
                <w:b w:val="0"/>
                <w:sz w:val="22"/>
                <w:szCs w:val="22"/>
                <w:lang w:eastAsia="en-US"/>
              </w:rPr>
              <w:t xml:space="preserve"> by the interaction of multiple genes and environmental factors. It is also called multifactorial disorder</w:t>
            </w:r>
            <w:r w:rsidR="00DD409D">
              <w:rPr>
                <w:rFonts w:asciiTheme="minorHAnsi" w:eastAsiaTheme="minorHAnsi" w:hAnsiTheme="minorHAnsi" w:cstheme="minorBidi"/>
                <w:b w:val="0"/>
                <w:sz w:val="22"/>
                <w:szCs w:val="22"/>
                <w:lang w:eastAsia="en-US"/>
              </w:rPr>
              <w:t xml:space="preserve"> </w:t>
            </w:r>
            <w:r w:rsidR="00DD409D" w:rsidRPr="00DD409D">
              <w:rPr>
                <w:rFonts w:asciiTheme="minorHAnsi" w:eastAsiaTheme="minorHAnsi" w:hAnsiTheme="minorHAnsi" w:cstheme="minorBidi"/>
                <w:b w:val="0"/>
                <w:sz w:val="22"/>
                <w:szCs w:val="22"/>
                <w:vertAlign w:val="superscript"/>
                <w:lang w:eastAsia="en-US"/>
              </w:rPr>
              <w:t>(</w:t>
            </w:r>
            <w:r w:rsidR="00DD409D">
              <w:rPr>
                <w:rFonts w:asciiTheme="minorHAnsi" w:eastAsiaTheme="minorHAnsi" w:hAnsiTheme="minorHAnsi" w:cstheme="minorBidi"/>
                <w:b w:val="0"/>
                <w:sz w:val="22"/>
                <w:szCs w:val="22"/>
                <w:vertAlign w:val="superscript"/>
                <w:lang w:eastAsia="en-US"/>
              </w:rPr>
              <w:t>2</w:t>
            </w:r>
            <w:r w:rsidR="00DD409D" w:rsidRPr="00DD409D">
              <w:rPr>
                <w:rFonts w:asciiTheme="minorHAnsi" w:eastAsiaTheme="minorHAnsi" w:hAnsiTheme="minorHAnsi" w:cstheme="minorBidi"/>
                <w:b w:val="0"/>
                <w:sz w:val="22"/>
                <w:szCs w:val="22"/>
                <w:vertAlign w:val="superscript"/>
                <w:lang w:eastAsia="en-US"/>
              </w:rPr>
              <w:t>)</w:t>
            </w:r>
          </w:p>
        </w:tc>
      </w:tr>
      <w:tr w:rsidR="00E7347D" w:rsidRPr="005D218E" w:rsidTr="001376A8">
        <w:tc>
          <w:tcPr>
            <w:tcW w:w="2962" w:type="dxa"/>
          </w:tcPr>
          <w:p w:rsidR="00E7347D" w:rsidRPr="005D218E" w:rsidRDefault="00E7347D" w:rsidP="00E7347D">
            <w:pPr>
              <w:pStyle w:val="berschrift1"/>
              <w:numPr>
                <w:ilvl w:val="0"/>
                <w:numId w:val="0"/>
              </w:numPr>
              <w:ind w:left="567" w:hanging="567"/>
              <w:outlineLvl w:val="0"/>
              <w:rPr>
                <w:rFonts w:asciiTheme="minorHAnsi" w:eastAsiaTheme="minorHAnsi" w:hAnsiTheme="minorHAnsi" w:cstheme="minorBidi"/>
                <w:sz w:val="22"/>
                <w:szCs w:val="22"/>
                <w:lang w:eastAsia="en-US"/>
              </w:rPr>
            </w:pPr>
          </w:p>
          <w:p w:rsidR="00E7347D" w:rsidRPr="005D218E" w:rsidRDefault="00E7347D" w:rsidP="00E7347D">
            <w:pPr>
              <w:pStyle w:val="berschrift1"/>
              <w:numPr>
                <w:ilvl w:val="0"/>
                <w:numId w:val="0"/>
              </w:numPr>
              <w:ind w:left="567" w:hanging="567"/>
              <w:outlineLvl w:val="0"/>
              <w:rPr>
                <w:rFonts w:asciiTheme="minorHAnsi" w:eastAsiaTheme="minorHAnsi" w:hAnsiTheme="minorHAnsi" w:cstheme="minorBidi"/>
                <w:bCs/>
                <w:sz w:val="22"/>
                <w:szCs w:val="22"/>
                <w:lang w:eastAsia="en-US"/>
              </w:rPr>
            </w:pPr>
            <w:r w:rsidRPr="005D218E">
              <w:rPr>
                <w:rFonts w:asciiTheme="minorHAnsi" w:eastAsiaTheme="minorHAnsi" w:hAnsiTheme="minorHAnsi" w:cstheme="minorBidi"/>
                <w:sz w:val="22"/>
                <w:szCs w:val="22"/>
                <w:lang w:eastAsia="en-US"/>
              </w:rPr>
              <w:t>Genetic association study</w:t>
            </w:r>
          </w:p>
          <w:p w:rsidR="00E7347D" w:rsidRPr="005D218E" w:rsidRDefault="00E7347D" w:rsidP="00E7347D">
            <w:pPr>
              <w:pStyle w:val="berschrift1"/>
              <w:numPr>
                <w:ilvl w:val="0"/>
                <w:numId w:val="0"/>
              </w:numPr>
              <w:ind w:left="567"/>
              <w:outlineLvl w:val="0"/>
              <w:rPr>
                <w:rFonts w:asciiTheme="minorHAnsi" w:eastAsiaTheme="minorHAnsi" w:hAnsiTheme="minorHAnsi" w:cstheme="minorBidi"/>
                <w:bCs/>
                <w:sz w:val="22"/>
                <w:szCs w:val="22"/>
                <w:lang w:eastAsia="en-US"/>
              </w:rPr>
            </w:pPr>
          </w:p>
        </w:tc>
        <w:tc>
          <w:tcPr>
            <w:tcW w:w="6054" w:type="dxa"/>
          </w:tcPr>
          <w:p w:rsidR="00E7347D" w:rsidRDefault="00E7347D" w:rsidP="00E7347D">
            <w:pPr>
              <w:jc w:val="both"/>
            </w:pPr>
          </w:p>
          <w:p w:rsidR="00E7347D" w:rsidRPr="005D218E" w:rsidRDefault="00E7347D" w:rsidP="00DD409D">
            <w:pPr>
              <w:jc w:val="both"/>
            </w:pPr>
            <w:r w:rsidRPr="005D218E">
              <w:t>A study that aims to test whether a given sequence, such as a region of a chromosome, a haplotype, a gene, or an allele, has involvement in controlling the phenotype of a specific trait, metabolic pathway, or disease. This usually involves comparing the frequencies between two groups of individuals (often diseased subjects versus healthy controls)</w:t>
            </w:r>
            <w:r w:rsidR="00DD409D">
              <w:t xml:space="preserve"> </w:t>
            </w:r>
            <w:r w:rsidR="00DD409D" w:rsidRPr="00DD409D">
              <w:rPr>
                <w:vertAlign w:val="superscript"/>
              </w:rPr>
              <w:t>(1)</w:t>
            </w:r>
          </w:p>
        </w:tc>
      </w:tr>
      <w:tr w:rsidR="00E7347D" w:rsidRPr="005D218E" w:rsidTr="001376A8">
        <w:tc>
          <w:tcPr>
            <w:tcW w:w="2962" w:type="dxa"/>
          </w:tcPr>
          <w:p w:rsidR="00E7347D" w:rsidRPr="005D218E" w:rsidRDefault="00E7347D" w:rsidP="00E7347D">
            <w:pPr>
              <w:pStyle w:val="berschrift1"/>
              <w:numPr>
                <w:ilvl w:val="0"/>
                <w:numId w:val="0"/>
              </w:numPr>
              <w:ind w:left="567" w:hanging="567"/>
              <w:outlineLvl w:val="0"/>
              <w:rPr>
                <w:rFonts w:asciiTheme="minorHAnsi" w:eastAsiaTheme="minorHAnsi" w:hAnsiTheme="minorHAnsi" w:cstheme="minorBidi"/>
                <w:bCs/>
                <w:sz w:val="22"/>
                <w:szCs w:val="22"/>
                <w:lang w:eastAsia="en-US"/>
              </w:rPr>
            </w:pPr>
            <w:r w:rsidRPr="005D218E">
              <w:rPr>
                <w:rFonts w:asciiTheme="minorHAnsi" w:eastAsiaTheme="minorHAnsi" w:hAnsiTheme="minorHAnsi" w:cstheme="minorBidi"/>
                <w:sz w:val="22"/>
                <w:szCs w:val="22"/>
                <w:lang w:eastAsia="en-US"/>
              </w:rPr>
              <w:t>Genetic linkage study</w:t>
            </w:r>
          </w:p>
          <w:p w:rsidR="00E7347D" w:rsidRPr="005D218E" w:rsidRDefault="00E7347D" w:rsidP="00E7347D">
            <w:pPr>
              <w:pStyle w:val="berschrift1"/>
              <w:numPr>
                <w:ilvl w:val="0"/>
                <w:numId w:val="0"/>
              </w:numPr>
              <w:ind w:left="567" w:hanging="567"/>
              <w:outlineLvl w:val="0"/>
              <w:rPr>
                <w:rFonts w:asciiTheme="minorHAnsi" w:eastAsiaTheme="minorHAnsi" w:hAnsiTheme="minorHAnsi" w:cstheme="minorBidi"/>
                <w:sz w:val="22"/>
                <w:szCs w:val="22"/>
                <w:lang w:eastAsia="en-US"/>
              </w:rPr>
            </w:pPr>
          </w:p>
        </w:tc>
        <w:tc>
          <w:tcPr>
            <w:tcW w:w="6054" w:type="dxa"/>
          </w:tcPr>
          <w:p w:rsidR="00E7347D" w:rsidRPr="003E564B" w:rsidRDefault="00E7347D" w:rsidP="00E7347D">
            <w:pPr>
              <w:pStyle w:val="berschrift1"/>
              <w:numPr>
                <w:ilvl w:val="0"/>
                <w:numId w:val="0"/>
              </w:numPr>
              <w:jc w:val="both"/>
              <w:outlineLvl w:val="0"/>
              <w:rPr>
                <w:rFonts w:asciiTheme="minorHAnsi" w:eastAsiaTheme="minorHAnsi" w:hAnsiTheme="minorHAnsi" w:cstheme="minorBidi"/>
                <w:b w:val="0"/>
                <w:sz w:val="22"/>
                <w:szCs w:val="22"/>
                <w:lang w:eastAsia="en-US"/>
              </w:rPr>
            </w:pPr>
            <w:r w:rsidRPr="003E564B">
              <w:rPr>
                <w:rFonts w:asciiTheme="minorHAnsi" w:eastAsiaTheme="minorHAnsi" w:hAnsiTheme="minorHAnsi" w:cstheme="minorBidi"/>
                <w:b w:val="0"/>
                <w:sz w:val="22"/>
                <w:szCs w:val="22"/>
                <w:lang w:eastAsia="en-US"/>
              </w:rPr>
              <w:t>A study that is a family-based method used to map a trait to a genomic location by demonstrating co-segregation of the disease with genetic markers of known chromosomal location; locations identified are more likely to contain a causal genetic variant. This technique is particularly useful for the identification of di</w:t>
            </w:r>
            <w:proofErr w:type="spellStart"/>
            <w:r w:rsidRPr="003E564B">
              <w:rPr>
                <w:rFonts w:asciiTheme="minorHAnsi" w:eastAsiaTheme="minorHAnsi" w:hAnsiTheme="minorHAnsi" w:cstheme="minorBidi"/>
                <w:b w:val="0"/>
                <w:sz w:val="22"/>
                <w:szCs w:val="22"/>
                <w:lang w:val="en-GB" w:eastAsia="en-US"/>
              </w:rPr>
              <w:t>sorders</w:t>
            </w:r>
            <w:proofErr w:type="spellEnd"/>
            <w:r w:rsidRPr="003E564B">
              <w:rPr>
                <w:rFonts w:asciiTheme="minorHAnsi" w:eastAsiaTheme="minorHAnsi" w:hAnsiTheme="minorHAnsi" w:cstheme="minorBidi"/>
                <w:b w:val="0"/>
                <w:sz w:val="22"/>
                <w:szCs w:val="22"/>
                <w:lang w:eastAsia="en-US"/>
              </w:rPr>
              <w:t xml:space="preserve"> that are inherited in a Mendelian fashion</w:t>
            </w:r>
            <w:r w:rsidR="00DD409D">
              <w:rPr>
                <w:rFonts w:asciiTheme="minorHAnsi" w:eastAsiaTheme="minorHAnsi" w:hAnsiTheme="minorHAnsi" w:cstheme="minorBidi"/>
                <w:b w:val="0"/>
                <w:sz w:val="22"/>
                <w:szCs w:val="22"/>
                <w:lang w:eastAsia="en-US"/>
              </w:rPr>
              <w:t xml:space="preserve"> </w:t>
            </w:r>
            <w:r w:rsidR="00DD409D" w:rsidRPr="00DD409D">
              <w:rPr>
                <w:rFonts w:asciiTheme="minorHAnsi" w:eastAsiaTheme="minorHAnsi" w:hAnsiTheme="minorHAnsi" w:cstheme="minorBidi"/>
                <w:b w:val="0"/>
                <w:sz w:val="22"/>
                <w:szCs w:val="22"/>
                <w:vertAlign w:val="superscript"/>
                <w:lang w:eastAsia="en-US"/>
              </w:rPr>
              <w:t>(</w:t>
            </w:r>
            <w:r w:rsidR="00DD409D" w:rsidRPr="00DD409D">
              <w:rPr>
                <w:b w:val="0"/>
                <w:vertAlign w:val="superscript"/>
              </w:rPr>
              <w:t>1</w:t>
            </w:r>
            <w:r w:rsidR="00DD409D" w:rsidRPr="00DD409D">
              <w:rPr>
                <w:rFonts w:asciiTheme="minorHAnsi" w:eastAsiaTheme="minorHAnsi" w:hAnsiTheme="minorHAnsi" w:cstheme="minorBidi"/>
                <w:b w:val="0"/>
                <w:sz w:val="22"/>
                <w:szCs w:val="22"/>
                <w:vertAlign w:val="superscript"/>
                <w:lang w:eastAsia="en-US"/>
              </w:rPr>
              <w:t>)</w:t>
            </w:r>
          </w:p>
        </w:tc>
      </w:tr>
      <w:tr w:rsidR="00E7347D" w:rsidRPr="005D218E" w:rsidTr="001376A8">
        <w:tc>
          <w:tcPr>
            <w:tcW w:w="2962" w:type="dxa"/>
          </w:tcPr>
          <w:p w:rsidR="00E7347D" w:rsidRPr="005D218E" w:rsidRDefault="00E7347D" w:rsidP="00E7347D">
            <w:pPr>
              <w:jc w:val="both"/>
              <w:rPr>
                <w:b/>
              </w:rPr>
            </w:pPr>
          </w:p>
          <w:p w:rsidR="00E7347D" w:rsidRPr="005D218E" w:rsidRDefault="00E7347D" w:rsidP="00E7347D">
            <w:pPr>
              <w:jc w:val="both"/>
              <w:rPr>
                <w:b/>
              </w:rPr>
            </w:pPr>
          </w:p>
          <w:p w:rsidR="00E7347D" w:rsidRPr="005D218E" w:rsidRDefault="00E7347D" w:rsidP="00E704D5">
            <w:pPr>
              <w:jc w:val="both"/>
              <w:rPr>
                <w:b/>
              </w:rPr>
            </w:pPr>
            <w:r w:rsidRPr="005D218E">
              <w:rPr>
                <w:b/>
              </w:rPr>
              <w:t xml:space="preserve">Candidate gene </w:t>
            </w:r>
          </w:p>
        </w:tc>
        <w:tc>
          <w:tcPr>
            <w:tcW w:w="6054" w:type="dxa"/>
          </w:tcPr>
          <w:p w:rsidR="00E7347D" w:rsidRDefault="00E7347D" w:rsidP="00E7347D">
            <w:pPr>
              <w:jc w:val="both"/>
            </w:pPr>
          </w:p>
          <w:p w:rsidR="00E704D5" w:rsidRPr="005D218E" w:rsidRDefault="00E704D5" w:rsidP="00DD409D">
            <w:pPr>
              <w:jc w:val="both"/>
            </w:pPr>
            <w:r>
              <w:t xml:space="preserve">A gene whose chromosomal location is associated with a particular disease or other phenotype. Because of its location, the gene </w:t>
            </w:r>
            <w:proofErr w:type="gramStart"/>
            <w:r>
              <w:t>is suspected</w:t>
            </w:r>
            <w:proofErr w:type="gramEnd"/>
            <w:r>
              <w:t xml:space="preserve"> of causing the disease or other phenotype. Therefore, c</w:t>
            </w:r>
            <w:r w:rsidRPr="00E704D5">
              <w:t>andidate gene approach</w:t>
            </w:r>
            <w:r w:rsidRPr="005D218E">
              <w:t xml:space="preserve"> </w:t>
            </w:r>
            <w:r>
              <w:t xml:space="preserve">is in contrast to </w:t>
            </w:r>
            <w:r w:rsidRPr="005D218E">
              <w:t xml:space="preserve">GWAS, which scan the entire genome for common genetic variation in a hypothesis-free </w:t>
            </w:r>
            <w:r>
              <w:t>mode</w:t>
            </w:r>
            <w:r w:rsidR="00DD409D">
              <w:t xml:space="preserve"> </w:t>
            </w:r>
            <w:r w:rsidR="00DD409D" w:rsidRPr="00DD409D">
              <w:rPr>
                <w:vertAlign w:val="superscript"/>
              </w:rPr>
              <w:t>(</w:t>
            </w:r>
            <w:r w:rsidR="00DD409D">
              <w:rPr>
                <w:vertAlign w:val="superscript"/>
              </w:rPr>
              <w:t>2</w:t>
            </w:r>
            <w:r w:rsidR="00DD409D" w:rsidRPr="00DD409D">
              <w:rPr>
                <w:vertAlign w:val="superscript"/>
              </w:rPr>
              <w:t>)</w:t>
            </w:r>
          </w:p>
        </w:tc>
      </w:tr>
      <w:tr w:rsidR="00E7347D" w:rsidRPr="005D218E" w:rsidTr="001376A8">
        <w:tc>
          <w:tcPr>
            <w:tcW w:w="2962" w:type="dxa"/>
          </w:tcPr>
          <w:p w:rsidR="00E7347D" w:rsidRPr="005D218E" w:rsidRDefault="00E7347D" w:rsidP="00E7347D">
            <w:pPr>
              <w:rPr>
                <w:rFonts w:cstheme="minorHAnsi"/>
                <w:b/>
              </w:rPr>
            </w:pPr>
          </w:p>
          <w:p w:rsidR="00E7347D" w:rsidRPr="005D218E" w:rsidRDefault="00E7347D" w:rsidP="00E7347D">
            <w:pPr>
              <w:rPr>
                <w:rFonts w:cstheme="minorHAnsi"/>
                <w:b/>
              </w:rPr>
            </w:pPr>
          </w:p>
          <w:p w:rsidR="00E7347D" w:rsidRPr="005D218E" w:rsidRDefault="00E7347D" w:rsidP="00E7347D">
            <w:pPr>
              <w:rPr>
                <w:b/>
              </w:rPr>
            </w:pPr>
            <w:r w:rsidRPr="005D218E">
              <w:rPr>
                <w:rFonts w:cstheme="minorHAnsi"/>
                <w:b/>
              </w:rPr>
              <w:t>Genome-wide association studies (GWASs)</w:t>
            </w:r>
          </w:p>
        </w:tc>
        <w:tc>
          <w:tcPr>
            <w:tcW w:w="6054" w:type="dxa"/>
          </w:tcPr>
          <w:p w:rsidR="00E7347D" w:rsidRDefault="00E7347D" w:rsidP="00E7347D">
            <w:pPr>
              <w:jc w:val="both"/>
            </w:pPr>
          </w:p>
          <w:p w:rsidR="00E7347D" w:rsidRPr="005D218E" w:rsidRDefault="00E7347D" w:rsidP="00E7347D">
            <w:pPr>
              <w:jc w:val="both"/>
            </w:pPr>
            <w:r w:rsidRPr="005D218E">
              <w:t xml:space="preserve">Unbiased genome screens of unrelated individuals and appropriately matched controls to establish whether any genetic variant is associated with a trait. These studies typically focus on </w:t>
            </w:r>
            <w:r w:rsidRPr="005D218E">
              <w:lastRenderedPageBreak/>
              <w:t>associations between single-nucleotide polymorphisms (SNPs) and major diseases</w:t>
            </w:r>
            <w:r w:rsidR="00DD409D">
              <w:t xml:space="preserve"> </w:t>
            </w:r>
            <w:r w:rsidR="00DD409D" w:rsidRPr="00DD409D">
              <w:rPr>
                <w:vertAlign w:val="superscript"/>
              </w:rPr>
              <w:t>(1)</w:t>
            </w:r>
          </w:p>
        </w:tc>
      </w:tr>
      <w:tr w:rsidR="00E7347D" w:rsidRPr="005D218E" w:rsidTr="001376A8">
        <w:tc>
          <w:tcPr>
            <w:tcW w:w="2962" w:type="dxa"/>
          </w:tcPr>
          <w:p w:rsidR="00E7347D" w:rsidRPr="00E84552" w:rsidRDefault="00E7347D" w:rsidP="00E704D5">
            <w:pPr>
              <w:rPr>
                <w:rFonts w:cstheme="minorHAnsi"/>
                <w:b/>
              </w:rPr>
            </w:pPr>
            <w:r w:rsidRPr="00E84552">
              <w:rPr>
                <w:b/>
              </w:rPr>
              <w:lastRenderedPageBreak/>
              <w:t xml:space="preserve">Genotype-by-environment </w:t>
            </w:r>
            <w:r w:rsidR="00E704D5">
              <w:rPr>
                <w:b/>
              </w:rPr>
              <w:t>(</w:t>
            </w:r>
            <w:r w:rsidR="00E704D5" w:rsidRPr="00E704D5">
              <w:rPr>
                <w:b/>
              </w:rPr>
              <w:t>G×E)</w:t>
            </w:r>
            <w:r w:rsidR="00E704D5">
              <w:t xml:space="preserve"> </w:t>
            </w:r>
            <w:r w:rsidR="00E704D5">
              <w:rPr>
                <w:b/>
              </w:rPr>
              <w:t>interaction</w:t>
            </w:r>
          </w:p>
        </w:tc>
        <w:tc>
          <w:tcPr>
            <w:tcW w:w="6054" w:type="dxa"/>
          </w:tcPr>
          <w:p w:rsidR="00E7347D" w:rsidRDefault="00E7347D" w:rsidP="00E7347D">
            <w:pPr>
              <w:jc w:val="both"/>
            </w:pPr>
          </w:p>
          <w:p w:rsidR="00E7347D" w:rsidRDefault="00E704D5" w:rsidP="00E704D5">
            <w:pPr>
              <w:jc w:val="both"/>
            </w:pPr>
            <w:r>
              <w:t xml:space="preserve">An influence on the expression of a trait that results from the interplay between genes and the environment. Some traits </w:t>
            </w:r>
            <w:proofErr w:type="gramStart"/>
            <w:r>
              <w:t>are strongly influenced</w:t>
            </w:r>
            <w:proofErr w:type="gramEnd"/>
            <w:r>
              <w:t xml:space="preserve"> by genes, while other traits are strongly influenced by the environment. Most traits, however, are influenced by one or more genes interacting in co</w:t>
            </w:r>
            <w:r w:rsidR="00DD409D">
              <w:t xml:space="preserve">mplex ways with the environment </w:t>
            </w:r>
            <w:r w:rsidR="00DD409D" w:rsidRPr="00DD409D">
              <w:rPr>
                <w:vertAlign w:val="superscript"/>
              </w:rPr>
              <w:t>(</w:t>
            </w:r>
            <w:r w:rsidR="00DD409D">
              <w:rPr>
                <w:vertAlign w:val="superscript"/>
              </w:rPr>
              <w:t>2</w:t>
            </w:r>
            <w:r w:rsidR="00DD409D" w:rsidRPr="00DD409D">
              <w:rPr>
                <w:vertAlign w:val="superscript"/>
              </w:rPr>
              <w:t>)</w:t>
            </w:r>
          </w:p>
        </w:tc>
      </w:tr>
      <w:tr w:rsidR="00E7347D" w:rsidRPr="005D218E" w:rsidTr="001376A8">
        <w:tc>
          <w:tcPr>
            <w:tcW w:w="2962" w:type="dxa"/>
          </w:tcPr>
          <w:p w:rsidR="00E7347D" w:rsidRPr="005D218E" w:rsidRDefault="00E7347D" w:rsidP="00E7347D">
            <w:pPr>
              <w:rPr>
                <w:b/>
              </w:rPr>
            </w:pPr>
          </w:p>
          <w:p w:rsidR="00E7347D" w:rsidRPr="005D218E" w:rsidRDefault="00E7347D" w:rsidP="00E7347D">
            <w:pPr>
              <w:rPr>
                <w:b/>
              </w:rPr>
            </w:pPr>
          </w:p>
          <w:p w:rsidR="00E7347D" w:rsidRPr="005D218E" w:rsidRDefault="00E7347D" w:rsidP="00E7347D">
            <w:pPr>
              <w:rPr>
                <w:b/>
              </w:rPr>
            </w:pPr>
            <w:r w:rsidRPr="005D218E">
              <w:rPr>
                <w:b/>
              </w:rPr>
              <w:t>Genetic loci</w:t>
            </w:r>
          </w:p>
        </w:tc>
        <w:tc>
          <w:tcPr>
            <w:tcW w:w="6054" w:type="dxa"/>
          </w:tcPr>
          <w:p w:rsidR="00E7347D" w:rsidRDefault="00E7347D" w:rsidP="00E7347D">
            <w:pPr>
              <w:jc w:val="both"/>
            </w:pPr>
          </w:p>
          <w:p w:rsidR="001F02B2" w:rsidRPr="005D218E" w:rsidRDefault="001F02B2" w:rsidP="001738C4">
            <w:pPr>
              <w:jc w:val="both"/>
            </w:pPr>
            <w:r>
              <w:t xml:space="preserve">A locus </w:t>
            </w:r>
            <w:r w:rsidRPr="005D218E">
              <w:t>(plural</w:t>
            </w:r>
            <w:r w:rsidR="001738C4">
              <w:t>:</w:t>
            </w:r>
            <w:r w:rsidRPr="005D218E">
              <w:t xml:space="preserve"> loci) </w:t>
            </w:r>
            <w:r>
              <w:t>is the specific physical location of a gene or other DNA sequence on a chromosome,</w:t>
            </w:r>
            <w:r w:rsidR="001738C4">
              <w:t xml:space="preserve"> like a genetic street address</w:t>
            </w:r>
            <w:r w:rsidR="00DD409D">
              <w:t xml:space="preserve"> </w:t>
            </w:r>
            <w:r w:rsidR="00DD409D" w:rsidRPr="00DD409D">
              <w:rPr>
                <w:vertAlign w:val="superscript"/>
              </w:rPr>
              <w:t>(</w:t>
            </w:r>
            <w:r w:rsidR="00DD409D">
              <w:rPr>
                <w:vertAlign w:val="superscript"/>
              </w:rPr>
              <w:t>2</w:t>
            </w:r>
            <w:r w:rsidR="00DD409D" w:rsidRPr="00DD409D">
              <w:rPr>
                <w:vertAlign w:val="superscript"/>
              </w:rPr>
              <w:t>)</w:t>
            </w:r>
          </w:p>
        </w:tc>
      </w:tr>
      <w:tr w:rsidR="00E7347D" w:rsidRPr="005D218E" w:rsidTr="001376A8">
        <w:tc>
          <w:tcPr>
            <w:tcW w:w="2962" w:type="dxa"/>
          </w:tcPr>
          <w:p w:rsidR="00E7347D" w:rsidRDefault="00E7347D" w:rsidP="00E7347D">
            <w:pPr>
              <w:rPr>
                <w:b/>
              </w:rPr>
            </w:pPr>
          </w:p>
          <w:p w:rsidR="00E7347D" w:rsidRPr="005D218E" w:rsidRDefault="00E7347D" w:rsidP="00E7347D">
            <w:pPr>
              <w:rPr>
                <w:b/>
              </w:rPr>
            </w:pPr>
            <w:r>
              <w:rPr>
                <w:b/>
              </w:rPr>
              <w:t>Haplotype</w:t>
            </w:r>
          </w:p>
        </w:tc>
        <w:tc>
          <w:tcPr>
            <w:tcW w:w="6054" w:type="dxa"/>
          </w:tcPr>
          <w:p w:rsidR="00E7347D" w:rsidRDefault="00E7347D" w:rsidP="00E7347D">
            <w:pPr>
              <w:jc w:val="both"/>
            </w:pPr>
          </w:p>
          <w:p w:rsidR="00E7347D" w:rsidRPr="005D218E" w:rsidRDefault="00EF013D" w:rsidP="00EF013D">
            <w:pPr>
              <w:jc w:val="both"/>
            </w:pPr>
            <w:r>
              <w:t xml:space="preserve">A </w:t>
            </w:r>
            <w:r w:rsidR="001738C4">
              <w:t xml:space="preserve">set of DNA variations, or polymorphisms, that tend to </w:t>
            </w:r>
            <w:proofErr w:type="gramStart"/>
            <w:r w:rsidR="001738C4">
              <w:t>be inherited</w:t>
            </w:r>
            <w:proofErr w:type="gramEnd"/>
            <w:r w:rsidR="001738C4">
              <w:t xml:space="preserve"> together. A haplotype can refer to a combination of alleles or to a set of single nucleotide polymorphisms (SNPs) found on the same chromosome. Information about haplotypes is being collected by the International </w:t>
            </w:r>
            <w:proofErr w:type="spellStart"/>
            <w:r w:rsidR="001738C4">
              <w:t>HapMap</w:t>
            </w:r>
            <w:proofErr w:type="spellEnd"/>
            <w:r w:rsidR="001738C4">
              <w:t xml:space="preserve"> Project and is used to investigate the influence of genes on disease</w:t>
            </w:r>
            <w:r w:rsidR="00DD409D">
              <w:t xml:space="preserve"> </w:t>
            </w:r>
            <w:r w:rsidR="00DD409D" w:rsidRPr="00DD409D">
              <w:rPr>
                <w:vertAlign w:val="superscript"/>
              </w:rPr>
              <w:t>(</w:t>
            </w:r>
            <w:r w:rsidR="00DD409D">
              <w:rPr>
                <w:vertAlign w:val="superscript"/>
              </w:rPr>
              <w:t>2</w:t>
            </w:r>
            <w:r w:rsidR="00DD409D" w:rsidRPr="00DD409D">
              <w:rPr>
                <w:vertAlign w:val="superscript"/>
              </w:rPr>
              <w:t>)</w:t>
            </w:r>
          </w:p>
        </w:tc>
      </w:tr>
      <w:tr w:rsidR="001738C4" w:rsidRPr="005D218E" w:rsidTr="001376A8">
        <w:tc>
          <w:tcPr>
            <w:tcW w:w="2962" w:type="dxa"/>
          </w:tcPr>
          <w:p w:rsidR="001738C4" w:rsidRDefault="001738C4" w:rsidP="00E7347D">
            <w:pPr>
              <w:rPr>
                <w:b/>
              </w:rPr>
            </w:pPr>
          </w:p>
          <w:p w:rsidR="001738C4" w:rsidRDefault="001738C4" w:rsidP="00E7347D">
            <w:pPr>
              <w:rPr>
                <w:b/>
              </w:rPr>
            </w:pPr>
            <w:proofErr w:type="spellStart"/>
            <w:r>
              <w:rPr>
                <w:b/>
              </w:rPr>
              <w:t>HapMap</w:t>
            </w:r>
            <w:proofErr w:type="spellEnd"/>
          </w:p>
        </w:tc>
        <w:tc>
          <w:tcPr>
            <w:tcW w:w="6054" w:type="dxa"/>
          </w:tcPr>
          <w:p w:rsidR="001738C4" w:rsidRDefault="001738C4" w:rsidP="00E7347D">
            <w:pPr>
              <w:jc w:val="both"/>
            </w:pPr>
          </w:p>
          <w:p w:rsidR="001738C4" w:rsidRDefault="001738C4" w:rsidP="00EF013D">
            <w:pPr>
              <w:jc w:val="both"/>
            </w:pPr>
            <w:proofErr w:type="spellStart"/>
            <w:r>
              <w:t>HapMap</w:t>
            </w:r>
            <w:proofErr w:type="spellEnd"/>
            <w:r>
              <w:t xml:space="preserve"> (short for "haplotype map") is the nickname of the International </w:t>
            </w:r>
            <w:proofErr w:type="spellStart"/>
            <w:r>
              <w:t>HapMap</w:t>
            </w:r>
            <w:proofErr w:type="spellEnd"/>
            <w:r>
              <w:t xml:space="preserve"> Project, an international project that seeks to relate variations in human DNA sequences wi</w:t>
            </w:r>
            <w:r w:rsidR="00EF013D">
              <w:t>th genes associated with health</w:t>
            </w:r>
            <w:r>
              <w:t xml:space="preserve">. The </w:t>
            </w:r>
            <w:proofErr w:type="spellStart"/>
            <w:r>
              <w:t>HapMap</w:t>
            </w:r>
            <w:proofErr w:type="spellEnd"/>
            <w:r>
              <w:t xml:space="preserve"> describes common patterns of genetic variation among people</w:t>
            </w:r>
            <w:r w:rsidR="00DD409D">
              <w:t xml:space="preserve"> </w:t>
            </w:r>
            <w:r w:rsidR="00DD409D" w:rsidRPr="00DD409D">
              <w:rPr>
                <w:vertAlign w:val="superscript"/>
              </w:rPr>
              <w:t>(</w:t>
            </w:r>
            <w:r w:rsidR="00DD409D">
              <w:rPr>
                <w:vertAlign w:val="superscript"/>
              </w:rPr>
              <w:t>2</w:t>
            </w:r>
            <w:r w:rsidR="00DD409D" w:rsidRPr="00DD409D">
              <w:rPr>
                <w:vertAlign w:val="superscript"/>
              </w:rPr>
              <w:t>)</w:t>
            </w:r>
          </w:p>
        </w:tc>
      </w:tr>
      <w:tr w:rsidR="00E7347D" w:rsidRPr="005D218E" w:rsidTr="001376A8">
        <w:tc>
          <w:tcPr>
            <w:tcW w:w="2962" w:type="dxa"/>
          </w:tcPr>
          <w:p w:rsidR="00E7347D" w:rsidRPr="005D218E" w:rsidRDefault="00E7347D" w:rsidP="00E7347D">
            <w:pPr>
              <w:rPr>
                <w:rStyle w:val="hgkelc"/>
                <w:b/>
              </w:rPr>
            </w:pPr>
          </w:p>
          <w:p w:rsidR="00E7347D" w:rsidRPr="005D218E" w:rsidRDefault="00E7347D" w:rsidP="00E7347D">
            <w:pPr>
              <w:rPr>
                <w:b/>
              </w:rPr>
            </w:pPr>
            <w:r w:rsidRPr="005D218E">
              <w:rPr>
                <w:rStyle w:val="hgkelc"/>
                <w:b/>
              </w:rPr>
              <w:t>Single nucleotide polymorphism (SNP)</w:t>
            </w:r>
          </w:p>
        </w:tc>
        <w:tc>
          <w:tcPr>
            <w:tcW w:w="6054" w:type="dxa"/>
          </w:tcPr>
          <w:p w:rsidR="00E7347D" w:rsidRDefault="00E7347D" w:rsidP="00E7347D">
            <w:pPr>
              <w:jc w:val="both"/>
            </w:pPr>
          </w:p>
          <w:p w:rsidR="001738C4" w:rsidRPr="005D218E" w:rsidRDefault="00EF013D" w:rsidP="00E7347D">
            <w:pPr>
              <w:jc w:val="both"/>
            </w:pPr>
            <w:r>
              <w:t>A</w:t>
            </w:r>
            <w:r w:rsidR="001738C4">
              <w:t xml:space="preserve"> type of polymorphism involving variation of a single base pair. Scientists are studying how single nucleotide polymorphisms, or SNPs (pronounced "snips"), in the human genome correlate with disease, drug response, and other phenotypes</w:t>
            </w:r>
            <w:r w:rsidR="00DD409D">
              <w:t xml:space="preserve"> </w:t>
            </w:r>
            <w:r w:rsidR="00DD409D" w:rsidRPr="00DD409D">
              <w:rPr>
                <w:vertAlign w:val="superscript"/>
              </w:rPr>
              <w:t>(</w:t>
            </w:r>
            <w:r w:rsidR="00DD409D">
              <w:rPr>
                <w:vertAlign w:val="superscript"/>
              </w:rPr>
              <w:t>2</w:t>
            </w:r>
            <w:r w:rsidR="00DD409D" w:rsidRPr="00DD409D">
              <w:rPr>
                <w:vertAlign w:val="superscript"/>
              </w:rPr>
              <w:t>)</w:t>
            </w:r>
          </w:p>
        </w:tc>
      </w:tr>
      <w:tr w:rsidR="00E7347D" w:rsidRPr="005D218E" w:rsidTr="001376A8">
        <w:tc>
          <w:tcPr>
            <w:tcW w:w="2962" w:type="dxa"/>
          </w:tcPr>
          <w:p w:rsidR="00E7347D" w:rsidRPr="005D218E" w:rsidRDefault="00E7347D" w:rsidP="00E7347D">
            <w:pPr>
              <w:rPr>
                <w:rFonts w:cstheme="minorHAnsi"/>
                <w:b/>
              </w:rPr>
            </w:pPr>
          </w:p>
          <w:p w:rsidR="00E7347D" w:rsidRPr="005D218E" w:rsidRDefault="00E7347D" w:rsidP="00E7347D">
            <w:pPr>
              <w:rPr>
                <w:b/>
              </w:rPr>
            </w:pPr>
            <w:r w:rsidRPr="005D218E">
              <w:rPr>
                <w:rFonts w:cstheme="minorHAnsi"/>
                <w:b/>
              </w:rPr>
              <w:t>Noncoding regions of the genome</w:t>
            </w:r>
          </w:p>
        </w:tc>
        <w:tc>
          <w:tcPr>
            <w:tcW w:w="6054" w:type="dxa"/>
          </w:tcPr>
          <w:p w:rsidR="00E7347D" w:rsidRDefault="00E7347D" w:rsidP="00E7347D">
            <w:pPr>
              <w:jc w:val="both"/>
            </w:pPr>
          </w:p>
          <w:p w:rsidR="001738C4" w:rsidRPr="005D218E" w:rsidRDefault="001738C4" w:rsidP="00E7347D">
            <w:pPr>
              <w:jc w:val="both"/>
            </w:pPr>
            <w:r>
              <w:t xml:space="preserve">Non-coding DNA sequences do not code for amino acids. Most non-coding DNA lies between genes on the chromosome and has no known function. Other non-coding DNA, called introns, </w:t>
            </w:r>
            <w:proofErr w:type="gramStart"/>
            <w:r>
              <w:t>is found</w:t>
            </w:r>
            <w:proofErr w:type="gramEnd"/>
            <w:r>
              <w:t xml:space="preserve"> within genes. Some non-coding DNA plays a role in the regulation of gene expression</w:t>
            </w:r>
            <w:r w:rsidR="00DD409D">
              <w:t xml:space="preserve"> </w:t>
            </w:r>
            <w:r w:rsidR="00DD409D" w:rsidRPr="00DD409D">
              <w:rPr>
                <w:vertAlign w:val="superscript"/>
              </w:rPr>
              <w:t>(</w:t>
            </w:r>
            <w:r w:rsidR="00DD409D">
              <w:rPr>
                <w:vertAlign w:val="superscript"/>
              </w:rPr>
              <w:t>2</w:t>
            </w:r>
            <w:r w:rsidR="00DD409D" w:rsidRPr="00DD409D">
              <w:rPr>
                <w:vertAlign w:val="superscript"/>
              </w:rPr>
              <w:t>)</w:t>
            </w:r>
          </w:p>
        </w:tc>
      </w:tr>
      <w:tr w:rsidR="00E7347D" w:rsidRPr="005D218E" w:rsidTr="001376A8">
        <w:tc>
          <w:tcPr>
            <w:tcW w:w="2962" w:type="dxa"/>
          </w:tcPr>
          <w:p w:rsidR="00E7347D" w:rsidRPr="00B947D3" w:rsidRDefault="00E7347D" w:rsidP="00E7347D">
            <w:pPr>
              <w:rPr>
                <w:rFonts w:cstheme="minorHAnsi"/>
                <w:b/>
              </w:rPr>
            </w:pPr>
            <w:r w:rsidRPr="00B947D3">
              <w:rPr>
                <w:rFonts w:cstheme="minorHAnsi"/>
                <w:b/>
              </w:rPr>
              <w:t>Genomic control (GC) approach</w:t>
            </w:r>
          </w:p>
        </w:tc>
        <w:tc>
          <w:tcPr>
            <w:tcW w:w="6054" w:type="dxa"/>
          </w:tcPr>
          <w:p w:rsidR="00E7347D" w:rsidRPr="00B947D3" w:rsidRDefault="00E7347D" w:rsidP="00E7347D">
            <w:pPr>
              <w:jc w:val="both"/>
            </w:pPr>
          </w:p>
          <w:p w:rsidR="00E7347D" w:rsidRPr="00B947D3" w:rsidRDefault="00E7347D" w:rsidP="00E7347D">
            <w:pPr>
              <w:jc w:val="both"/>
            </w:pPr>
            <w:r w:rsidRPr="00B947D3">
              <w:t xml:space="preserve">Due to population substructure or cryptic relatedness, false associations might occur in case-control studies, increasing the variance of the trend test. The genomic control (GC) approach is used to calculate the variance inflation factor and adjust the test statistic </w:t>
            </w:r>
            <w:r w:rsidR="008D7959" w:rsidRPr="00B947D3">
              <w:rPr>
                <w:vertAlign w:val="superscript"/>
              </w:rPr>
              <w:t>(3)</w:t>
            </w:r>
          </w:p>
          <w:p w:rsidR="00E7347D" w:rsidRPr="00B947D3" w:rsidRDefault="00E7347D" w:rsidP="00E7347D">
            <w:pPr>
              <w:jc w:val="both"/>
            </w:pPr>
          </w:p>
        </w:tc>
      </w:tr>
      <w:tr w:rsidR="00E7347D" w:rsidRPr="005D218E" w:rsidTr="001376A8">
        <w:tc>
          <w:tcPr>
            <w:tcW w:w="2962" w:type="dxa"/>
          </w:tcPr>
          <w:p w:rsidR="00E7347D" w:rsidRPr="00B947D3" w:rsidRDefault="00E7347D" w:rsidP="00E7347D">
            <w:pPr>
              <w:rPr>
                <w:rFonts w:cstheme="minorHAnsi"/>
                <w:b/>
              </w:rPr>
            </w:pPr>
            <w:r w:rsidRPr="00B947D3">
              <w:rPr>
                <w:b/>
              </w:rPr>
              <w:t>Linkage disequilibrium (LD)</w:t>
            </w:r>
          </w:p>
        </w:tc>
        <w:tc>
          <w:tcPr>
            <w:tcW w:w="6054" w:type="dxa"/>
          </w:tcPr>
          <w:p w:rsidR="00E7347D" w:rsidRPr="00B947D3" w:rsidRDefault="00E7347D" w:rsidP="00E7347D">
            <w:pPr>
              <w:jc w:val="both"/>
            </w:pPr>
          </w:p>
          <w:p w:rsidR="00E7347D" w:rsidRPr="00B947D3" w:rsidRDefault="00E7347D" w:rsidP="00E7347D">
            <w:pPr>
              <w:jc w:val="both"/>
            </w:pPr>
            <w:r w:rsidRPr="00B947D3">
              <w:rPr>
                <w:rStyle w:val="hgkelc"/>
              </w:rPr>
              <w:t>A non-random association of alleles at two or more loci in a given population</w:t>
            </w:r>
            <w:r w:rsidR="008D7959" w:rsidRPr="00B947D3">
              <w:rPr>
                <w:rStyle w:val="hgkelc"/>
              </w:rPr>
              <w:t xml:space="preserve"> </w:t>
            </w:r>
            <w:r w:rsidR="008D7959" w:rsidRPr="00B947D3">
              <w:rPr>
                <w:rStyle w:val="hgkelc"/>
                <w:vertAlign w:val="superscript"/>
              </w:rPr>
              <w:t>(4)</w:t>
            </w:r>
          </w:p>
        </w:tc>
      </w:tr>
      <w:tr w:rsidR="001738C4" w:rsidRPr="005D218E" w:rsidTr="001376A8">
        <w:tc>
          <w:tcPr>
            <w:tcW w:w="2962" w:type="dxa"/>
          </w:tcPr>
          <w:p w:rsidR="001738C4" w:rsidRDefault="001738C4" w:rsidP="00E7347D">
            <w:pPr>
              <w:rPr>
                <w:b/>
                <w:highlight w:val="yellow"/>
              </w:rPr>
            </w:pPr>
          </w:p>
          <w:p w:rsidR="001738C4" w:rsidRPr="006C3B67" w:rsidRDefault="001738C4" w:rsidP="00E7347D">
            <w:pPr>
              <w:rPr>
                <w:b/>
                <w:highlight w:val="yellow"/>
              </w:rPr>
            </w:pPr>
            <w:r w:rsidRPr="00DD409D">
              <w:rPr>
                <w:b/>
              </w:rPr>
              <w:t xml:space="preserve">LOD score </w:t>
            </w:r>
          </w:p>
        </w:tc>
        <w:tc>
          <w:tcPr>
            <w:tcW w:w="6054" w:type="dxa"/>
          </w:tcPr>
          <w:p w:rsidR="001738C4" w:rsidRDefault="001738C4" w:rsidP="00E7347D">
            <w:pPr>
              <w:jc w:val="both"/>
              <w:rPr>
                <w:highlight w:val="yellow"/>
              </w:rPr>
            </w:pPr>
          </w:p>
          <w:p w:rsidR="001738C4" w:rsidRPr="006C3B67" w:rsidRDefault="00334350" w:rsidP="00334350">
            <w:pPr>
              <w:jc w:val="both"/>
              <w:rPr>
                <w:highlight w:val="yellow"/>
              </w:rPr>
            </w:pPr>
            <w:r>
              <w:t>"Logarithm of the odds</w:t>
            </w:r>
            <w:r w:rsidR="001738C4">
              <w:t>"</w:t>
            </w:r>
            <w:r>
              <w:t>;</w:t>
            </w:r>
            <w:r w:rsidR="001738C4">
              <w:t xml:space="preserve"> is a statistical</w:t>
            </w:r>
            <w:r>
              <w:t xml:space="preserve"> estimate of whether two genes </w:t>
            </w:r>
            <w:r w:rsidR="001738C4">
              <w:t xml:space="preserve">are likely to be located near each other on a chromosome and are therefore likely to be inherited. A LOD score of 3 or higher </w:t>
            </w:r>
            <w:r w:rsidR="001738C4">
              <w:lastRenderedPageBreak/>
              <w:t>is generally understood to mean that two genes are located close t</w:t>
            </w:r>
            <w:r>
              <w:t>o each other on the chromosome</w:t>
            </w:r>
            <w:r w:rsidR="00DD409D" w:rsidRPr="00DD409D">
              <w:rPr>
                <w:vertAlign w:val="superscript"/>
              </w:rPr>
              <w:t>(2)</w:t>
            </w:r>
          </w:p>
        </w:tc>
      </w:tr>
      <w:tr w:rsidR="00E7347D" w:rsidRPr="005D218E" w:rsidTr="001376A8">
        <w:tc>
          <w:tcPr>
            <w:tcW w:w="2962" w:type="dxa"/>
          </w:tcPr>
          <w:p w:rsidR="00E7347D" w:rsidRPr="005D218E" w:rsidRDefault="00E7347D" w:rsidP="00E7347D">
            <w:pPr>
              <w:rPr>
                <w:b/>
              </w:rPr>
            </w:pPr>
          </w:p>
          <w:p w:rsidR="00E7347D" w:rsidRPr="005D218E" w:rsidRDefault="00E7347D" w:rsidP="00E7347D">
            <w:pPr>
              <w:rPr>
                <w:b/>
              </w:rPr>
            </w:pPr>
          </w:p>
          <w:p w:rsidR="00E7347D" w:rsidRPr="005D218E" w:rsidRDefault="00E7347D" w:rsidP="00E7347D">
            <w:pPr>
              <w:rPr>
                <w:b/>
              </w:rPr>
            </w:pPr>
            <w:r w:rsidRPr="005D218E">
              <w:rPr>
                <w:b/>
              </w:rPr>
              <w:t>Genome-wide correction</w:t>
            </w:r>
          </w:p>
        </w:tc>
        <w:tc>
          <w:tcPr>
            <w:tcW w:w="6054" w:type="dxa"/>
          </w:tcPr>
          <w:p w:rsidR="00E7347D" w:rsidRDefault="00E7347D" w:rsidP="00E7347D">
            <w:pPr>
              <w:jc w:val="both"/>
            </w:pPr>
          </w:p>
          <w:p w:rsidR="00E7347D" w:rsidRPr="005D218E" w:rsidRDefault="00E7347D" w:rsidP="00E7347D">
            <w:pPr>
              <w:jc w:val="both"/>
            </w:pPr>
            <w:r w:rsidRPr="005D218E">
              <w:t xml:space="preserve">In GWASs, where a large numbers of SNPs </w:t>
            </w:r>
            <w:proofErr w:type="gramStart"/>
            <w:r w:rsidRPr="005D218E">
              <w:t>is analyzed</w:t>
            </w:r>
            <w:proofErr w:type="gramEnd"/>
            <w:r w:rsidRPr="005D218E">
              <w:t xml:space="preserve">, a large number of tests are performed. In order to correct these results for multiple testing (type-I error), it has become </w:t>
            </w:r>
            <w:r w:rsidR="00EF013D" w:rsidRPr="005D218E">
              <w:t>a</w:t>
            </w:r>
            <w:r w:rsidRPr="005D218E">
              <w:t xml:space="preserve"> standard in the field to use a P-value threshold of 5x10</w:t>
            </w:r>
            <w:r w:rsidRPr="005D218E">
              <w:rPr>
                <w:vertAlign w:val="superscript"/>
              </w:rPr>
              <w:t>-8</w:t>
            </w:r>
            <w:r w:rsidRPr="005D218E">
              <w:t>. SNPs that survive a genome-wide correction in a GWAS are considered to be very strong candidates</w:t>
            </w:r>
          </w:p>
        </w:tc>
      </w:tr>
      <w:tr w:rsidR="00E7347D" w:rsidRPr="005D218E" w:rsidTr="001376A8">
        <w:tc>
          <w:tcPr>
            <w:tcW w:w="2962" w:type="dxa"/>
          </w:tcPr>
          <w:p w:rsidR="002C6140" w:rsidRPr="005D218E" w:rsidRDefault="002C6140" w:rsidP="002C6140">
            <w:pPr>
              <w:pStyle w:val="berschrift1"/>
              <w:numPr>
                <w:ilvl w:val="0"/>
                <w:numId w:val="0"/>
              </w:numPr>
              <w:ind w:left="567" w:hanging="567"/>
              <w:outlineLvl w:val="0"/>
              <w:rPr>
                <w:rFonts w:asciiTheme="minorHAnsi" w:eastAsiaTheme="minorHAnsi" w:hAnsiTheme="minorHAnsi" w:cstheme="minorBidi"/>
                <w:bCs/>
                <w:sz w:val="22"/>
                <w:szCs w:val="22"/>
                <w:lang w:eastAsia="en-US"/>
              </w:rPr>
            </w:pPr>
            <w:r w:rsidRPr="005D218E">
              <w:rPr>
                <w:rFonts w:asciiTheme="minorHAnsi" w:eastAsiaTheme="minorHAnsi" w:hAnsiTheme="minorHAnsi" w:cstheme="minorBidi"/>
                <w:sz w:val="22"/>
                <w:szCs w:val="22"/>
                <w:lang w:eastAsia="en-US"/>
              </w:rPr>
              <w:t>Whole exome sequencing</w:t>
            </w:r>
          </w:p>
          <w:p w:rsidR="00E7347D" w:rsidRPr="005D218E" w:rsidRDefault="00E7347D" w:rsidP="002C6140">
            <w:pPr>
              <w:pStyle w:val="berschrift1"/>
              <w:numPr>
                <w:ilvl w:val="0"/>
                <w:numId w:val="0"/>
              </w:numPr>
              <w:outlineLvl w:val="0"/>
              <w:rPr>
                <w:b w:val="0"/>
              </w:rPr>
            </w:pPr>
          </w:p>
        </w:tc>
        <w:tc>
          <w:tcPr>
            <w:tcW w:w="6054" w:type="dxa"/>
          </w:tcPr>
          <w:p w:rsidR="00E7347D" w:rsidRDefault="00E7347D" w:rsidP="00E7347D">
            <w:pPr>
              <w:jc w:val="both"/>
            </w:pPr>
          </w:p>
          <w:p w:rsidR="002C6140" w:rsidRPr="005D218E" w:rsidRDefault="002C6140" w:rsidP="00E7347D">
            <w:pPr>
              <w:jc w:val="both"/>
            </w:pPr>
            <w:r>
              <w:t xml:space="preserve">A laboratory process that is used to determine the nucleotide sequence primarily of the </w:t>
            </w:r>
            <w:proofErr w:type="spellStart"/>
            <w:r>
              <w:t>exonic</w:t>
            </w:r>
            <w:proofErr w:type="spellEnd"/>
            <w:r>
              <w:t xml:space="preserve"> (or protein-coding) regions of an individual’s genome and related sequences, representing approximately 1% of the complete DNA sequence</w:t>
            </w:r>
            <w:r w:rsidR="008D7959">
              <w:t xml:space="preserve"> </w:t>
            </w:r>
            <w:r w:rsidR="008D7959" w:rsidRPr="008D7959">
              <w:rPr>
                <w:vertAlign w:val="superscript"/>
              </w:rPr>
              <w:t>(5)</w:t>
            </w:r>
          </w:p>
        </w:tc>
      </w:tr>
      <w:tr w:rsidR="00E7347D" w:rsidRPr="005D218E" w:rsidTr="001376A8">
        <w:tc>
          <w:tcPr>
            <w:tcW w:w="2962" w:type="dxa"/>
          </w:tcPr>
          <w:p w:rsidR="002C6140" w:rsidRPr="005D218E" w:rsidRDefault="002C6140" w:rsidP="002C6140">
            <w:pPr>
              <w:pStyle w:val="berschrift1"/>
              <w:numPr>
                <w:ilvl w:val="0"/>
                <w:numId w:val="0"/>
              </w:numPr>
              <w:outlineLvl w:val="0"/>
              <w:rPr>
                <w:rFonts w:asciiTheme="minorHAnsi" w:eastAsiaTheme="minorHAnsi" w:hAnsiTheme="minorHAnsi" w:cstheme="minorBidi"/>
                <w:bCs/>
                <w:sz w:val="22"/>
                <w:szCs w:val="22"/>
                <w:lang w:eastAsia="en-US"/>
              </w:rPr>
            </w:pPr>
            <w:r w:rsidRPr="005D218E">
              <w:rPr>
                <w:rFonts w:asciiTheme="minorHAnsi" w:eastAsiaTheme="minorHAnsi" w:hAnsiTheme="minorHAnsi" w:cstheme="minorBidi"/>
                <w:sz w:val="22"/>
                <w:szCs w:val="22"/>
                <w:lang w:eastAsia="en-US"/>
              </w:rPr>
              <w:t>Whole genome sequencing</w:t>
            </w:r>
          </w:p>
          <w:p w:rsidR="00E7347D" w:rsidRPr="005D218E" w:rsidRDefault="00E7347D" w:rsidP="002C6140">
            <w:pPr>
              <w:pStyle w:val="berschrift1"/>
              <w:numPr>
                <w:ilvl w:val="0"/>
                <w:numId w:val="0"/>
              </w:numPr>
              <w:ind w:left="567" w:hanging="567"/>
              <w:outlineLvl w:val="0"/>
              <w:rPr>
                <w:b w:val="0"/>
              </w:rPr>
            </w:pPr>
          </w:p>
        </w:tc>
        <w:tc>
          <w:tcPr>
            <w:tcW w:w="6054" w:type="dxa"/>
          </w:tcPr>
          <w:p w:rsidR="00E7347D" w:rsidRDefault="00E7347D" w:rsidP="00E7347D">
            <w:pPr>
              <w:jc w:val="both"/>
            </w:pPr>
          </w:p>
          <w:p w:rsidR="002C6140" w:rsidRPr="005D218E" w:rsidRDefault="002C6140" w:rsidP="00E7347D">
            <w:pPr>
              <w:jc w:val="both"/>
            </w:pPr>
            <w:r>
              <w:t>A laboratory process that is used to determine nearly all of the approximately 3 billion nucleotides of an individual’s complete DNA sequence, including non-coding sequence</w:t>
            </w:r>
            <w:r w:rsidR="008D7959">
              <w:t xml:space="preserve"> </w:t>
            </w:r>
            <w:r w:rsidR="008D7959" w:rsidRPr="008D7959">
              <w:rPr>
                <w:vertAlign w:val="superscript"/>
              </w:rPr>
              <w:t>(5)</w:t>
            </w:r>
          </w:p>
        </w:tc>
      </w:tr>
      <w:tr w:rsidR="00E7347D" w:rsidRPr="005D218E" w:rsidTr="001376A8">
        <w:tc>
          <w:tcPr>
            <w:tcW w:w="2962" w:type="dxa"/>
          </w:tcPr>
          <w:p w:rsidR="00E7347D" w:rsidRPr="005D218E" w:rsidRDefault="00E7347D" w:rsidP="00E7347D">
            <w:pPr>
              <w:rPr>
                <w:b/>
              </w:rPr>
            </w:pPr>
          </w:p>
          <w:p w:rsidR="00E7347D" w:rsidRPr="005D218E" w:rsidRDefault="00E7347D" w:rsidP="00E7347D">
            <w:pPr>
              <w:rPr>
                <w:b/>
              </w:rPr>
            </w:pPr>
            <w:r w:rsidRPr="005D218E">
              <w:rPr>
                <w:b/>
              </w:rPr>
              <w:t>Exon</w:t>
            </w:r>
          </w:p>
        </w:tc>
        <w:tc>
          <w:tcPr>
            <w:tcW w:w="6054" w:type="dxa"/>
          </w:tcPr>
          <w:p w:rsidR="00E7347D" w:rsidRDefault="00E7347D" w:rsidP="00E7347D">
            <w:pPr>
              <w:jc w:val="both"/>
            </w:pPr>
          </w:p>
          <w:p w:rsidR="001738C4" w:rsidRPr="005D218E" w:rsidRDefault="00334350" w:rsidP="00334350">
            <w:pPr>
              <w:jc w:val="both"/>
            </w:pPr>
            <w:r>
              <w:t>The</w:t>
            </w:r>
            <w:r w:rsidR="001738C4">
              <w:t xml:space="preserve"> portion of a gene that codes for amino acids. The parts of the gene sequence that are expressed in the protein are called exons, because they are expressed, while the parts of the gene sequence that are not expressed in the protein are called introns, because they come in between--or interfere with--the exons</w:t>
            </w:r>
            <w:r w:rsidR="00DD409D">
              <w:t xml:space="preserve"> </w:t>
            </w:r>
            <w:r w:rsidR="00DD409D" w:rsidRPr="00DD409D">
              <w:rPr>
                <w:vertAlign w:val="superscript"/>
              </w:rPr>
              <w:t>(2)</w:t>
            </w:r>
          </w:p>
        </w:tc>
      </w:tr>
      <w:tr w:rsidR="00E7347D" w:rsidRPr="005D218E" w:rsidTr="001376A8">
        <w:tc>
          <w:tcPr>
            <w:tcW w:w="2962" w:type="dxa"/>
          </w:tcPr>
          <w:p w:rsidR="00E7347D" w:rsidRPr="005D218E" w:rsidRDefault="00E7347D" w:rsidP="00E7347D">
            <w:pPr>
              <w:rPr>
                <w:rFonts w:cstheme="minorHAnsi"/>
                <w:b/>
              </w:rPr>
            </w:pPr>
          </w:p>
          <w:p w:rsidR="00E7347D" w:rsidRPr="005D218E" w:rsidRDefault="00E7347D" w:rsidP="00E7347D">
            <w:pPr>
              <w:rPr>
                <w:b/>
              </w:rPr>
            </w:pPr>
            <w:r w:rsidRPr="005D218E">
              <w:rPr>
                <w:rFonts w:cstheme="minorHAnsi"/>
                <w:b/>
              </w:rPr>
              <w:t>Polygenic risk scores (PRS)</w:t>
            </w:r>
          </w:p>
        </w:tc>
        <w:tc>
          <w:tcPr>
            <w:tcW w:w="6054" w:type="dxa"/>
          </w:tcPr>
          <w:p w:rsidR="00E7347D" w:rsidRDefault="00E7347D" w:rsidP="00E7347D">
            <w:pPr>
              <w:jc w:val="both"/>
            </w:pPr>
          </w:p>
          <w:p w:rsidR="001738C4" w:rsidRPr="005D218E" w:rsidRDefault="001738C4" w:rsidP="00E7347D">
            <w:pPr>
              <w:jc w:val="both"/>
            </w:pPr>
            <w:r w:rsidRPr="005D218E">
              <w:t>Also known as polygenic scores and genetic risk scores, represent the individual genetic burden for a particular disease/trait. They are calculated adding up the effects of hundreds-to-thousands of genetic variants</w:t>
            </w:r>
          </w:p>
        </w:tc>
      </w:tr>
      <w:tr w:rsidR="00E7347D" w:rsidRPr="005D218E" w:rsidTr="001376A8">
        <w:tc>
          <w:tcPr>
            <w:tcW w:w="2962" w:type="dxa"/>
          </w:tcPr>
          <w:p w:rsidR="00E7347D" w:rsidRPr="005D218E" w:rsidRDefault="00E7347D" w:rsidP="00E7347D">
            <w:pPr>
              <w:rPr>
                <w:rFonts w:cstheme="minorHAnsi"/>
                <w:b/>
              </w:rPr>
            </w:pPr>
          </w:p>
          <w:p w:rsidR="00E7347D" w:rsidRPr="005D218E" w:rsidRDefault="00E7347D" w:rsidP="00E7347D">
            <w:pPr>
              <w:rPr>
                <w:b/>
              </w:rPr>
            </w:pPr>
            <w:r w:rsidRPr="005D218E">
              <w:rPr>
                <w:rFonts w:cstheme="minorHAnsi"/>
                <w:b/>
              </w:rPr>
              <w:t>Magnetic resonance imaging (MRI)</w:t>
            </w:r>
          </w:p>
        </w:tc>
        <w:tc>
          <w:tcPr>
            <w:tcW w:w="6054" w:type="dxa"/>
          </w:tcPr>
          <w:p w:rsidR="00E7347D" w:rsidRPr="005D218E" w:rsidRDefault="00E7347D" w:rsidP="00E7347D">
            <w:pPr>
              <w:jc w:val="both"/>
            </w:pPr>
          </w:p>
          <w:p w:rsidR="00E7347D" w:rsidRPr="005D218E" w:rsidRDefault="00E7347D" w:rsidP="00E7347D">
            <w:pPr>
              <w:jc w:val="both"/>
            </w:pPr>
            <w:r>
              <w:t xml:space="preserve">A non-invasive biomedical imaging technique that uses a strong oscillating magnetic field to induce endogenous atoms such as hydrogen, or exogenously added contrast agents, to emit </w:t>
            </w:r>
            <w:proofErr w:type="spellStart"/>
            <w:r>
              <w:t>radiowaves</w:t>
            </w:r>
            <w:proofErr w:type="spellEnd"/>
            <w:r>
              <w:t xml:space="preserve"> that are detected and used to generate two and three-dimensional images of a living subject in the MRI scanner</w:t>
            </w:r>
            <w:r w:rsidR="00DD409D">
              <w:t xml:space="preserve"> </w:t>
            </w:r>
            <w:r w:rsidR="00DD409D" w:rsidRPr="00DD409D">
              <w:rPr>
                <w:vertAlign w:val="superscript"/>
              </w:rPr>
              <w:t>(</w:t>
            </w:r>
            <w:r w:rsidR="00DD409D">
              <w:rPr>
                <w:vertAlign w:val="superscript"/>
              </w:rPr>
              <w:t>1</w:t>
            </w:r>
            <w:r w:rsidR="00DD409D" w:rsidRPr="00DD409D">
              <w:rPr>
                <w:vertAlign w:val="superscript"/>
              </w:rPr>
              <w:t>)</w:t>
            </w:r>
          </w:p>
        </w:tc>
      </w:tr>
      <w:tr w:rsidR="00E7347D" w:rsidRPr="005D218E" w:rsidTr="001376A8">
        <w:tc>
          <w:tcPr>
            <w:tcW w:w="2962" w:type="dxa"/>
          </w:tcPr>
          <w:p w:rsidR="00E7347D" w:rsidRPr="005D218E" w:rsidRDefault="00E7347D" w:rsidP="00E7347D">
            <w:pPr>
              <w:rPr>
                <w:rFonts w:cstheme="minorHAnsi"/>
                <w:b/>
              </w:rPr>
            </w:pPr>
          </w:p>
          <w:p w:rsidR="00E7347D" w:rsidRPr="005D218E" w:rsidRDefault="00E7347D" w:rsidP="00E7347D">
            <w:pPr>
              <w:rPr>
                <w:b/>
              </w:rPr>
            </w:pPr>
            <w:proofErr w:type="spellStart"/>
            <w:r w:rsidRPr="005D218E">
              <w:rPr>
                <w:rFonts w:cstheme="minorHAnsi"/>
                <w:b/>
              </w:rPr>
              <w:t>Endophenotypes</w:t>
            </w:r>
            <w:proofErr w:type="spellEnd"/>
          </w:p>
        </w:tc>
        <w:tc>
          <w:tcPr>
            <w:tcW w:w="6054" w:type="dxa"/>
          </w:tcPr>
          <w:p w:rsidR="00E7347D" w:rsidRDefault="00E7347D" w:rsidP="00E7347D">
            <w:pPr>
              <w:jc w:val="both"/>
            </w:pPr>
          </w:p>
          <w:p w:rsidR="00E7347D" w:rsidRPr="005D218E" w:rsidRDefault="00E7347D" w:rsidP="00E7347D">
            <w:pPr>
              <w:jc w:val="both"/>
            </w:pPr>
            <w:r w:rsidRPr="005D218E">
              <w:t xml:space="preserve">Measurable components unseen by the unaided eye along the pathway between disease and distal genotype. They may be neurophysiological, biochemical, </w:t>
            </w:r>
            <w:proofErr w:type="spellStart"/>
            <w:r w:rsidRPr="005D218E">
              <w:t>endocrinological</w:t>
            </w:r>
            <w:proofErr w:type="spellEnd"/>
            <w:r w:rsidRPr="005D218E">
              <w:t xml:space="preserve">, neuroanatomical, cognitive, </w:t>
            </w:r>
            <w:r>
              <w:t>or neuropsychological in nature</w:t>
            </w:r>
            <w:r w:rsidR="008D7959">
              <w:t xml:space="preserve"> </w:t>
            </w:r>
            <w:r w:rsidR="008D7959" w:rsidRPr="008D7959">
              <w:rPr>
                <w:vertAlign w:val="superscript"/>
              </w:rPr>
              <w:t>(6)</w:t>
            </w:r>
          </w:p>
        </w:tc>
      </w:tr>
      <w:tr w:rsidR="00E7347D" w:rsidRPr="005D218E" w:rsidTr="001376A8">
        <w:tc>
          <w:tcPr>
            <w:tcW w:w="2962" w:type="dxa"/>
          </w:tcPr>
          <w:p w:rsidR="00E7347D" w:rsidRPr="005D218E" w:rsidRDefault="00E7347D" w:rsidP="00E7347D">
            <w:pPr>
              <w:rPr>
                <w:rStyle w:val="hgkelc"/>
                <w:b/>
              </w:rPr>
            </w:pPr>
          </w:p>
          <w:p w:rsidR="00E7347D" w:rsidRPr="005D218E" w:rsidRDefault="00E7347D" w:rsidP="00E7347D">
            <w:pPr>
              <w:rPr>
                <w:b/>
              </w:rPr>
            </w:pPr>
            <w:r w:rsidRPr="005D218E">
              <w:rPr>
                <w:rStyle w:val="hgkelc"/>
                <w:b/>
              </w:rPr>
              <w:t>Pleiotropy</w:t>
            </w:r>
          </w:p>
        </w:tc>
        <w:tc>
          <w:tcPr>
            <w:tcW w:w="6054" w:type="dxa"/>
          </w:tcPr>
          <w:p w:rsidR="00E915CD" w:rsidRPr="005D218E" w:rsidRDefault="00E915CD" w:rsidP="00E915CD">
            <w:pPr>
              <w:jc w:val="both"/>
            </w:pPr>
          </w:p>
          <w:p w:rsidR="00E915CD" w:rsidRPr="005D218E" w:rsidRDefault="00E915CD" w:rsidP="00E915CD">
            <w:pPr>
              <w:jc w:val="both"/>
            </w:pPr>
            <w:r w:rsidRPr="005D218E">
              <w:t>The phenomenon of one gene or one mutation affecting multiple traits</w:t>
            </w:r>
            <w:r>
              <w:t xml:space="preserve"> </w:t>
            </w:r>
            <w:r w:rsidRPr="001376A8">
              <w:rPr>
                <w:vertAlign w:val="superscript"/>
              </w:rPr>
              <w:t>(1)</w:t>
            </w:r>
          </w:p>
        </w:tc>
      </w:tr>
      <w:tr w:rsidR="00601191" w:rsidRPr="005D218E" w:rsidTr="001376A8">
        <w:tc>
          <w:tcPr>
            <w:tcW w:w="2962" w:type="dxa"/>
          </w:tcPr>
          <w:p w:rsidR="00601191" w:rsidRPr="005D218E" w:rsidRDefault="00601191" w:rsidP="00601191">
            <w:pPr>
              <w:rPr>
                <w:b/>
              </w:rPr>
            </w:pPr>
          </w:p>
          <w:p w:rsidR="00601191" w:rsidRPr="005D218E" w:rsidRDefault="00601191" w:rsidP="00601191">
            <w:pPr>
              <w:rPr>
                <w:b/>
              </w:rPr>
            </w:pPr>
            <w:r w:rsidRPr="005D218E">
              <w:rPr>
                <w:b/>
              </w:rPr>
              <w:t>Bipolar disorder type I</w:t>
            </w:r>
          </w:p>
        </w:tc>
        <w:tc>
          <w:tcPr>
            <w:tcW w:w="6054" w:type="dxa"/>
          </w:tcPr>
          <w:p w:rsidR="00601191" w:rsidRPr="005D218E" w:rsidRDefault="00601191" w:rsidP="00601191">
            <w:pPr>
              <w:jc w:val="both"/>
            </w:pPr>
          </w:p>
          <w:p w:rsidR="00601191" w:rsidRPr="005D218E" w:rsidRDefault="00601191" w:rsidP="00601191">
            <w:pPr>
              <w:jc w:val="both"/>
            </w:pPr>
            <w:r w:rsidRPr="005D218E">
              <w:t xml:space="preserve">At least one episode of full-blown mania or mixed episode </w:t>
            </w:r>
            <w:r>
              <w:t>(manic and depressive symptoms)</w:t>
            </w:r>
            <w:r w:rsidR="00E63430">
              <w:t>,</w:t>
            </w:r>
            <w:r w:rsidRPr="005D218E">
              <w:t xml:space="preserve"> usually has at least one depressive episode</w:t>
            </w:r>
          </w:p>
        </w:tc>
      </w:tr>
      <w:tr w:rsidR="00601191" w:rsidRPr="005D218E" w:rsidTr="001376A8">
        <w:tc>
          <w:tcPr>
            <w:tcW w:w="2962" w:type="dxa"/>
          </w:tcPr>
          <w:p w:rsidR="00601191" w:rsidRPr="005D218E" w:rsidRDefault="00601191" w:rsidP="00601191">
            <w:pPr>
              <w:rPr>
                <w:b/>
              </w:rPr>
            </w:pPr>
          </w:p>
          <w:p w:rsidR="00601191" w:rsidRPr="005D218E" w:rsidRDefault="00601191" w:rsidP="00601191">
            <w:pPr>
              <w:rPr>
                <w:b/>
              </w:rPr>
            </w:pPr>
            <w:r w:rsidRPr="005D218E">
              <w:rPr>
                <w:b/>
              </w:rPr>
              <w:t>Bipolar disorder type II</w:t>
            </w:r>
          </w:p>
        </w:tc>
        <w:tc>
          <w:tcPr>
            <w:tcW w:w="6054" w:type="dxa"/>
          </w:tcPr>
          <w:p w:rsidR="00601191" w:rsidRPr="005D218E" w:rsidRDefault="00601191" w:rsidP="00601191">
            <w:pPr>
              <w:jc w:val="both"/>
            </w:pPr>
          </w:p>
          <w:p w:rsidR="00601191" w:rsidRPr="005D218E" w:rsidRDefault="00601191" w:rsidP="00601191">
            <w:pPr>
              <w:jc w:val="both"/>
            </w:pPr>
            <w:r w:rsidRPr="005D218E">
              <w:t>Several protracted depressive episodes and at least one hypomanic episode, but no full-blown manic episodes</w:t>
            </w:r>
          </w:p>
        </w:tc>
      </w:tr>
      <w:tr w:rsidR="00601191" w:rsidRPr="005D218E" w:rsidTr="001376A8">
        <w:tc>
          <w:tcPr>
            <w:tcW w:w="2962" w:type="dxa"/>
          </w:tcPr>
          <w:p w:rsidR="00601191" w:rsidRDefault="00601191" w:rsidP="00601191">
            <w:pPr>
              <w:rPr>
                <w:b/>
              </w:rPr>
            </w:pPr>
          </w:p>
          <w:p w:rsidR="00601191" w:rsidRPr="005D218E" w:rsidRDefault="00601191" w:rsidP="00601191">
            <w:pPr>
              <w:rPr>
                <w:b/>
              </w:rPr>
            </w:pPr>
            <w:r w:rsidRPr="005D218E">
              <w:rPr>
                <w:b/>
              </w:rPr>
              <w:t>Identity-by-descent (IBD)</w:t>
            </w:r>
          </w:p>
        </w:tc>
        <w:tc>
          <w:tcPr>
            <w:tcW w:w="6054" w:type="dxa"/>
          </w:tcPr>
          <w:p w:rsidR="00601191" w:rsidRDefault="00601191" w:rsidP="00601191">
            <w:pPr>
              <w:autoSpaceDE w:val="0"/>
              <w:autoSpaceDN w:val="0"/>
              <w:adjustRightInd w:val="0"/>
              <w:jc w:val="both"/>
            </w:pPr>
          </w:p>
          <w:p w:rsidR="00601191" w:rsidRPr="005D218E" w:rsidRDefault="00601191" w:rsidP="00601191">
            <w:pPr>
              <w:autoSpaceDE w:val="0"/>
              <w:autoSpaceDN w:val="0"/>
              <w:adjustRightInd w:val="0"/>
              <w:jc w:val="both"/>
            </w:pPr>
            <w:r>
              <w:lastRenderedPageBreak/>
              <w:t>The shared inheritance of an identical portion of the genome between two individuals</w:t>
            </w:r>
            <w:r w:rsidR="008D7959">
              <w:t xml:space="preserve"> </w:t>
            </w:r>
            <w:r w:rsidR="008D7959" w:rsidRPr="008D7959">
              <w:rPr>
                <w:vertAlign w:val="superscript"/>
              </w:rPr>
              <w:t>(7)</w:t>
            </w:r>
          </w:p>
        </w:tc>
      </w:tr>
    </w:tbl>
    <w:p w:rsidR="00DC2F91" w:rsidRDefault="00DC2F91" w:rsidP="00E915CD">
      <w:pPr>
        <w:rPr>
          <w:b/>
        </w:rPr>
      </w:pPr>
    </w:p>
    <w:p w:rsidR="00DC2F91" w:rsidRDefault="00DC2F91" w:rsidP="00E915CD">
      <w:pPr>
        <w:rPr>
          <w:b/>
        </w:rPr>
      </w:pPr>
    </w:p>
    <w:p w:rsidR="00A474A4" w:rsidRDefault="00A474A4" w:rsidP="00DC2F91">
      <w:pPr>
        <w:rPr>
          <w:b/>
        </w:rPr>
      </w:pPr>
    </w:p>
    <w:p w:rsidR="00A474A4" w:rsidRDefault="00A474A4" w:rsidP="00DC2F91">
      <w:pPr>
        <w:rPr>
          <w:b/>
        </w:rPr>
      </w:pPr>
    </w:p>
    <w:p w:rsidR="00A474A4" w:rsidRDefault="00A474A4" w:rsidP="00DC2F91">
      <w:pPr>
        <w:rPr>
          <w:b/>
        </w:rPr>
      </w:pPr>
    </w:p>
    <w:p w:rsidR="00DC2F91" w:rsidRPr="005D218E" w:rsidRDefault="005E1A0F" w:rsidP="00DC2F91">
      <w:pPr>
        <w:rPr>
          <w:b/>
        </w:rPr>
      </w:pPr>
      <w:r>
        <w:rPr>
          <w:b/>
        </w:rPr>
        <w:t xml:space="preserve">Table S2. </w:t>
      </w:r>
      <w:bookmarkStart w:id="0" w:name="_GoBack"/>
      <w:bookmarkEnd w:id="0"/>
      <w:r w:rsidR="00DC2F91">
        <w:rPr>
          <w:b/>
        </w:rPr>
        <w:t>Genes A</w:t>
      </w:r>
      <w:r w:rsidR="00DC2F91" w:rsidRPr="005D218E">
        <w:rPr>
          <w:b/>
        </w:rPr>
        <w:t>bbreviation</w:t>
      </w:r>
      <w:r w:rsidR="00DC2F91">
        <w:rPr>
          <w:b/>
        </w:rPr>
        <w:t xml:space="preserve"> </w:t>
      </w:r>
      <w:r w:rsidR="009018C6">
        <w:rPr>
          <w:vertAlign w:val="superscript"/>
        </w:rPr>
        <w:t>(8-10</w:t>
      </w:r>
      <w:r w:rsidR="00DC2F91" w:rsidRPr="00DC2F91">
        <w:rPr>
          <w:vertAlign w:val="superscript"/>
        </w:rPr>
        <w:t>)</w:t>
      </w:r>
    </w:p>
    <w:tbl>
      <w:tblPr>
        <w:tblW w:w="9072" w:type="dxa"/>
        <w:tblInd w:w="-10" w:type="dxa"/>
        <w:tblCellMar>
          <w:left w:w="70" w:type="dxa"/>
          <w:right w:w="70" w:type="dxa"/>
        </w:tblCellMar>
        <w:tblLook w:val="04A0" w:firstRow="1" w:lastRow="0" w:firstColumn="1" w:lastColumn="0" w:noHBand="0" w:noVBand="1"/>
      </w:tblPr>
      <w:tblGrid>
        <w:gridCol w:w="1985"/>
        <w:gridCol w:w="7087"/>
      </w:tblGrid>
      <w:tr w:rsidR="00DC2F91" w:rsidRPr="00510BBE" w:rsidTr="001376A8">
        <w:trPr>
          <w:trHeight w:val="46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Gene Abbreviation</w:t>
            </w:r>
          </w:p>
        </w:tc>
        <w:tc>
          <w:tcPr>
            <w:tcW w:w="7087" w:type="dxa"/>
            <w:tcBorders>
              <w:top w:val="single" w:sz="8" w:space="0" w:color="auto"/>
              <w:left w:val="nil"/>
              <w:bottom w:val="single" w:sz="8" w:space="0" w:color="auto"/>
              <w:right w:val="single" w:sz="8" w:space="0" w:color="auto"/>
            </w:tcBorders>
            <w:shd w:val="clear" w:color="auto" w:fill="auto"/>
            <w:vAlign w:val="center"/>
            <w:hideMark/>
          </w:tcPr>
          <w:p w:rsidR="00DC2F91" w:rsidRPr="00510BBE" w:rsidRDefault="00DC2F91" w:rsidP="001376A8">
            <w:pPr>
              <w:spacing w:after="0" w:line="240" w:lineRule="auto"/>
              <w:jc w:val="center"/>
              <w:rPr>
                <w:rFonts w:ascii="Calibri" w:eastAsia="Times New Roman" w:hAnsi="Calibri" w:cs="Calibri"/>
                <w:b/>
                <w:bCs/>
                <w:lang w:val="de-DE" w:eastAsia="de-DE"/>
              </w:rPr>
            </w:pPr>
            <w:r w:rsidRPr="00510BBE">
              <w:rPr>
                <w:rFonts w:ascii="Calibri" w:eastAsia="Times New Roman" w:hAnsi="Calibri" w:cstheme="minorHAnsi"/>
                <w:b/>
                <w:bCs/>
                <w:lang w:eastAsia="de-DE"/>
              </w:rPr>
              <w:t>Spelled out Name</w:t>
            </w:r>
          </w:p>
        </w:tc>
      </w:tr>
      <w:tr w:rsidR="00DC2F91" w:rsidRPr="00510BBE" w:rsidTr="001376A8">
        <w:trPr>
          <w:trHeight w:val="30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ADCY2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adenylate cyclase 2</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ADD3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adducin</w:t>
            </w:r>
            <w:proofErr w:type="spellEnd"/>
            <w:r w:rsidRPr="004A622A">
              <w:t xml:space="preserve"> 3</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ADGB</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androglobin</w:t>
            </w:r>
            <w:proofErr w:type="spellEnd"/>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AHNAK</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AHNAK nucleoprotein</w:t>
            </w:r>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ANK3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ankyrin</w:t>
            </w:r>
            <w:proofErr w:type="spellEnd"/>
            <w:r w:rsidRPr="004A622A">
              <w:t xml:space="preserve"> 3 or G</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ANKS4B</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ankyrin</w:t>
            </w:r>
            <w:proofErr w:type="spellEnd"/>
            <w:r w:rsidRPr="004A622A">
              <w:t xml:space="preserve"> repeat and sterile alpha motif domain containing 4B</w:t>
            </w:r>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AOAH</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acyloxyacyl</w:t>
            </w:r>
            <w:proofErr w:type="spellEnd"/>
            <w:r w:rsidRPr="004A622A">
              <w:t xml:space="preserve"> hydrolase</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APOC3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apolipoprotein</w:t>
            </w:r>
            <w:proofErr w:type="spellEnd"/>
            <w:r w:rsidRPr="004A622A">
              <w:t xml:space="preserve"> C3</w:t>
            </w:r>
          </w:p>
        </w:tc>
      </w:tr>
      <w:tr w:rsidR="00DC2F91" w:rsidRPr="00510BBE" w:rsidTr="001376A8">
        <w:trPr>
          <w:trHeight w:val="36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ARHGAP9</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 xml:space="preserve">Rho </w:t>
            </w:r>
            <w:proofErr w:type="spellStart"/>
            <w:r w:rsidRPr="004A622A">
              <w:t>GTPase</w:t>
            </w:r>
            <w:proofErr w:type="spellEnd"/>
            <w:r w:rsidRPr="004A622A">
              <w:t xml:space="preserve"> activating protein 9</w:t>
            </w:r>
          </w:p>
        </w:tc>
      </w:tr>
      <w:tr w:rsidR="00DC2F91" w:rsidRPr="00510BBE" w:rsidTr="001376A8">
        <w:trPr>
          <w:trHeight w:val="25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ASTN2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astrotactin</w:t>
            </w:r>
            <w:proofErr w:type="spellEnd"/>
            <w:r w:rsidRPr="004A622A">
              <w:t xml:space="preserve"> 2</w:t>
            </w:r>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ATR</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ATR serine/threonine kinase</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BCL2L10</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B-cell lymphoma 2 like 10</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BIG-2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contactin</w:t>
            </w:r>
            <w:proofErr w:type="spellEnd"/>
            <w:r w:rsidRPr="004A622A">
              <w:t xml:space="preserve"> 4 </w:t>
            </w:r>
          </w:p>
        </w:tc>
      </w:tr>
      <w:tr w:rsidR="00DC2F91" w:rsidRPr="00510BBE" w:rsidTr="001376A8">
        <w:trPr>
          <w:trHeight w:val="3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BOD1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biorientation</w:t>
            </w:r>
            <w:proofErr w:type="spellEnd"/>
            <w:r w:rsidRPr="004A622A">
              <w:t xml:space="preserve"> of chromosomes in cell division 1</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CACNA1C</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calcium voltage-gated channel subunit alpha 1C</w:t>
            </w:r>
          </w:p>
        </w:tc>
      </w:tr>
      <w:tr w:rsidR="00DC2F91" w:rsidRPr="00510BBE" w:rsidTr="001376A8">
        <w:trPr>
          <w:trHeight w:val="28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CACNA1D</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calcium voltage-gated channel subunit alpha1D</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CAND2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Cullin</w:t>
            </w:r>
            <w:proofErr w:type="spellEnd"/>
            <w:r w:rsidRPr="004A622A">
              <w:t xml:space="preserve"> associated and </w:t>
            </w:r>
            <w:proofErr w:type="spellStart"/>
            <w:r w:rsidRPr="004A622A">
              <w:t>neddylation</w:t>
            </w:r>
            <w:proofErr w:type="spellEnd"/>
            <w:r w:rsidRPr="004A622A">
              <w:t xml:space="preserve"> dissociated 2 (Putative)</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CAP2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cyclase‐associated actin cytoskeleton regulatory protein 2</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CAPN2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calpain</w:t>
            </w:r>
            <w:proofErr w:type="spellEnd"/>
            <w:r w:rsidRPr="004A622A">
              <w:t xml:space="preserve"> 2</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CDH23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cadherin related 23</w:t>
            </w:r>
          </w:p>
        </w:tc>
      </w:tr>
      <w:tr w:rsidR="00DC2F91" w:rsidRPr="00510BBE" w:rsidTr="001376A8">
        <w:trPr>
          <w:trHeight w:val="27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CDHR1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cadherin related family member 1</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CNNM4</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cyclin and CBS domain divalent metal cation transport mediator 4</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CNTN6</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contactin</w:t>
            </w:r>
            <w:proofErr w:type="spellEnd"/>
            <w:r w:rsidRPr="004A622A">
              <w:t xml:space="preserve"> 6</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COL3A1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collagen type III alpha 1 chain</w:t>
            </w:r>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CPG2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candidate plasticity gene 2</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CRHR2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corticotropin</w:t>
            </w:r>
            <w:proofErr w:type="spellEnd"/>
            <w:r w:rsidRPr="004A622A">
              <w:t>-releasing hormone receptor 2</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CSNK1G3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casein kinase 1 gamma 3</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DCAF5</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DDB1 and CUL4 associated factor 5</w:t>
            </w:r>
          </w:p>
        </w:tc>
      </w:tr>
      <w:tr w:rsidR="00DC2F91" w:rsidRPr="00510BBE" w:rsidTr="001376A8">
        <w:trPr>
          <w:trHeight w:val="3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DCTN5</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dynactin subunit 5</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DDN</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dendrin</w:t>
            </w:r>
            <w:proofErr w:type="spellEnd"/>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DGKH</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diacylglycerol</w:t>
            </w:r>
            <w:proofErr w:type="spellEnd"/>
            <w:r w:rsidRPr="004A622A">
              <w:t xml:space="preserve"> kinase eta</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lastRenderedPageBreak/>
              <w:t>DHH</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desert hedgehog homolog</w:t>
            </w:r>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DIDO1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death inducer-obliterator 1</w:t>
            </w:r>
          </w:p>
        </w:tc>
      </w:tr>
      <w:tr w:rsidR="00DC2F91" w:rsidRPr="00510BBE" w:rsidTr="001376A8">
        <w:trPr>
          <w:trHeight w:val="283"/>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DISC1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disrupted in schizophrenia 1</w:t>
            </w:r>
          </w:p>
        </w:tc>
      </w:tr>
      <w:tr w:rsidR="00DC2F91" w:rsidRPr="00510BBE" w:rsidTr="001376A8">
        <w:trPr>
          <w:trHeight w:val="272"/>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DNAH7</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dynein axonemal heavy chain 7</w:t>
            </w:r>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DOCK5</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dedicator of cytokinesis 5</w:t>
            </w:r>
          </w:p>
        </w:tc>
      </w:tr>
      <w:tr w:rsidR="00DC2F91" w:rsidRPr="00510BBE" w:rsidTr="001376A8">
        <w:trPr>
          <w:trHeight w:val="28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DRD5</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D(1B) dopamine receptor</w:t>
            </w:r>
          </w:p>
        </w:tc>
      </w:tr>
      <w:tr w:rsidR="00DC2F91" w:rsidRPr="00510BBE" w:rsidTr="001376A8">
        <w:trPr>
          <w:trHeight w:val="3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DUSP6</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dual specificity phosphatase 6</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DYDC2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5E1A0F" w:rsidP="001376A8">
            <w:pPr>
              <w:spacing w:after="0" w:line="240" w:lineRule="auto"/>
            </w:pPr>
            <w:hyperlink r:id="rId5" w:history="1">
              <w:r w:rsidR="00DC2F91" w:rsidRPr="004A622A">
                <w:t>DPY30 domain containing 2</w:t>
              </w:r>
            </w:hyperlink>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EHD1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EH domain containing 1</w:t>
            </w:r>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ELAVL2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ELAV-like RNA binding protein 2</w:t>
            </w:r>
          </w:p>
        </w:tc>
      </w:tr>
      <w:tr w:rsidR="00DC2F91" w:rsidRPr="00510BBE" w:rsidTr="001376A8">
        <w:trPr>
          <w:trHeight w:val="28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ERBB2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Erb-B2 receptor tyrosine kinase 2</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EVC</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EvC</w:t>
            </w:r>
            <w:proofErr w:type="spellEnd"/>
            <w:r w:rsidRPr="004A622A">
              <w:t xml:space="preserve"> ciliary complex subunit 1</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FADS1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fatty acid desaturase 1</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FADS2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fatty acid desaturase 2</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FADS3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fatty acid desaturase 3</w:t>
            </w:r>
          </w:p>
        </w:tc>
      </w:tr>
      <w:tr w:rsidR="00DC2F91" w:rsidRPr="00510BBE" w:rsidTr="001376A8">
        <w:trPr>
          <w:trHeight w:val="37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FAM71B</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family with sequence similarity 71 member B</w:t>
            </w:r>
          </w:p>
        </w:tc>
      </w:tr>
      <w:tr w:rsidR="00DC2F91" w:rsidRPr="00510BBE" w:rsidTr="001376A8">
        <w:trPr>
          <w:trHeight w:val="36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FER1L5</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Fer-1 like family member 5</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GABRR1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gamma-aminobutyric acid type A receptor subunit Rho1</w:t>
            </w:r>
          </w:p>
        </w:tc>
      </w:tr>
      <w:tr w:rsidR="00DC2F91" w:rsidRPr="00510BBE" w:rsidTr="001376A8">
        <w:trPr>
          <w:trHeight w:val="28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GABRR2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gamma-aminobutyric acid type A receptor subunit Rho2</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GALNT13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 xml:space="preserve">polypeptide n-acetyl </w:t>
            </w:r>
            <w:proofErr w:type="spellStart"/>
            <w:r w:rsidRPr="004A622A">
              <w:t>galactosaminyl</w:t>
            </w:r>
            <w:proofErr w:type="spellEnd"/>
            <w:r w:rsidRPr="004A622A">
              <w:t xml:space="preserve"> transferase 13</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GGA3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golgi</w:t>
            </w:r>
            <w:proofErr w:type="spellEnd"/>
            <w:r w:rsidRPr="004A622A">
              <w:t xml:space="preserve">-associated gamma </w:t>
            </w:r>
            <w:proofErr w:type="spellStart"/>
            <w:r w:rsidRPr="004A622A">
              <w:t>adaptin</w:t>
            </w:r>
            <w:proofErr w:type="spellEnd"/>
            <w:r w:rsidRPr="004A622A">
              <w:t xml:space="preserve"> ear containing ARF binding protein 3</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GHITM</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growth hormone inducible transmembrane protein</w:t>
            </w:r>
          </w:p>
        </w:tc>
      </w:tr>
      <w:tr w:rsidR="00DC2F91" w:rsidRPr="00510BBE" w:rsidTr="001376A8">
        <w:trPr>
          <w:trHeight w:val="37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GRID1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glutamate ionotropic receptor delta type subunit 1</w:t>
            </w:r>
          </w:p>
        </w:tc>
      </w:tr>
      <w:tr w:rsidR="00DC2F91" w:rsidRPr="00510BBE" w:rsidTr="001376A8">
        <w:trPr>
          <w:trHeight w:val="3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GRIN2A</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glutamate ionotropic receptor NMDA type subunit 2A</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GRM1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metabotropic glutamate receptor 1</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GRM1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glutamate metabotropic receptor 1</w:t>
            </w:r>
          </w:p>
        </w:tc>
      </w:tr>
      <w:tr w:rsidR="00DC2F91" w:rsidRPr="00510BBE" w:rsidTr="001376A8">
        <w:trPr>
          <w:trHeight w:val="3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GRM4</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metabotropic glutamate receptor 4</w:t>
            </w:r>
          </w:p>
        </w:tc>
      </w:tr>
      <w:tr w:rsidR="00DC2F91" w:rsidRPr="00510BBE" w:rsidTr="001376A8">
        <w:trPr>
          <w:trHeight w:val="36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HELLS</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helicase, lymphoid specific</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HIP1R</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Huntingtin-interacting protein 1-related</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HTR1B</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5-hydroxytryptamine receptor 1B</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IRS4</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insulin receptor substrate 4</w:t>
            </w:r>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ITIH1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inter-alpha-trypsin inhibitor heavy chain 1</w:t>
            </w:r>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ITIH3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inter-alpha-trypsin inhibitor heavy chain 3</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KANK4</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 xml:space="preserve">KN motif and </w:t>
            </w:r>
            <w:proofErr w:type="spellStart"/>
            <w:r w:rsidRPr="004A622A">
              <w:t>ankyrin</w:t>
            </w:r>
            <w:proofErr w:type="spellEnd"/>
            <w:r w:rsidRPr="004A622A">
              <w:t xml:space="preserve"> repeat domains 4</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KLF4</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kruppel</w:t>
            </w:r>
            <w:proofErr w:type="spellEnd"/>
            <w:r w:rsidRPr="004A622A">
              <w:t xml:space="preserve"> like factor 4</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KMT2C</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 xml:space="preserve">lysine </w:t>
            </w:r>
            <w:proofErr w:type="spellStart"/>
            <w:r w:rsidRPr="004A622A">
              <w:t>methyltransferase</w:t>
            </w:r>
            <w:proofErr w:type="spellEnd"/>
            <w:r w:rsidRPr="004A622A">
              <w:t xml:space="preserve"> 2C</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LAMB1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laminin</w:t>
            </w:r>
            <w:proofErr w:type="spellEnd"/>
            <w:r w:rsidRPr="004A622A">
              <w:t xml:space="preserve"> subunit beta 1</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LBA1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tetratricopeptide</w:t>
            </w:r>
            <w:proofErr w:type="spellEnd"/>
            <w:r w:rsidRPr="004A622A">
              <w:t xml:space="preserve"> repeat and </w:t>
            </w:r>
            <w:proofErr w:type="spellStart"/>
            <w:r w:rsidRPr="004A622A">
              <w:t>ankyrin</w:t>
            </w:r>
            <w:proofErr w:type="spellEnd"/>
            <w:r w:rsidRPr="004A622A">
              <w:t xml:space="preserve"> repeat containing 1</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LMAN2L</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lectin, mannose-binding 2-like</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LOC100505933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ADD3 antisense RNA 1</w:t>
            </w:r>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MACF1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microtubule actin crosslinking factor 1</w:t>
            </w:r>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MAD1L1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mitotic arrest deficient 1 Like 1</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lastRenderedPageBreak/>
              <w:t>MDN1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midasin</w:t>
            </w:r>
            <w:proofErr w:type="spellEnd"/>
            <w:r w:rsidRPr="004A622A">
              <w:t xml:space="preserve"> AAA ATPase 1</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MHC</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major histocompatibility complex</w:t>
            </w:r>
          </w:p>
        </w:tc>
      </w:tr>
      <w:tr w:rsidR="00DC2F91" w:rsidRPr="00510BBE" w:rsidTr="001376A8">
        <w:trPr>
          <w:trHeight w:val="36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MINPP1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multiple inositol-polyphosphate phosphatase 1</w:t>
            </w:r>
          </w:p>
        </w:tc>
      </w:tr>
      <w:tr w:rsidR="00DC2F91" w:rsidRPr="00510BBE" w:rsidTr="001376A8">
        <w:trPr>
          <w:trHeight w:val="3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MIR2113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microRNA 2113</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MKL2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myocardin</w:t>
            </w:r>
            <w:proofErr w:type="spellEnd"/>
            <w:r w:rsidRPr="004A622A">
              <w:t xml:space="preserve"> related transcription factor B</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MYH7</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myosin heavy chain 7</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MYO10</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myosin X</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MYO5B</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myosin VB</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NCAN</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neurocan</w:t>
            </w:r>
            <w:proofErr w:type="spellEnd"/>
          </w:p>
        </w:tc>
      </w:tr>
      <w:tr w:rsidR="00DC2F91" w:rsidRPr="00510BBE" w:rsidTr="001376A8">
        <w:trPr>
          <w:trHeight w:val="28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NCKAP5</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NCK associated protein 5</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NCL</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nucleolin</w:t>
            </w:r>
            <w:proofErr w:type="spellEnd"/>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NDUFAB1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NADH:ubiquinone</w:t>
            </w:r>
            <w:proofErr w:type="spellEnd"/>
            <w:r w:rsidRPr="004A622A">
              <w:t xml:space="preserve"> oxidoreductase subunit AB1</w:t>
            </w:r>
          </w:p>
        </w:tc>
      </w:tr>
      <w:tr w:rsidR="00DC2F91" w:rsidRPr="00510BBE" w:rsidTr="001376A8">
        <w:trPr>
          <w:trHeight w:val="3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NEK3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NIMA related kinase 3</w:t>
            </w:r>
          </w:p>
        </w:tc>
      </w:tr>
      <w:tr w:rsidR="00DC2F91" w:rsidRPr="00510BBE" w:rsidTr="001376A8">
        <w:trPr>
          <w:trHeight w:val="36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NF1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neurofibromin</w:t>
            </w:r>
            <w:proofErr w:type="spellEnd"/>
            <w:r w:rsidRPr="004A622A">
              <w:t xml:space="preserve"> type 1</w:t>
            </w:r>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NFIX</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nuclear family I/X</w:t>
            </w:r>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NIPBL</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 xml:space="preserve">NIPBL </w:t>
            </w:r>
            <w:proofErr w:type="spellStart"/>
            <w:r w:rsidRPr="004A622A">
              <w:t>cohesin</w:t>
            </w:r>
            <w:proofErr w:type="spellEnd"/>
            <w:r w:rsidRPr="004A622A">
              <w:t xml:space="preserve"> loading factor</w:t>
            </w:r>
          </w:p>
        </w:tc>
      </w:tr>
      <w:tr w:rsidR="00DC2F91" w:rsidRPr="00510BBE" w:rsidTr="001376A8">
        <w:trPr>
          <w:trHeight w:val="36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NMUR2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neuromedin</w:t>
            </w:r>
            <w:proofErr w:type="spellEnd"/>
            <w:r w:rsidRPr="004A622A">
              <w:t xml:space="preserve"> U receptor 2</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NOS1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nitric oxide synthase 1</w:t>
            </w:r>
          </w:p>
        </w:tc>
      </w:tr>
      <w:tr w:rsidR="00DC2F91" w:rsidRPr="00510BBE" w:rsidTr="001376A8">
        <w:trPr>
          <w:trHeight w:val="39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NRBF2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nuclear receptor binding factor 2</w:t>
            </w:r>
          </w:p>
        </w:tc>
      </w:tr>
      <w:tr w:rsidR="00DC2F91" w:rsidRPr="00510BBE" w:rsidTr="001376A8">
        <w:trPr>
          <w:trHeight w:val="37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NTRK1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neurotrophic receptor tyrosine kinase 1</w:t>
            </w:r>
          </w:p>
        </w:tc>
      </w:tr>
      <w:tr w:rsidR="00DC2F91" w:rsidRPr="00510BBE" w:rsidTr="001376A8">
        <w:trPr>
          <w:trHeight w:val="312"/>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ODZ2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teneurin</w:t>
            </w:r>
            <w:proofErr w:type="spellEnd"/>
            <w:r w:rsidRPr="004A622A">
              <w:t xml:space="preserve"> transmembrane protein 2</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ODZ4</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teneurin</w:t>
            </w:r>
            <w:proofErr w:type="spellEnd"/>
            <w:r w:rsidRPr="004A622A">
              <w:t xml:space="preserve"> transmembrane protein 4</w:t>
            </w:r>
          </w:p>
        </w:tc>
      </w:tr>
      <w:tr w:rsidR="00DC2F91" w:rsidRPr="00510BBE" w:rsidTr="001376A8">
        <w:trPr>
          <w:trHeight w:val="3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OLFML2B</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olfactomedin</w:t>
            </w:r>
            <w:proofErr w:type="spellEnd"/>
            <w:r w:rsidRPr="004A622A">
              <w:t xml:space="preserve"> like 2B</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PALB2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partner and localizer of BRCA2</w:t>
            </w:r>
          </w:p>
        </w:tc>
      </w:tr>
      <w:tr w:rsidR="00DC2F91" w:rsidRPr="00510BBE" w:rsidTr="001376A8">
        <w:trPr>
          <w:trHeight w:val="37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PCDH15</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protocadherin</w:t>
            </w:r>
            <w:proofErr w:type="spellEnd"/>
            <w:r w:rsidRPr="004A622A">
              <w:t>-related 15</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PCDHA</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protocadherin</w:t>
            </w:r>
            <w:proofErr w:type="spellEnd"/>
            <w:r w:rsidRPr="004A622A">
              <w:t xml:space="preserve"> alpha</w:t>
            </w:r>
          </w:p>
        </w:tc>
      </w:tr>
      <w:tr w:rsidR="00DC2F91" w:rsidRPr="00510BBE" w:rsidTr="001376A8">
        <w:trPr>
          <w:trHeight w:val="36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PDE10A</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phosphodiesterase 10A</w:t>
            </w:r>
          </w:p>
        </w:tc>
      </w:tr>
      <w:tr w:rsidR="00DC2F91" w:rsidRPr="00510BBE" w:rsidTr="001376A8">
        <w:trPr>
          <w:trHeight w:val="37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PIK3C2A</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phosphatidylinositol-4-phosphate 3-kinase catalytic subunit type 2 alpha</w:t>
            </w:r>
          </w:p>
        </w:tc>
      </w:tr>
      <w:tr w:rsidR="00DC2F91" w:rsidRPr="00510BBE" w:rsidTr="001376A8">
        <w:trPr>
          <w:trHeight w:val="36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PITPNM2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phosphatidylinositol transfer protein membrane associated 2</w:t>
            </w:r>
          </w:p>
        </w:tc>
      </w:tr>
      <w:tr w:rsidR="00DC2F91" w:rsidRPr="00510BBE" w:rsidTr="001376A8">
        <w:trPr>
          <w:trHeight w:val="3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PKHD1L1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PKHD1 Like 1</w:t>
            </w:r>
          </w:p>
        </w:tc>
      </w:tr>
      <w:tr w:rsidR="00DC2F91" w:rsidRPr="00510BBE" w:rsidTr="001376A8">
        <w:trPr>
          <w:trHeight w:val="36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PLCXD3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phosphatidylinositol specific phospholipase C X domain containing 3</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PLET1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placenta expressed transcript 1</w:t>
            </w:r>
          </w:p>
        </w:tc>
      </w:tr>
      <w:tr w:rsidR="00DC2F91" w:rsidRPr="00510BBE" w:rsidTr="001376A8">
        <w:trPr>
          <w:trHeight w:val="37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PNLDC1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poly(A)-specific ribonuclease (PARN)-like domain containing 1</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POLN</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DNA polymerase Nu</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POU3F2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 xml:space="preserve">POU class 3 </w:t>
            </w:r>
            <w:proofErr w:type="spellStart"/>
            <w:r w:rsidRPr="004A622A">
              <w:t>homeobox</w:t>
            </w:r>
            <w:proofErr w:type="spellEnd"/>
            <w:r w:rsidRPr="004A622A">
              <w:t xml:space="preserve"> 2</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PRODH</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proline</w:t>
            </w:r>
            <w:proofErr w:type="spellEnd"/>
            <w:r w:rsidRPr="004A622A">
              <w:t xml:space="preserve"> dehydrogenase 1</w:t>
            </w:r>
          </w:p>
        </w:tc>
      </w:tr>
      <w:tr w:rsidR="00DC2F91" w:rsidRPr="00510BBE" w:rsidTr="001376A8">
        <w:trPr>
          <w:trHeight w:val="3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PTGFR</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prostaglandin F receptor</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PTS</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 xml:space="preserve">6-pyruvoyl </w:t>
            </w:r>
            <w:proofErr w:type="spellStart"/>
            <w:r w:rsidRPr="004A622A">
              <w:t>tetrahydropterin</w:t>
            </w:r>
            <w:proofErr w:type="spellEnd"/>
            <w:r w:rsidRPr="004A622A">
              <w:t xml:space="preserve"> synthase</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RBM12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RNA-binding-motif protein 12</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RCCD1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RCC1 domain containing 1</w:t>
            </w:r>
          </w:p>
        </w:tc>
      </w:tr>
      <w:tr w:rsidR="00DC2F91" w:rsidRPr="00510BBE" w:rsidTr="001376A8">
        <w:trPr>
          <w:trHeight w:val="36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lastRenderedPageBreak/>
              <w:t>RGS12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regulator of G protein signaling 12</w:t>
            </w:r>
          </w:p>
        </w:tc>
      </w:tr>
      <w:tr w:rsidR="00DC2F91" w:rsidRPr="00510BBE" w:rsidTr="001376A8">
        <w:trPr>
          <w:trHeight w:val="3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RHEBL1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ras</w:t>
            </w:r>
            <w:proofErr w:type="spellEnd"/>
            <w:r w:rsidRPr="004A622A">
              <w:t xml:space="preserve"> homolog enriched in brain like 1</w:t>
            </w:r>
          </w:p>
        </w:tc>
      </w:tr>
      <w:tr w:rsidR="00DC2F91" w:rsidRPr="00510BBE" w:rsidTr="001376A8">
        <w:trPr>
          <w:trHeight w:val="3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RIMS1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regulating synaptic membrane exocytosis 1</w:t>
            </w:r>
          </w:p>
        </w:tc>
      </w:tr>
      <w:tr w:rsidR="00DC2F91" w:rsidRPr="00510BBE" w:rsidTr="001376A8">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SCN2A</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sodium voltage-gated channel alpha subunit 2</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SELENOO</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selenoprotein</w:t>
            </w:r>
            <w:proofErr w:type="spellEnd"/>
            <w:r w:rsidRPr="004A622A">
              <w:t xml:space="preserve"> O</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SERPING1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serpin family G member 1</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SLC22A23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solute carrier family 22 member 23</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SLC26A9</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solute carrier family 26 member 9</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SLC4A1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solute carrier family 4 member 1</w:t>
            </w:r>
          </w:p>
        </w:tc>
      </w:tr>
      <w:tr w:rsidR="00DC2F91" w:rsidRPr="00510BBE" w:rsidTr="001376A8">
        <w:trPr>
          <w:trHeight w:val="6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SMARCC2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SWI/SNF Related, matrix associated, actin dependent regulator                                                                         of chromatin subfamily C member 2</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SNTG2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syntrophin</w:t>
            </w:r>
            <w:proofErr w:type="spellEnd"/>
            <w:r w:rsidRPr="004A622A">
              <w:t xml:space="preserve"> gamma 2</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ST6GALNAC4</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ST6 n-</w:t>
            </w:r>
            <w:proofErr w:type="spellStart"/>
            <w:r w:rsidRPr="004A622A">
              <w:t>acetylgalactosaminide</w:t>
            </w:r>
            <w:proofErr w:type="spellEnd"/>
            <w:r w:rsidRPr="004A622A">
              <w:t xml:space="preserve"> alpha-2,6-sialyltransferase 4</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SYNE1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spectrin</w:t>
            </w:r>
            <w:proofErr w:type="spellEnd"/>
            <w:r w:rsidRPr="004A622A">
              <w:t xml:space="preserve"> repeat containing nuclear envelope protein 1</w:t>
            </w:r>
          </w:p>
        </w:tc>
      </w:tr>
      <w:tr w:rsidR="00DC2F91" w:rsidRPr="00510BBE" w:rsidTr="001376A8">
        <w:trPr>
          <w:trHeight w:val="3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TCF7L1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transcription factor 7 like 1</w:t>
            </w:r>
          </w:p>
        </w:tc>
      </w:tr>
      <w:tr w:rsidR="00DC2F91" w:rsidRPr="00510BBE" w:rsidTr="001376A8">
        <w:trPr>
          <w:trHeight w:val="37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THSD7A</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thrombospondin Type 1 domain containing 7A</w:t>
            </w:r>
          </w:p>
        </w:tc>
      </w:tr>
      <w:tr w:rsidR="00DC2F91" w:rsidRPr="00510BBE" w:rsidTr="001376A8">
        <w:trPr>
          <w:trHeight w:val="37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THYN1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thymocyte</w:t>
            </w:r>
            <w:proofErr w:type="spellEnd"/>
            <w:r w:rsidRPr="004A622A">
              <w:t xml:space="preserve"> nuclear protein 1</w:t>
            </w:r>
          </w:p>
        </w:tc>
      </w:tr>
      <w:tr w:rsidR="00DC2F91" w:rsidRPr="00510BBE" w:rsidTr="001376A8">
        <w:trPr>
          <w:trHeight w:val="37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TMEM220</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transmembrane protein 220</w:t>
            </w:r>
          </w:p>
        </w:tc>
      </w:tr>
      <w:tr w:rsidR="00DC2F91" w:rsidRPr="00510BBE" w:rsidTr="001376A8">
        <w:trPr>
          <w:trHeight w:val="40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TRANK1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tetratricopeptide</w:t>
            </w:r>
            <w:proofErr w:type="spellEnd"/>
            <w:r w:rsidRPr="004A622A">
              <w:t xml:space="preserve"> repeat and </w:t>
            </w:r>
            <w:proofErr w:type="spellStart"/>
            <w:r w:rsidRPr="004A622A">
              <w:t>ankyrin</w:t>
            </w:r>
            <w:proofErr w:type="spellEnd"/>
            <w:r w:rsidRPr="004A622A">
              <w:t xml:space="preserve"> repeat containing 1</w:t>
            </w:r>
          </w:p>
        </w:tc>
      </w:tr>
      <w:tr w:rsidR="00DC2F91" w:rsidRPr="00510BBE" w:rsidTr="001376A8">
        <w:trPr>
          <w:trHeight w:val="58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TRPC4AP</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transient receptor potential cation channel subfamily C member                                                                        4 associated protein</w:t>
            </w:r>
          </w:p>
        </w:tc>
      </w:tr>
      <w:tr w:rsidR="00DC2F91" w:rsidRPr="00510BBE" w:rsidTr="001376A8">
        <w:trPr>
          <w:trHeight w:val="36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TTC15</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trafficking protein particle complex subunit 12</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TUBB1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tubulin beta 1 class VI</w:t>
            </w:r>
          </w:p>
        </w:tc>
      </w:tr>
      <w:tr w:rsidR="00DC2F91" w:rsidRPr="00510BBE" w:rsidTr="001376A8">
        <w:trPr>
          <w:trHeight w:val="231"/>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UNC13B</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Unc-13 homolog B</w:t>
            </w:r>
          </w:p>
        </w:tc>
      </w:tr>
      <w:tr w:rsidR="00DC2F91" w:rsidRPr="00510BBE" w:rsidTr="001376A8">
        <w:trPr>
          <w:trHeight w:val="363"/>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UPF2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UPF2 regulator of nonsense mediated mRNA decay</w:t>
            </w:r>
          </w:p>
        </w:tc>
      </w:tr>
      <w:tr w:rsidR="00DC2F91" w:rsidRPr="00510BBE" w:rsidTr="001376A8">
        <w:trPr>
          <w:trHeight w:val="397"/>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WDFY4</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WDFY family member 4</w:t>
            </w:r>
          </w:p>
        </w:tc>
      </w:tr>
      <w:tr w:rsidR="00DC2F91" w:rsidRPr="00510BBE" w:rsidTr="001376A8">
        <w:trPr>
          <w:trHeight w:val="33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WDR37</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WD repeat domain 37</w:t>
            </w:r>
          </w:p>
        </w:tc>
      </w:tr>
      <w:tr w:rsidR="00DC2F91" w:rsidRPr="00510BBE" w:rsidTr="001376A8">
        <w:trPr>
          <w:trHeight w:val="36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XPNPEP1</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X-Prolyl aminopeptidase 1</w:t>
            </w:r>
          </w:p>
        </w:tc>
      </w:tr>
      <w:tr w:rsidR="00DC2F91" w:rsidRPr="00510BBE" w:rsidTr="001376A8">
        <w:trPr>
          <w:trHeight w:val="37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XPO4</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exportin</w:t>
            </w:r>
            <w:proofErr w:type="spellEnd"/>
            <w:r w:rsidRPr="004A622A">
              <w:t xml:space="preserve"> 4</w:t>
            </w:r>
          </w:p>
        </w:tc>
      </w:tr>
      <w:tr w:rsidR="00DC2F91" w:rsidRPr="00510BBE" w:rsidTr="001376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ZAN</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proofErr w:type="spellStart"/>
            <w:r w:rsidRPr="004A622A">
              <w:t>zonadhesin</w:t>
            </w:r>
            <w:proofErr w:type="spellEnd"/>
          </w:p>
        </w:tc>
      </w:tr>
      <w:tr w:rsidR="00DC2F91" w:rsidRPr="00510BBE" w:rsidTr="001376A8">
        <w:trPr>
          <w:trHeight w:val="34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ZNF433</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zinc finger protein 433</w:t>
            </w:r>
          </w:p>
        </w:tc>
      </w:tr>
      <w:tr w:rsidR="00DC2F91" w:rsidRPr="00510BBE" w:rsidTr="001376A8">
        <w:trPr>
          <w:trHeight w:val="37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DC2F91" w:rsidRPr="000A3FF6" w:rsidRDefault="00DC2F91" w:rsidP="001376A8">
            <w:pPr>
              <w:spacing w:after="0" w:line="240" w:lineRule="auto"/>
              <w:rPr>
                <w:b/>
                <w:i/>
              </w:rPr>
            </w:pPr>
            <w:r w:rsidRPr="000A3FF6">
              <w:rPr>
                <w:b/>
                <w:i/>
              </w:rPr>
              <w:t>ZNF732</w:t>
            </w:r>
          </w:p>
        </w:tc>
        <w:tc>
          <w:tcPr>
            <w:tcW w:w="7087" w:type="dxa"/>
            <w:tcBorders>
              <w:top w:val="nil"/>
              <w:left w:val="nil"/>
              <w:bottom w:val="single" w:sz="8" w:space="0" w:color="auto"/>
              <w:right w:val="single" w:sz="8" w:space="0" w:color="auto"/>
            </w:tcBorders>
            <w:shd w:val="clear" w:color="auto" w:fill="auto"/>
            <w:vAlign w:val="center"/>
            <w:hideMark/>
          </w:tcPr>
          <w:p w:rsidR="00DC2F91" w:rsidRPr="004A622A" w:rsidRDefault="00DC2F91" w:rsidP="001376A8">
            <w:pPr>
              <w:spacing w:after="0" w:line="240" w:lineRule="auto"/>
            </w:pPr>
            <w:r w:rsidRPr="004A622A">
              <w:t>zinc finger protein 732</w:t>
            </w:r>
          </w:p>
        </w:tc>
      </w:tr>
    </w:tbl>
    <w:p w:rsidR="00DC2F91" w:rsidRDefault="00DC2F91" w:rsidP="00DC2F91">
      <w:pPr>
        <w:rPr>
          <w:lang w:eastAsia="de-DE"/>
        </w:rPr>
      </w:pPr>
    </w:p>
    <w:p w:rsidR="00DC2F91" w:rsidRDefault="00DC2F91" w:rsidP="00E915CD">
      <w:pPr>
        <w:rPr>
          <w:b/>
        </w:rPr>
      </w:pPr>
    </w:p>
    <w:p w:rsidR="00DC2F91" w:rsidRDefault="00DC2F91" w:rsidP="00E915CD">
      <w:pPr>
        <w:rPr>
          <w:b/>
        </w:rPr>
      </w:pPr>
    </w:p>
    <w:p w:rsidR="00E915CD" w:rsidRDefault="00E915CD" w:rsidP="00E915CD">
      <w:pPr>
        <w:rPr>
          <w:b/>
        </w:rPr>
      </w:pPr>
      <w:r w:rsidRPr="007809EB">
        <w:rPr>
          <w:b/>
        </w:rPr>
        <w:t>References</w:t>
      </w:r>
    </w:p>
    <w:p w:rsidR="00E915CD" w:rsidRDefault="00E915CD" w:rsidP="00E915CD">
      <w:pPr>
        <w:rPr>
          <w:b/>
        </w:rPr>
      </w:pPr>
    </w:p>
    <w:p w:rsidR="00E915CD" w:rsidRDefault="00E915CD" w:rsidP="00E915CD">
      <w:pPr>
        <w:pStyle w:val="Listenabsatz"/>
        <w:numPr>
          <w:ilvl w:val="0"/>
          <w:numId w:val="3"/>
        </w:numPr>
      </w:pPr>
      <w:r w:rsidRPr="001376A8">
        <w:t>https://nature.com/subjects</w:t>
      </w:r>
    </w:p>
    <w:p w:rsidR="00E915CD" w:rsidRDefault="005E1A0F" w:rsidP="00DD409D">
      <w:pPr>
        <w:pStyle w:val="Listenabsatz"/>
        <w:numPr>
          <w:ilvl w:val="0"/>
          <w:numId w:val="3"/>
        </w:numPr>
      </w:pPr>
      <w:hyperlink r:id="rId6" w:history="1">
        <w:r w:rsidR="008D7959" w:rsidRPr="008D7959">
          <w:t>https://www.genome.gov/genetics-glossary</w:t>
        </w:r>
      </w:hyperlink>
    </w:p>
    <w:p w:rsidR="008D7959" w:rsidRPr="008D7959" w:rsidRDefault="008D7959" w:rsidP="009018C6">
      <w:pPr>
        <w:pStyle w:val="Listenabsatz"/>
        <w:numPr>
          <w:ilvl w:val="0"/>
          <w:numId w:val="3"/>
        </w:numPr>
        <w:jc w:val="both"/>
      </w:pPr>
      <w:r w:rsidRPr="008D7959">
        <w:lastRenderedPageBreak/>
        <w:t xml:space="preserve">Zheng G, </w:t>
      </w:r>
      <w:proofErr w:type="spellStart"/>
      <w:r w:rsidRPr="008D7959">
        <w:t>Freidlin</w:t>
      </w:r>
      <w:proofErr w:type="spellEnd"/>
      <w:r w:rsidRPr="008D7959">
        <w:t xml:space="preserve"> B, Li Z, </w:t>
      </w:r>
      <w:proofErr w:type="spellStart"/>
      <w:r w:rsidRPr="008D7959">
        <w:t>Gastwirth</w:t>
      </w:r>
      <w:proofErr w:type="spellEnd"/>
      <w:r w:rsidRPr="008D7959">
        <w:t xml:space="preserve"> JL. Genomic control for association studies under various genetic models. Biometrics. 2005 Mar</w:t>
      </w:r>
      <w:proofErr w:type="gramStart"/>
      <w:r w:rsidRPr="008D7959">
        <w:t>;61</w:t>
      </w:r>
      <w:proofErr w:type="gramEnd"/>
      <w:r w:rsidRPr="008D7959">
        <w:t xml:space="preserve">(1):186–92.   </w:t>
      </w:r>
    </w:p>
    <w:p w:rsidR="008D7959" w:rsidRDefault="008D7959" w:rsidP="009018C6">
      <w:pPr>
        <w:pStyle w:val="Listenabsatz"/>
        <w:numPr>
          <w:ilvl w:val="0"/>
          <w:numId w:val="3"/>
        </w:numPr>
        <w:jc w:val="both"/>
      </w:pPr>
      <w:proofErr w:type="spellStart"/>
      <w:r>
        <w:t>Slatkin</w:t>
      </w:r>
      <w:proofErr w:type="spellEnd"/>
      <w:r>
        <w:t xml:space="preserve"> M. Linkage disequilibrium--understanding the evolutionary past and mapping the medical future. Nat Rev Genet. 2008 Jun</w:t>
      </w:r>
      <w:proofErr w:type="gramStart"/>
      <w:r>
        <w:t>;9</w:t>
      </w:r>
      <w:proofErr w:type="gramEnd"/>
      <w:r>
        <w:t xml:space="preserve">(6):477-85. </w:t>
      </w:r>
      <w:proofErr w:type="spellStart"/>
      <w:proofErr w:type="gramStart"/>
      <w:r>
        <w:t>doi</w:t>
      </w:r>
      <w:proofErr w:type="spellEnd"/>
      <w:proofErr w:type="gramEnd"/>
      <w:r>
        <w:t xml:space="preserve">: 10.1038/nrg2361. PMID: 18427557; PMCID: PMC5124487.            </w:t>
      </w:r>
    </w:p>
    <w:p w:rsidR="008D7959" w:rsidRDefault="005E1A0F" w:rsidP="00DD409D">
      <w:pPr>
        <w:pStyle w:val="Listenabsatz"/>
        <w:numPr>
          <w:ilvl w:val="0"/>
          <w:numId w:val="3"/>
        </w:numPr>
      </w:pPr>
      <w:hyperlink r:id="rId7" w:history="1">
        <w:r w:rsidR="008D7959" w:rsidRPr="008D7959">
          <w:t>https://www.cancer.gov/publications/dictionaries/genetics-dictionary</w:t>
        </w:r>
      </w:hyperlink>
      <w:r w:rsidR="008D7959">
        <w:t xml:space="preserve">            </w:t>
      </w:r>
    </w:p>
    <w:p w:rsidR="008D7959" w:rsidRDefault="008D7959" w:rsidP="009018C6">
      <w:pPr>
        <w:pStyle w:val="Listenabsatz"/>
        <w:numPr>
          <w:ilvl w:val="0"/>
          <w:numId w:val="3"/>
        </w:numPr>
        <w:jc w:val="both"/>
      </w:pPr>
      <w:r>
        <w:t xml:space="preserve">Gottesman II, Gould TD. The </w:t>
      </w:r>
      <w:proofErr w:type="spellStart"/>
      <w:r>
        <w:t>endophenotype</w:t>
      </w:r>
      <w:proofErr w:type="spellEnd"/>
      <w:r>
        <w:t xml:space="preserve"> concept in psychiatry: etymology and strategic intentions. Am J Psychiatry. 2003 Apr</w:t>
      </w:r>
      <w:proofErr w:type="gramStart"/>
      <w:r>
        <w:t>;160</w:t>
      </w:r>
      <w:proofErr w:type="gramEnd"/>
      <w:r>
        <w:t xml:space="preserve">(4):636-45. </w:t>
      </w:r>
      <w:proofErr w:type="spellStart"/>
      <w:proofErr w:type="gramStart"/>
      <w:r>
        <w:t>doi</w:t>
      </w:r>
      <w:proofErr w:type="spellEnd"/>
      <w:proofErr w:type="gramEnd"/>
      <w:r>
        <w:t>: 10.1176/appi.ajp.160.4.636. PMID: 12668349.</w:t>
      </w:r>
    </w:p>
    <w:p w:rsidR="00DD409D" w:rsidRDefault="008D7959" w:rsidP="009018C6">
      <w:pPr>
        <w:pStyle w:val="Listenabsatz"/>
        <w:numPr>
          <w:ilvl w:val="0"/>
          <w:numId w:val="3"/>
        </w:numPr>
        <w:jc w:val="both"/>
      </w:pPr>
      <w:proofErr w:type="spellStart"/>
      <w:r>
        <w:t>Sticca</w:t>
      </w:r>
      <w:proofErr w:type="spellEnd"/>
      <w:r>
        <w:t xml:space="preserve"> EL, Belbin GM, </w:t>
      </w:r>
      <w:proofErr w:type="spellStart"/>
      <w:r>
        <w:t>Gignoux</w:t>
      </w:r>
      <w:proofErr w:type="spellEnd"/>
      <w:r>
        <w:t xml:space="preserve"> CR. Current Developments in Detection of Identity-by-Descent Methods and Applications. Front Genet. 2021 Sep 10</w:t>
      </w:r>
      <w:proofErr w:type="gramStart"/>
      <w:r>
        <w:t>;12:722602</w:t>
      </w:r>
      <w:proofErr w:type="gramEnd"/>
      <w:r>
        <w:t xml:space="preserve">. </w:t>
      </w:r>
      <w:proofErr w:type="spellStart"/>
      <w:proofErr w:type="gramStart"/>
      <w:r>
        <w:t>doi</w:t>
      </w:r>
      <w:proofErr w:type="spellEnd"/>
      <w:proofErr w:type="gramEnd"/>
      <w:r>
        <w:t>: 10.3389/fgene.2021.722602. PMID: 34567074; PMCID: PMC8461052.</w:t>
      </w:r>
    </w:p>
    <w:p w:rsidR="008D7959" w:rsidRDefault="005E1A0F" w:rsidP="008D7959">
      <w:pPr>
        <w:pStyle w:val="Listenabsatz"/>
        <w:numPr>
          <w:ilvl w:val="0"/>
          <w:numId w:val="3"/>
        </w:numPr>
      </w:pPr>
      <w:hyperlink r:id="rId8" w:history="1">
        <w:r w:rsidR="008D7959" w:rsidRPr="008D7959">
          <w:t>https://www.genecards.org</w:t>
        </w:r>
      </w:hyperlink>
    </w:p>
    <w:p w:rsidR="009018C6" w:rsidRPr="009018C6" w:rsidRDefault="009018C6" w:rsidP="009018C6">
      <w:pPr>
        <w:pStyle w:val="Literaturverzeichnis"/>
        <w:numPr>
          <w:ilvl w:val="0"/>
          <w:numId w:val="3"/>
        </w:numPr>
        <w:jc w:val="both"/>
      </w:pPr>
      <w:proofErr w:type="spellStart"/>
      <w:r w:rsidRPr="009018C6">
        <w:t>Stelzer</w:t>
      </w:r>
      <w:proofErr w:type="spellEnd"/>
      <w:r w:rsidRPr="009018C6">
        <w:t xml:space="preserve"> G, Rosen N, </w:t>
      </w:r>
      <w:proofErr w:type="spellStart"/>
      <w:r w:rsidRPr="009018C6">
        <w:t>Plaschkes</w:t>
      </w:r>
      <w:proofErr w:type="spellEnd"/>
      <w:r w:rsidRPr="009018C6">
        <w:t xml:space="preserve"> I, Zimmerman S, </w:t>
      </w:r>
      <w:proofErr w:type="spellStart"/>
      <w:r w:rsidRPr="009018C6">
        <w:t>Twik</w:t>
      </w:r>
      <w:proofErr w:type="spellEnd"/>
      <w:r w:rsidRPr="009018C6">
        <w:t xml:space="preserve"> M, </w:t>
      </w:r>
      <w:proofErr w:type="spellStart"/>
      <w:r w:rsidRPr="009018C6">
        <w:t>Fishilevich</w:t>
      </w:r>
      <w:proofErr w:type="spellEnd"/>
      <w:r w:rsidRPr="009018C6">
        <w:t xml:space="preserve"> S, et al. The </w:t>
      </w:r>
      <w:proofErr w:type="spellStart"/>
      <w:r w:rsidRPr="009018C6">
        <w:t>GeneCards</w:t>
      </w:r>
      <w:proofErr w:type="spellEnd"/>
      <w:r w:rsidRPr="009018C6">
        <w:t xml:space="preserve"> Suite: From Gene Data Mining to Disease Genome Sequence Analyses. </w:t>
      </w:r>
      <w:proofErr w:type="spellStart"/>
      <w:r w:rsidRPr="009018C6">
        <w:t>Curr</w:t>
      </w:r>
      <w:proofErr w:type="spellEnd"/>
      <w:r w:rsidRPr="009018C6">
        <w:t xml:space="preserve"> </w:t>
      </w:r>
      <w:proofErr w:type="spellStart"/>
      <w:r w:rsidRPr="009018C6">
        <w:t>Protoc</w:t>
      </w:r>
      <w:proofErr w:type="spellEnd"/>
      <w:r w:rsidRPr="009018C6">
        <w:t xml:space="preserve"> Bioinformatics. 2016 Jun 20</w:t>
      </w:r>
      <w:proofErr w:type="gramStart"/>
      <w:r w:rsidRPr="009018C6">
        <w:t>;54:1.30.1</w:t>
      </w:r>
      <w:proofErr w:type="gramEnd"/>
      <w:r w:rsidRPr="009018C6">
        <w:t xml:space="preserve">-1.30.33. </w:t>
      </w:r>
    </w:p>
    <w:p w:rsidR="008D7959" w:rsidRDefault="008D7959" w:rsidP="008D7959">
      <w:pPr>
        <w:pStyle w:val="Listenabsatz"/>
        <w:numPr>
          <w:ilvl w:val="0"/>
          <w:numId w:val="3"/>
        </w:numPr>
      </w:pPr>
      <w:r>
        <w:t>https://www.ncbi.nlm.nih.gov</w:t>
      </w:r>
    </w:p>
    <w:p w:rsidR="00DD409D" w:rsidRDefault="00DD409D" w:rsidP="00DD409D"/>
    <w:p w:rsidR="00DD409D" w:rsidRDefault="00DD409D" w:rsidP="00DD409D"/>
    <w:p w:rsidR="00DD409D" w:rsidRDefault="00DD409D" w:rsidP="00DD409D"/>
    <w:sectPr w:rsidR="00DD40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601A"/>
    <w:multiLevelType w:val="multilevel"/>
    <w:tmpl w:val="C6A8CCEA"/>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 w15:restartNumberingAfterBreak="0">
    <w:nsid w:val="619E26AC"/>
    <w:multiLevelType w:val="hybridMultilevel"/>
    <w:tmpl w:val="1B32B0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decimal"/>
        <w:pStyle w:val="berschrift1"/>
        <w:lvlText w:val="%1"/>
        <w:lvlJc w:val="left"/>
        <w:pPr>
          <w:tabs>
            <w:tab w:val="num" w:pos="567"/>
          </w:tabs>
          <w:ind w:left="567" w:hanging="567"/>
        </w:pPr>
        <w:rPr>
          <w:rFonts w:hint="default"/>
        </w:rPr>
      </w:lvl>
    </w:lvlOverride>
    <w:lvlOverride w:ilvl="1">
      <w:lvl w:ilvl="1">
        <w:start w:val="1"/>
        <w:numFmt w:val="decimal"/>
        <w:pStyle w:val="berschrift2"/>
        <w:lvlText w:val="%1.%2"/>
        <w:lvlJc w:val="left"/>
        <w:pPr>
          <w:tabs>
            <w:tab w:val="num" w:pos="567"/>
          </w:tabs>
          <w:ind w:left="567" w:hanging="567"/>
        </w:pPr>
        <w:rPr>
          <w:rFonts w:hint="default"/>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4B"/>
    <w:rsid w:val="00000067"/>
    <w:rsid w:val="00031F8E"/>
    <w:rsid w:val="000A3FF6"/>
    <w:rsid w:val="001738C4"/>
    <w:rsid w:val="001A7314"/>
    <w:rsid w:val="001F02B2"/>
    <w:rsid w:val="002C6140"/>
    <w:rsid w:val="00334350"/>
    <w:rsid w:val="003E564B"/>
    <w:rsid w:val="004A622A"/>
    <w:rsid w:val="005E1A0F"/>
    <w:rsid w:val="00601191"/>
    <w:rsid w:val="008D7959"/>
    <w:rsid w:val="009018C6"/>
    <w:rsid w:val="00A474A4"/>
    <w:rsid w:val="00B947D3"/>
    <w:rsid w:val="00B94A8B"/>
    <w:rsid w:val="00DC2F91"/>
    <w:rsid w:val="00DD409D"/>
    <w:rsid w:val="00E63430"/>
    <w:rsid w:val="00E704D5"/>
    <w:rsid w:val="00E7347D"/>
    <w:rsid w:val="00E84552"/>
    <w:rsid w:val="00E915CD"/>
    <w:rsid w:val="00EF0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333B"/>
  <w15:chartTrackingRefBased/>
  <w15:docId w15:val="{AB7CC0D4-BCFC-4C47-B719-21CB2CFB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564B"/>
    <w:rPr>
      <w:lang w:val="en-US"/>
    </w:rPr>
  </w:style>
  <w:style w:type="paragraph" w:styleId="berschrift1">
    <w:name w:val="heading 1"/>
    <w:basedOn w:val="Listenabsatz"/>
    <w:next w:val="Standard"/>
    <w:link w:val="berschrift1Zchn"/>
    <w:uiPriority w:val="2"/>
    <w:qFormat/>
    <w:rsid w:val="003E564B"/>
    <w:pPr>
      <w:numPr>
        <w:numId w:val="1"/>
      </w:numPr>
      <w:spacing w:before="240" w:after="0" w:line="240" w:lineRule="auto"/>
      <w:contextualSpacing w:val="0"/>
      <w:outlineLvl w:val="0"/>
    </w:pPr>
    <w:rPr>
      <w:rFonts w:ascii="Times New Roman" w:eastAsia="Cambria" w:hAnsi="Times New Roman" w:cs="Times New Roman"/>
      <w:b/>
      <w:sz w:val="24"/>
      <w:szCs w:val="24"/>
      <w:lang w:eastAsia="de-DE"/>
    </w:rPr>
  </w:style>
  <w:style w:type="paragraph" w:styleId="berschrift2">
    <w:name w:val="heading 2"/>
    <w:basedOn w:val="berschrift1"/>
    <w:next w:val="Standard"/>
    <w:link w:val="berschrift2Zchn"/>
    <w:uiPriority w:val="2"/>
    <w:qFormat/>
    <w:rsid w:val="003E564B"/>
    <w:pPr>
      <w:numPr>
        <w:ilvl w:val="1"/>
      </w:numPr>
      <w:spacing w:after="200"/>
      <w:outlineLvl w:val="1"/>
    </w:pPr>
  </w:style>
  <w:style w:type="paragraph" w:styleId="berschrift3">
    <w:name w:val="heading 3"/>
    <w:basedOn w:val="Standard"/>
    <w:next w:val="Standard"/>
    <w:link w:val="berschrift3Zchn"/>
    <w:uiPriority w:val="2"/>
    <w:qFormat/>
    <w:rsid w:val="003E564B"/>
    <w:pPr>
      <w:keepNext/>
      <w:keepLines/>
      <w:numPr>
        <w:ilvl w:val="2"/>
        <w:numId w:val="1"/>
      </w:numPr>
      <w:spacing w:before="40" w:after="120" w:line="240" w:lineRule="auto"/>
      <w:outlineLvl w:val="2"/>
    </w:pPr>
    <w:rPr>
      <w:rFonts w:ascii="Times New Roman" w:eastAsiaTheme="majorEastAsia" w:hAnsi="Times New Roman" w:cstheme="majorBidi"/>
      <w:b/>
      <w:sz w:val="24"/>
      <w:szCs w:val="24"/>
      <w:lang w:eastAsia="de-DE"/>
    </w:rPr>
  </w:style>
  <w:style w:type="paragraph" w:styleId="berschrift4">
    <w:name w:val="heading 4"/>
    <w:basedOn w:val="berschrift3"/>
    <w:next w:val="Standard"/>
    <w:link w:val="berschrift4Zchn"/>
    <w:uiPriority w:val="2"/>
    <w:qFormat/>
    <w:rsid w:val="003E564B"/>
    <w:pPr>
      <w:numPr>
        <w:ilvl w:val="3"/>
      </w:numPr>
      <w:outlineLvl w:val="3"/>
    </w:pPr>
    <w:rPr>
      <w:iCs/>
    </w:rPr>
  </w:style>
  <w:style w:type="paragraph" w:styleId="berschrift5">
    <w:name w:val="heading 5"/>
    <w:basedOn w:val="berschrift4"/>
    <w:next w:val="Standard"/>
    <w:link w:val="berschrift5Zchn"/>
    <w:uiPriority w:val="2"/>
    <w:qFormat/>
    <w:rsid w:val="003E564B"/>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3E564B"/>
    <w:rPr>
      <w:rFonts w:ascii="Times New Roman" w:eastAsia="Cambria" w:hAnsi="Times New Roman" w:cs="Times New Roman"/>
      <w:b/>
      <w:sz w:val="24"/>
      <w:szCs w:val="24"/>
      <w:lang w:val="en-US" w:eastAsia="de-DE"/>
    </w:rPr>
  </w:style>
  <w:style w:type="character" w:customStyle="1" w:styleId="berschrift2Zchn">
    <w:name w:val="Überschrift 2 Zchn"/>
    <w:basedOn w:val="Absatz-Standardschriftart"/>
    <w:link w:val="berschrift2"/>
    <w:uiPriority w:val="2"/>
    <w:rsid w:val="003E564B"/>
    <w:rPr>
      <w:rFonts w:ascii="Times New Roman" w:eastAsia="Cambria" w:hAnsi="Times New Roman" w:cs="Times New Roman"/>
      <w:b/>
      <w:sz w:val="24"/>
      <w:szCs w:val="24"/>
      <w:lang w:val="en-US" w:eastAsia="de-DE"/>
    </w:rPr>
  </w:style>
  <w:style w:type="character" w:customStyle="1" w:styleId="berschrift3Zchn">
    <w:name w:val="Überschrift 3 Zchn"/>
    <w:basedOn w:val="Absatz-Standardschriftart"/>
    <w:link w:val="berschrift3"/>
    <w:uiPriority w:val="2"/>
    <w:rsid w:val="003E564B"/>
    <w:rPr>
      <w:rFonts w:ascii="Times New Roman" w:eastAsiaTheme="majorEastAsia" w:hAnsi="Times New Roman" w:cstheme="majorBidi"/>
      <w:b/>
      <w:sz w:val="24"/>
      <w:szCs w:val="24"/>
      <w:lang w:val="en-US" w:eastAsia="de-DE"/>
    </w:rPr>
  </w:style>
  <w:style w:type="character" w:customStyle="1" w:styleId="berschrift4Zchn">
    <w:name w:val="Überschrift 4 Zchn"/>
    <w:basedOn w:val="Absatz-Standardschriftart"/>
    <w:link w:val="berschrift4"/>
    <w:uiPriority w:val="2"/>
    <w:rsid w:val="003E564B"/>
    <w:rPr>
      <w:rFonts w:ascii="Times New Roman" w:eastAsiaTheme="majorEastAsia" w:hAnsi="Times New Roman" w:cstheme="majorBidi"/>
      <w:b/>
      <w:iCs/>
      <w:sz w:val="24"/>
      <w:szCs w:val="24"/>
      <w:lang w:val="en-US" w:eastAsia="de-DE"/>
    </w:rPr>
  </w:style>
  <w:style w:type="character" w:customStyle="1" w:styleId="berschrift5Zchn">
    <w:name w:val="Überschrift 5 Zchn"/>
    <w:basedOn w:val="Absatz-Standardschriftart"/>
    <w:link w:val="berschrift5"/>
    <w:uiPriority w:val="2"/>
    <w:rsid w:val="003E564B"/>
    <w:rPr>
      <w:rFonts w:ascii="Times New Roman" w:eastAsiaTheme="majorEastAsia" w:hAnsi="Times New Roman" w:cstheme="majorBidi"/>
      <w:b/>
      <w:iCs/>
      <w:sz w:val="24"/>
      <w:szCs w:val="24"/>
      <w:lang w:val="en-US" w:eastAsia="de-DE"/>
    </w:rPr>
  </w:style>
  <w:style w:type="numbering" w:customStyle="1" w:styleId="Headings">
    <w:name w:val="Headings"/>
    <w:uiPriority w:val="99"/>
    <w:rsid w:val="003E564B"/>
    <w:pPr>
      <w:numPr>
        <w:numId w:val="2"/>
      </w:numPr>
    </w:pPr>
  </w:style>
  <w:style w:type="table" w:styleId="Tabellenraster">
    <w:name w:val="Table Grid"/>
    <w:basedOn w:val="NormaleTabelle"/>
    <w:uiPriority w:val="39"/>
    <w:rsid w:val="003E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bsatz-Standardschriftart"/>
    <w:rsid w:val="003E564B"/>
  </w:style>
  <w:style w:type="paragraph" w:customStyle="1" w:styleId="tight-line-height">
    <w:name w:val="tight-line-height"/>
    <w:basedOn w:val="Standard"/>
    <w:rsid w:val="003E564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3E564B"/>
    <w:pPr>
      <w:ind w:left="720"/>
      <w:contextualSpacing/>
    </w:pPr>
  </w:style>
  <w:style w:type="character" w:styleId="Hyperlink">
    <w:name w:val="Hyperlink"/>
    <w:basedOn w:val="Absatz-Standardschriftart"/>
    <w:uiPriority w:val="99"/>
    <w:unhideWhenUsed/>
    <w:rsid w:val="00DD409D"/>
    <w:rPr>
      <w:color w:val="0563C1" w:themeColor="hyperlink"/>
      <w:u w:val="single"/>
    </w:rPr>
  </w:style>
  <w:style w:type="character" w:customStyle="1" w:styleId="jlqj4b">
    <w:name w:val="jlqj4b"/>
    <w:basedOn w:val="Absatz-Standardschriftart"/>
    <w:rsid w:val="00000067"/>
  </w:style>
  <w:style w:type="paragraph" w:styleId="Literaturverzeichnis">
    <w:name w:val="Bibliography"/>
    <w:basedOn w:val="Standard"/>
    <w:next w:val="Standard"/>
    <w:uiPriority w:val="37"/>
    <w:semiHidden/>
    <w:unhideWhenUsed/>
    <w:rsid w:val="0090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cards.org/" TargetMode="External"/><Relationship Id="rId3" Type="http://schemas.openxmlformats.org/officeDocument/2006/relationships/settings" Target="settings.xml"/><Relationship Id="rId7" Type="http://schemas.openxmlformats.org/officeDocument/2006/relationships/hyperlink" Target="https://www.cancer.gov/publications/dictionaries/genetics-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ome.gov/genetics-glossary" TargetMode="External"/><Relationship Id="rId5" Type="http://schemas.openxmlformats.org/officeDocument/2006/relationships/hyperlink" Target="https://www.ncbi.nlm.nih.gov/gene/843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2001</Words>
  <Characters>12613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2021-11-25T14:06:00Z</dcterms:created>
  <dcterms:modified xsi:type="dcterms:W3CDTF">2021-11-25T17:15:00Z</dcterms:modified>
</cp:coreProperties>
</file>