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E048" w14:textId="77777777" w:rsidR="0078045D" w:rsidRPr="00A977A6" w:rsidRDefault="0078045D" w:rsidP="0078045D">
      <w:pPr>
        <w:jc w:val="right"/>
        <w:rPr>
          <w:rFonts w:ascii="Arial Narrow" w:hAnsi="Arial Narrow"/>
          <w:b/>
          <w:sz w:val="28"/>
          <w:szCs w:val="24"/>
        </w:rPr>
      </w:pPr>
      <w:r w:rsidRPr="00A977A6">
        <w:rPr>
          <w:rFonts w:ascii="Arial Narrow" w:hAnsi="Arial Narrow"/>
          <w:b/>
          <w:sz w:val="28"/>
          <w:szCs w:val="24"/>
        </w:rPr>
        <w:t xml:space="preserve">Contents of supplemental material </w:t>
      </w: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val="en-GB"/>
        </w:rPr>
        <w:id w:val="-891266735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</w:rPr>
      </w:sdtEndPr>
      <w:sdtContent>
        <w:p w14:paraId="7EB6E049" w14:textId="77777777" w:rsidR="00A977A6" w:rsidRPr="00A977A6" w:rsidRDefault="00A977A6">
          <w:pPr>
            <w:pStyle w:val="TOCHeading"/>
            <w:rPr>
              <w:rFonts w:ascii="Arial Narrow" w:hAnsi="Arial Narrow"/>
            </w:rPr>
          </w:pPr>
        </w:p>
        <w:p w14:paraId="657DE7A5" w14:textId="6E48C65A" w:rsidR="00ED2F75" w:rsidRDefault="00A977A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A977A6">
            <w:rPr>
              <w:rFonts w:ascii="Arial Narrow" w:hAnsi="Arial Narrow"/>
            </w:rPr>
            <w:fldChar w:fldCharType="begin"/>
          </w:r>
          <w:r w:rsidRPr="00A977A6">
            <w:rPr>
              <w:rFonts w:ascii="Arial Narrow" w:hAnsi="Arial Narrow"/>
            </w:rPr>
            <w:instrText xml:space="preserve"> TOC \o "1-3" \h \z \u </w:instrText>
          </w:r>
          <w:r w:rsidRPr="00A977A6">
            <w:rPr>
              <w:rFonts w:ascii="Arial Narrow" w:hAnsi="Arial Narrow"/>
            </w:rPr>
            <w:fldChar w:fldCharType="separate"/>
          </w:r>
          <w:hyperlink w:anchor="_Toc70701423" w:history="1"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1.</w:t>
            </w:r>
            <w:r w:rsidR="00ED2F75">
              <w:rPr>
                <w:rFonts w:eastAsiaTheme="minorEastAsia"/>
                <w:noProof/>
                <w:lang w:eastAsia="en-GB"/>
              </w:rPr>
              <w:tab/>
            </w:r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Brief introduction</w:t>
            </w:r>
            <w:r w:rsidR="00ED2F75">
              <w:rPr>
                <w:noProof/>
                <w:webHidden/>
              </w:rPr>
              <w:tab/>
            </w:r>
            <w:r w:rsidR="00ED2F75">
              <w:rPr>
                <w:noProof/>
                <w:webHidden/>
              </w:rPr>
              <w:fldChar w:fldCharType="begin"/>
            </w:r>
            <w:r w:rsidR="00ED2F75">
              <w:rPr>
                <w:noProof/>
                <w:webHidden/>
              </w:rPr>
              <w:instrText xml:space="preserve"> PAGEREF _Toc70701423 \h </w:instrText>
            </w:r>
            <w:r w:rsidR="00ED2F75">
              <w:rPr>
                <w:noProof/>
                <w:webHidden/>
              </w:rPr>
            </w:r>
            <w:r w:rsidR="00ED2F75">
              <w:rPr>
                <w:noProof/>
                <w:webHidden/>
              </w:rPr>
              <w:fldChar w:fldCharType="separate"/>
            </w:r>
            <w:r w:rsidR="00ED2F75">
              <w:rPr>
                <w:noProof/>
                <w:webHidden/>
              </w:rPr>
              <w:t>1</w:t>
            </w:r>
            <w:r w:rsidR="00ED2F75">
              <w:rPr>
                <w:noProof/>
                <w:webHidden/>
              </w:rPr>
              <w:fldChar w:fldCharType="end"/>
            </w:r>
          </w:hyperlink>
        </w:p>
        <w:p w14:paraId="2A2CA3A6" w14:textId="1B3AE789" w:rsidR="00ED2F75" w:rsidRDefault="0001553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0701424" w:history="1"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2.</w:t>
            </w:r>
            <w:r w:rsidR="00ED2F75">
              <w:rPr>
                <w:rFonts w:eastAsiaTheme="minorEastAsia"/>
                <w:noProof/>
                <w:lang w:eastAsia="en-GB"/>
              </w:rPr>
              <w:tab/>
            </w:r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ITS model for psychiatric presentations</w:t>
            </w:r>
            <w:r w:rsidR="00ED2F75">
              <w:rPr>
                <w:noProof/>
                <w:webHidden/>
              </w:rPr>
              <w:tab/>
            </w:r>
            <w:r w:rsidR="00ED2F75">
              <w:rPr>
                <w:noProof/>
                <w:webHidden/>
              </w:rPr>
              <w:fldChar w:fldCharType="begin"/>
            </w:r>
            <w:r w:rsidR="00ED2F75">
              <w:rPr>
                <w:noProof/>
                <w:webHidden/>
              </w:rPr>
              <w:instrText xml:space="preserve"> PAGEREF _Toc70701424 \h </w:instrText>
            </w:r>
            <w:r w:rsidR="00ED2F75">
              <w:rPr>
                <w:noProof/>
                <w:webHidden/>
              </w:rPr>
            </w:r>
            <w:r w:rsidR="00ED2F75">
              <w:rPr>
                <w:noProof/>
                <w:webHidden/>
              </w:rPr>
              <w:fldChar w:fldCharType="separate"/>
            </w:r>
            <w:r w:rsidR="00ED2F75">
              <w:rPr>
                <w:noProof/>
                <w:webHidden/>
              </w:rPr>
              <w:t>1</w:t>
            </w:r>
            <w:r w:rsidR="00ED2F75">
              <w:rPr>
                <w:noProof/>
                <w:webHidden/>
              </w:rPr>
              <w:fldChar w:fldCharType="end"/>
            </w:r>
          </w:hyperlink>
        </w:p>
        <w:p w14:paraId="0D8ED0B4" w14:textId="3631ADC5" w:rsidR="00ED2F75" w:rsidRDefault="0001553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0701425" w:history="1"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3.</w:t>
            </w:r>
            <w:r w:rsidR="00ED2F75">
              <w:rPr>
                <w:rFonts w:eastAsiaTheme="minorEastAsia"/>
                <w:noProof/>
                <w:lang w:eastAsia="en-GB"/>
              </w:rPr>
              <w:tab/>
            </w:r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Alternative impact model for psychiatric presentations</w:t>
            </w:r>
            <w:r w:rsidR="00ED2F75">
              <w:rPr>
                <w:noProof/>
                <w:webHidden/>
              </w:rPr>
              <w:tab/>
            </w:r>
            <w:r w:rsidR="00ED2F75">
              <w:rPr>
                <w:noProof/>
                <w:webHidden/>
              </w:rPr>
              <w:fldChar w:fldCharType="begin"/>
            </w:r>
            <w:r w:rsidR="00ED2F75">
              <w:rPr>
                <w:noProof/>
                <w:webHidden/>
              </w:rPr>
              <w:instrText xml:space="preserve"> PAGEREF _Toc70701425 \h </w:instrText>
            </w:r>
            <w:r w:rsidR="00ED2F75">
              <w:rPr>
                <w:noProof/>
                <w:webHidden/>
              </w:rPr>
            </w:r>
            <w:r w:rsidR="00ED2F75">
              <w:rPr>
                <w:noProof/>
                <w:webHidden/>
              </w:rPr>
              <w:fldChar w:fldCharType="separate"/>
            </w:r>
            <w:r w:rsidR="00ED2F75">
              <w:rPr>
                <w:noProof/>
                <w:webHidden/>
              </w:rPr>
              <w:t>3</w:t>
            </w:r>
            <w:r w:rsidR="00ED2F75">
              <w:rPr>
                <w:noProof/>
                <w:webHidden/>
              </w:rPr>
              <w:fldChar w:fldCharType="end"/>
            </w:r>
          </w:hyperlink>
        </w:p>
        <w:p w14:paraId="3AE9421D" w14:textId="262956C4" w:rsidR="00ED2F75" w:rsidRDefault="0001553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0701426" w:history="1"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4.</w:t>
            </w:r>
            <w:r w:rsidR="00ED2F75">
              <w:rPr>
                <w:rFonts w:eastAsiaTheme="minorEastAsia"/>
                <w:noProof/>
                <w:lang w:eastAsia="en-GB"/>
              </w:rPr>
              <w:tab/>
            </w:r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ITS model for A&amp;E presentations</w:t>
            </w:r>
            <w:r w:rsidR="00ED2F75">
              <w:rPr>
                <w:noProof/>
                <w:webHidden/>
              </w:rPr>
              <w:tab/>
            </w:r>
            <w:r w:rsidR="00ED2F75">
              <w:rPr>
                <w:noProof/>
                <w:webHidden/>
              </w:rPr>
              <w:fldChar w:fldCharType="begin"/>
            </w:r>
            <w:r w:rsidR="00ED2F75">
              <w:rPr>
                <w:noProof/>
                <w:webHidden/>
              </w:rPr>
              <w:instrText xml:space="preserve"> PAGEREF _Toc70701426 \h </w:instrText>
            </w:r>
            <w:r w:rsidR="00ED2F75">
              <w:rPr>
                <w:noProof/>
                <w:webHidden/>
              </w:rPr>
            </w:r>
            <w:r w:rsidR="00ED2F75">
              <w:rPr>
                <w:noProof/>
                <w:webHidden/>
              </w:rPr>
              <w:fldChar w:fldCharType="separate"/>
            </w:r>
            <w:r w:rsidR="00ED2F75">
              <w:rPr>
                <w:noProof/>
                <w:webHidden/>
              </w:rPr>
              <w:t>4</w:t>
            </w:r>
            <w:r w:rsidR="00ED2F75">
              <w:rPr>
                <w:noProof/>
                <w:webHidden/>
              </w:rPr>
              <w:fldChar w:fldCharType="end"/>
            </w:r>
          </w:hyperlink>
        </w:p>
        <w:p w14:paraId="219A1945" w14:textId="166C1450" w:rsidR="00ED2F75" w:rsidRDefault="0001553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0701427" w:history="1"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5.</w:t>
            </w:r>
            <w:r w:rsidR="00ED2F75">
              <w:rPr>
                <w:rFonts w:eastAsiaTheme="minorEastAsia"/>
                <w:noProof/>
                <w:lang w:eastAsia="en-GB"/>
              </w:rPr>
              <w:tab/>
            </w:r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Limitations of ITS models</w:t>
            </w:r>
            <w:r w:rsidR="00ED2F75">
              <w:rPr>
                <w:noProof/>
                <w:webHidden/>
              </w:rPr>
              <w:tab/>
            </w:r>
            <w:r w:rsidR="00ED2F75">
              <w:rPr>
                <w:noProof/>
                <w:webHidden/>
              </w:rPr>
              <w:fldChar w:fldCharType="begin"/>
            </w:r>
            <w:r w:rsidR="00ED2F75">
              <w:rPr>
                <w:noProof/>
                <w:webHidden/>
              </w:rPr>
              <w:instrText xml:space="preserve"> PAGEREF _Toc70701427 \h </w:instrText>
            </w:r>
            <w:r w:rsidR="00ED2F75">
              <w:rPr>
                <w:noProof/>
                <w:webHidden/>
              </w:rPr>
            </w:r>
            <w:r w:rsidR="00ED2F75">
              <w:rPr>
                <w:noProof/>
                <w:webHidden/>
              </w:rPr>
              <w:fldChar w:fldCharType="separate"/>
            </w:r>
            <w:r w:rsidR="00ED2F75">
              <w:rPr>
                <w:noProof/>
                <w:webHidden/>
              </w:rPr>
              <w:t>5</w:t>
            </w:r>
            <w:r w:rsidR="00ED2F75">
              <w:rPr>
                <w:noProof/>
                <w:webHidden/>
              </w:rPr>
              <w:fldChar w:fldCharType="end"/>
            </w:r>
          </w:hyperlink>
        </w:p>
        <w:p w14:paraId="2FC83187" w14:textId="02111072" w:rsidR="00ED2F75" w:rsidRDefault="0001553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0701428" w:history="1"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6.</w:t>
            </w:r>
            <w:r w:rsidR="00ED2F75">
              <w:rPr>
                <w:rFonts w:eastAsiaTheme="minorEastAsia"/>
                <w:noProof/>
                <w:lang w:eastAsia="en-GB"/>
              </w:rPr>
              <w:tab/>
            </w:r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Comments on external validity</w:t>
            </w:r>
            <w:r w:rsidR="00ED2F75">
              <w:rPr>
                <w:noProof/>
                <w:webHidden/>
              </w:rPr>
              <w:tab/>
            </w:r>
            <w:r w:rsidR="00ED2F75">
              <w:rPr>
                <w:noProof/>
                <w:webHidden/>
              </w:rPr>
              <w:fldChar w:fldCharType="begin"/>
            </w:r>
            <w:r w:rsidR="00ED2F75">
              <w:rPr>
                <w:noProof/>
                <w:webHidden/>
              </w:rPr>
              <w:instrText xml:space="preserve"> PAGEREF _Toc70701428 \h </w:instrText>
            </w:r>
            <w:r w:rsidR="00ED2F75">
              <w:rPr>
                <w:noProof/>
                <w:webHidden/>
              </w:rPr>
            </w:r>
            <w:r w:rsidR="00ED2F75">
              <w:rPr>
                <w:noProof/>
                <w:webHidden/>
              </w:rPr>
              <w:fldChar w:fldCharType="separate"/>
            </w:r>
            <w:r w:rsidR="00ED2F75">
              <w:rPr>
                <w:noProof/>
                <w:webHidden/>
              </w:rPr>
              <w:t>5</w:t>
            </w:r>
            <w:r w:rsidR="00ED2F75">
              <w:rPr>
                <w:noProof/>
                <w:webHidden/>
              </w:rPr>
              <w:fldChar w:fldCharType="end"/>
            </w:r>
          </w:hyperlink>
        </w:p>
        <w:p w14:paraId="2E20CA22" w14:textId="47884B6F" w:rsidR="00ED2F75" w:rsidRDefault="0001553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0701429" w:history="1"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7.</w:t>
            </w:r>
            <w:r w:rsidR="00ED2F75">
              <w:rPr>
                <w:rFonts w:eastAsiaTheme="minorEastAsia"/>
                <w:noProof/>
                <w:lang w:eastAsia="en-GB"/>
              </w:rPr>
              <w:tab/>
            </w:r>
            <w:r w:rsidR="00ED2F75" w:rsidRPr="00550FCC">
              <w:rPr>
                <w:rStyle w:val="Hyperlink"/>
                <w:rFonts w:ascii="Arial Narrow" w:hAnsi="Arial Narrow"/>
                <w:b/>
                <w:noProof/>
              </w:rPr>
              <w:t>Absolute numbers presenting to psychiatric services by presenting complaint.</w:t>
            </w:r>
            <w:r w:rsidR="00ED2F75">
              <w:rPr>
                <w:noProof/>
                <w:webHidden/>
              </w:rPr>
              <w:tab/>
            </w:r>
            <w:r w:rsidR="00ED2F75">
              <w:rPr>
                <w:noProof/>
                <w:webHidden/>
              </w:rPr>
              <w:fldChar w:fldCharType="begin"/>
            </w:r>
            <w:r w:rsidR="00ED2F75">
              <w:rPr>
                <w:noProof/>
                <w:webHidden/>
              </w:rPr>
              <w:instrText xml:space="preserve"> PAGEREF _Toc70701429 \h </w:instrText>
            </w:r>
            <w:r w:rsidR="00ED2F75">
              <w:rPr>
                <w:noProof/>
                <w:webHidden/>
              </w:rPr>
            </w:r>
            <w:r w:rsidR="00ED2F75">
              <w:rPr>
                <w:noProof/>
                <w:webHidden/>
              </w:rPr>
              <w:fldChar w:fldCharType="separate"/>
            </w:r>
            <w:r w:rsidR="00ED2F75">
              <w:rPr>
                <w:noProof/>
                <w:webHidden/>
              </w:rPr>
              <w:t>6</w:t>
            </w:r>
            <w:r w:rsidR="00ED2F75">
              <w:rPr>
                <w:noProof/>
                <w:webHidden/>
              </w:rPr>
              <w:fldChar w:fldCharType="end"/>
            </w:r>
          </w:hyperlink>
        </w:p>
        <w:p w14:paraId="7EB6E052" w14:textId="3AF735C5" w:rsidR="0078045D" w:rsidRDefault="00A977A6" w:rsidP="00CC01EA">
          <w:pPr>
            <w:rPr>
              <w:b/>
              <w:bCs/>
              <w:noProof/>
            </w:rPr>
          </w:pPr>
          <w:r w:rsidRPr="00A977A6">
            <w:rPr>
              <w:rFonts w:ascii="Arial Narrow" w:hAnsi="Arial Narrow"/>
              <w:bCs/>
              <w:noProof/>
            </w:rPr>
            <w:fldChar w:fldCharType="end"/>
          </w:r>
        </w:p>
      </w:sdtContent>
    </w:sdt>
    <w:p w14:paraId="1D912575" w14:textId="77777777" w:rsidR="00F76A61" w:rsidRPr="0078045D" w:rsidRDefault="00F76A61" w:rsidP="00CC01EA">
      <w:pPr>
        <w:rPr>
          <w:rFonts w:ascii="Arial Narrow" w:hAnsi="Arial Narrow"/>
          <w:sz w:val="24"/>
          <w:szCs w:val="24"/>
        </w:rPr>
      </w:pPr>
    </w:p>
    <w:p w14:paraId="7EB6E053" w14:textId="77777777" w:rsidR="00693DB8" w:rsidRPr="0078045D" w:rsidRDefault="0078045D" w:rsidP="0078045D">
      <w:pPr>
        <w:pStyle w:val="Heading1"/>
        <w:numPr>
          <w:ilvl w:val="0"/>
          <w:numId w:val="1"/>
        </w:numPr>
        <w:tabs>
          <w:tab w:val="left" w:pos="284"/>
        </w:tabs>
        <w:ind w:left="0" w:hanging="11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Toc70701423"/>
      <w:r w:rsidRPr="0078045D">
        <w:rPr>
          <w:rFonts w:ascii="Arial Narrow" w:hAnsi="Arial Narrow"/>
          <w:b/>
          <w:color w:val="000000" w:themeColor="text1"/>
          <w:sz w:val="24"/>
          <w:szCs w:val="24"/>
        </w:rPr>
        <w:t>Brief introduction</w:t>
      </w:r>
      <w:bookmarkEnd w:id="0"/>
    </w:p>
    <w:p w14:paraId="7EB6E054" w14:textId="77777777" w:rsidR="0078045D" w:rsidRPr="0078045D" w:rsidRDefault="0078045D" w:rsidP="0078045D">
      <w:pPr>
        <w:rPr>
          <w:rFonts w:ascii="Arial Narrow" w:hAnsi="Arial Narrow"/>
        </w:rPr>
      </w:pPr>
    </w:p>
    <w:p w14:paraId="7EB6E055" w14:textId="5475ECB6" w:rsidR="0078045D" w:rsidRPr="0078045D" w:rsidRDefault="0078045D" w:rsidP="0078045D">
      <w:pPr>
        <w:rPr>
          <w:rFonts w:ascii="Arial Narrow" w:hAnsi="Arial Narrow"/>
        </w:rPr>
      </w:pPr>
      <w:r w:rsidRPr="00FE503D">
        <w:rPr>
          <w:rFonts w:ascii="Arial Narrow" w:hAnsi="Arial Narrow"/>
        </w:rPr>
        <w:t>This supplementa</w:t>
      </w:r>
      <w:r w:rsidR="0073045C" w:rsidRPr="00FE503D">
        <w:rPr>
          <w:rFonts w:ascii="Arial Narrow" w:hAnsi="Arial Narrow"/>
        </w:rPr>
        <w:t>ry material</w:t>
      </w:r>
      <w:r w:rsidRPr="00FE503D">
        <w:rPr>
          <w:rFonts w:ascii="Arial Narrow" w:hAnsi="Arial Narrow"/>
        </w:rPr>
        <w:t xml:space="preserve"> has be</w:t>
      </w:r>
      <w:r w:rsidR="0073045C" w:rsidRPr="00FE503D">
        <w:rPr>
          <w:rFonts w:ascii="Arial Narrow" w:hAnsi="Arial Narrow"/>
        </w:rPr>
        <w:t>en</w:t>
      </w:r>
      <w:r w:rsidRPr="00FE503D">
        <w:rPr>
          <w:rFonts w:ascii="Arial Narrow" w:hAnsi="Arial Narrow"/>
        </w:rPr>
        <w:t xml:space="preserve"> written to provide enough detail of the ITS analysis </w:t>
      </w:r>
      <w:r w:rsidR="00BB78DE" w:rsidRPr="00FE503D">
        <w:rPr>
          <w:rFonts w:ascii="Arial Narrow" w:hAnsi="Arial Narrow"/>
        </w:rPr>
        <w:t xml:space="preserve">performed, </w:t>
      </w:r>
      <w:r w:rsidRPr="00FE503D">
        <w:rPr>
          <w:rFonts w:ascii="Arial Narrow" w:hAnsi="Arial Narrow"/>
        </w:rPr>
        <w:t xml:space="preserve">to ensure its reproducibility. We summarise the two ITS analysis presented in the </w:t>
      </w:r>
      <w:r w:rsidR="00BB78DE" w:rsidRPr="00FE503D">
        <w:rPr>
          <w:rFonts w:ascii="Arial Narrow" w:hAnsi="Arial Narrow"/>
        </w:rPr>
        <w:t>article</w:t>
      </w:r>
      <w:r w:rsidR="00436FF1" w:rsidRPr="00FE503D">
        <w:rPr>
          <w:rFonts w:ascii="Arial Narrow" w:hAnsi="Arial Narrow"/>
        </w:rPr>
        <w:t xml:space="preserve">, </w:t>
      </w:r>
      <w:r w:rsidR="00C8335D" w:rsidRPr="00FE503D">
        <w:rPr>
          <w:rFonts w:ascii="Arial Narrow" w:hAnsi="Arial Narrow"/>
        </w:rPr>
        <w:t>discuss on the assumptions and</w:t>
      </w:r>
      <w:r w:rsidR="00436FF1" w:rsidRPr="00FE503D">
        <w:rPr>
          <w:rFonts w:ascii="Arial Narrow" w:hAnsi="Arial Narrow"/>
        </w:rPr>
        <w:t xml:space="preserve"> limitations of our models</w:t>
      </w:r>
      <w:r w:rsidR="00C8335D" w:rsidRPr="00FE503D">
        <w:rPr>
          <w:rFonts w:ascii="Arial Narrow" w:hAnsi="Arial Narrow"/>
        </w:rPr>
        <w:t xml:space="preserve">, and </w:t>
      </w:r>
      <w:r w:rsidR="00002FB4" w:rsidRPr="00FE503D">
        <w:rPr>
          <w:rFonts w:ascii="Arial Narrow" w:hAnsi="Arial Narrow"/>
        </w:rPr>
        <w:t xml:space="preserve">present </w:t>
      </w:r>
      <w:r w:rsidR="00FE503D" w:rsidRPr="00FE503D">
        <w:rPr>
          <w:rFonts w:ascii="Arial Narrow" w:hAnsi="Arial Narrow"/>
        </w:rPr>
        <w:t>complementary</w:t>
      </w:r>
      <w:r w:rsidR="00002FB4" w:rsidRPr="00FE503D">
        <w:rPr>
          <w:rFonts w:ascii="Arial Narrow" w:hAnsi="Arial Narrow"/>
        </w:rPr>
        <w:t xml:space="preserve"> information on section 7</w:t>
      </w:r>
      <w:r w:rsidRPr="00FE503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7EB6E056" w14:textId="283CB389" w:rsidR="0078045D" w:rsidRPr="0078045D" w:rsidRDefault="0078045D" w:rsidP="0078045D">
      <w:pPr>
        <w:pStyle w:val="Heading1"/>
        <w:numPr>
          <w:ilvl w:val="0"/>
          <w:numId w:val="1"/>
        </w:numPr>
        <w:tabs>
          <w:tab w:val="left" w:pos="284"/>
        </w:tabs>
        <w:ind w:left="0" w:hanging="11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1" w:name="_Toc70701424"/>
      <w:r w:rsidRPr="0078045D">
        <w:rPr>
          <w:rFonts w:ascii="Arial Narrow" w:hAnsi="Arial Narrow"/>
          <w:b/>
          <w:color w:val="000000" w:themeColor="text1"/>
          <w:sz w:val="24"/>
          <w:szCs w:val="24"/>
        </w:rPr>
        <w:t xml:space="preserve">ITS model for psychiatric </w:t>
      </w:r>
      <w:r w:rsidR="000B0AD6">
        <w:rPr>
          <w:rFonts w:ascii="Arial Narrow" w:hAnsi="Arial Narrow"/>
          <w:b/>
          <w:color w:val="000000" w:themeColor="text1"/>
          <w:sz w:val="24"/>
          <w:szCs w:val="24"/>
        </w:rPr>
        <w:t>presentations</w:t>
      </w:r>
      <w:bookmarkEnd w:id="1"/>
    </w:p>
    <w:p w14:paraId="7EB6E057" w14:textId="77777777" w:rsidR="0078045D" w:rsidRPr="0078045D" w:rsidRDefault="0078045D" w:rsidP="0078045D">
      <w:pPr>
        <w:rPr>
          <w:rFonts w:ascii="Arial Narrow" w:hAnsi="Arial Narrow"/>
        </w:rPr>
      </w:pPr>
    </w:p>
    <w:p w14:paraId="7EB6E058" w14:textId="7E082DD2" w:rsidR="0078045D" w:rsidRDefault="0078045D" w:rsidP="007804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This is the </w:t>
      </w:r>
      <w:r w:rsidR="00020225">
        <w:rPr>
          <w:rFonts w:ascii="Arial Narrow" w:hAnsi="Arial Narrow"/>
        </w:rPr>
        <w:t xml:space="preserve">hypothesised </w:t>
      </w:r>
      <w:r w:rsidR="00865736">
        <w:rPr>
          <w:rFonts w:ascii="Arial Narrow" w:hAnsi="Arial Narrow"/>
        </w:rPr>
        <w:t xml:space="preserve">unadjusted </w:t>
      </w:r>
      <w:r>
        <w:rPr>
          <w:rFonts w:ascii="Arial Narrow" w:hAnsi="Arial Narrow"/>
        </w:rPr>
        <w:t xml:space="preserve">segmented regression model for psychiatric </w:t>
      </w:r>
      <w:r w:rsidR="000B0AD6">
        <w:rPr>
          <w:rFonts w:ascii="Arial Narrow" w:hAnsi="Arial Narrow"/>
        </w:rPr>
        <w:t>presentation</w:t>
      </w:r>
      <w:r>
        <w:rPr>
          <w:rFonts w:ascii="Arial Narrow" w:hAnsi="Arial Narrow"/>
        </w:rPr>
        <w:t>s:</w:t>
      </w:r>
    </w:p>
    <w:p w14:paraId="7EB6E059" w14:textId="77777777" w:rsidR="007369C4" w:rsidRDefault="007369C4" w:rsidP="007369C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[Model 1]</w:t>
      </w:r>
    </w:p>
    <w:p w14:paraId="7EB6E05A" w14:textId="42F24949" w:rsidR="0078045D" w:rsidRDefault="0001553C" w:rsidP="0078045D">
      <w:pPr>
        <w:rPr>
          <w:rFonts w:ascii="Arial Narrow" w:hAnsi="Arial Narr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log⁡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 xml:space="preserve">)=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lockdown+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time_before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time_after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ℇ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i</m:t>
              </m:r>
            </m:sub>
          </m:sSub>
        </m:oMath>
      </m:oMathPara>
    </w:p>
    <w:p w14:paraId="7EB6E05B" w14:textId="77777777" w:rsidR="0078045D" w:rsidRDefault="0078045D" w:rsidP="0078045D">
      <w:pPr>
        <w:rPr>
          <w:rFonts w:ascii="Arial Narrow" w:hAnsi="Arial Narrow"/>
        </w:rPr>
      </w:pPr>
    </w:p>
    <w:p w14:paraId="7EB6E05C" w14:textId="38054DBE" w:rsidR="00B83EBF" w:rsidRPr="00C11FA5" w:rsidRDefault="00865736" w:rsidP="0078045D">
      <w:pPr>
        <w:rPr>
          <w:rFonts w:ascii="Arial Narrow" w:eastAsiaTheme="minorEastAsia" w:hAnsi="Arial Narrow"/>
          <w:color w:val="000000"/>
        </w:rPr>
      </w:pPr>
      <w:r w:rsidRPr="00865736">
        <w:rPr>
          <w:rFonts w:ascii="Arial Narrow" w:hAnsi="Arial Narrow"/>
        </w:rPr>
        <w:t xml:space="preserve">where </w:t>
      </w:r>
      <w:proofErr w:type="spellStart"/>
      <w:r w:rsidRPr="00865736">
        <w:rPr>
          <w:rFonts w:ascii="Arial Narrow" w:hAnsi="Arial Narrow"/>
          <w:i/>
        </w:rPr>
        <w:t>i</w:t>
      </w:r>
      <w:proofErr w:type="spellEnd"/>
      <w:r w:rsidRPr="00865736">
        <w:rPr>
          <w:rFonts w:ascii="Arial Narrow" w:hAnsi="Arial Narrow"/>
        </w:rPr>
        <w:t xml:space="preserve"> denotes the follow-up time</w:t>
      </w:r>
      <w:r>
        <w:rPr>
          <w:rFonts w:ascii="Arial Narrow" w:hAnsi="Arial Narrow"/>
        </w:rPr>
        <w:t xml:space="preserve"> (</w:t>
      </w:r>
      <w:r w:rsidRPr="00BB78DE">
        <w:rPr>
          <w:rFonts w:ascii="Arial Narrow" w:hAnsi="Arial Narrow"/>
          <w:b/>
          <w:u w:val="single"/>
        </w:rPr>
        <w:t>in weeks</w:t>
      </w:r>
      <w:r>
        <w:rPr>
          <w:rFonts w:ascii="Arial Narrow" w:hAnsi="Arial Narrow"/>
        </w:rPr>
        <w:t>)</w:t>
      </w:r>
      <w:r w:rsidR="00B83EBF">
        <w:rPr>
          <w:rFonts w:ascii="Arial Narrow" w:hAnsi="Arial Narrow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1</m:t>
            </m:r>
          </m:sub>
        </m:sSub>
      </m:oMath>
      <w:r>
        <w:rPr>
          <w:rFonts w:ascii="Arial Narrow" w:eastAsiaTheme="minorEastAsia" w:hAnsi="Arial Narrow"/>
          <w:color w:val="000000"/>
          <w:sz w:val="24"/>
          <w:szCs w:val="24"/>
        </w:rPr>
        <w:t xml:space="preserve"> </w:t>
      </w:r>
      <w:r w:rsidRPr="00C11FA5">
        <w:rPr>
          <w:rFonts w:ascii="Arial Narrow" w:eastAsiaTheme="minorEastAsia" w:hAnsi="Arial Narrow"/>
          <w:color w:val="000000"/>
        </w:rPr>
        <w:t>is the intercept</w:t>
      </w:r>
      <w:r w:rsidR="007369C4" w:rsidRPr="00C11FA5">
        <w:rPr>
          <w:rFonts w:ascii="Arial Narrow" w:eastAsiaTheme="minorEastAsia" w:hAnsi="Arial Narrow"/>
          <w:color w:val="000000"/>
        </w:rPr>
        <w:t xml:space="preserve"> change</w:t>
      </w:r>
      <w:r w:rsidRPr="00C11FA5">
        <w:rPr>
          <w:rFonts w:ascii="Arial Narrow" w:eastAsiaTheme="minorEastAsia" w:hAnsi="Arial Narrow"/>
          <w:color w:val="000000"/>
        </w:rPr>
        <w:t xml:space="preserve"> that represents the </w:t>
      </w:r>
      <w:r w:rsidR="005D5AD0">
        <w:rPr>
          <w:rFonts w:ascii="Arial Narrow" w:eastAsiaTheme="minorEastAsia" w:hAnsi="Arial Narrow"/>
          <w:color w:val="000000"/>
        </w:rPr>
        <w:t>immediate</w:t>
      </w:r>
      <w:r w:rsidRPr="00C11FA5">
        <w:rPr>
          <w:rFonts w:ascii="Arial Narrow" w:eastAsiaTheme="minorEastAsia" w:hAnsi="Arial Narrow"/>
          <w:color w:val="000000"/>
        </w:rPr>
        <w:t xml:space="preserve"> change at lockdown,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β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2</m:t>
            </m:r>
          </m:sub>
        </m:sSub>
      </m:oMath>
      <w:r w:rsidRPr="00C11FA5">
        <w:rPr>
          <w:rFonts w:ascii="Arial Narrow" w:eastAsiaTheme="minorEastAsia" w:hAnsi="Arial Narrow"/>
          <w:color w:val="000000"/>
        </w:rPr>
        <w:t xml:space="preserve"> is the before-lockdown slope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β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3</m:t>
            </m:r>
          </m:sub>
        </m:sSub>
      </m:oMath>
      <w:r w:rsidRPr="00C11FA5">
        <w:rPr>
          <w:rFonts w:ascii="Arial Narrow" w:eastAsiaTheme="minorEastAsia" w:hAnsi="Arial Narrow"/>
          <w:color w:val="000000"/>
        </w:rPr>
        <w:t xml:space="preserve"> is the after-lockdown slope, and the outcome is expected to have a Poisson distribution.</w:t>
      </w:r>
      <w:r w:rsidR="00BB78DE" w:rsidRPr="00C11FA5">
        <w:rPr>
          <w:rFonts w:ascii="Arial Narrow" w:eastAsiaTheme="minorEastAsia" w:hAnsi="Arial Narrow"/>
          <w:color w:val="000000"/>
        </w:rPr>
        <w:t xml:space="preserve"> Since the latter</w:t>
      </w:r>
      <w:r w:rsidRPr="00C11FA5">
        <w:rPr>
          <w:rFonts w:ascii="Arial Narrow" w:eastAsiaTheme="minorEastAsia" w:hAnsi="Arial Narrow"/>
          <w:color w:val="000000"/>
        </w:rPr>
        <w:t xml:space="preserve"> assumption was not achieved, we included a Pearson X2-based dispersion parameter to adjust for overdispersion. </w:t>
      </w:r>
      <w:r w:rsidR="000171C6" w:rsidRPr="00C11FA5">
        <w:rPr>
          <w:rFonts w:ascii="Arial Narrow" w:eastAsiaTheme="minorEastAsia" w:hAnsi="Arial Narrow"/>
          <w:color w:val="000000"/>
        </w:rPr>
        <w:t>We also included Fourier terms (cos(2 * degrees * pi / 180), sin(2 * degrees * pi / 180)) to each slope to adjust for seasonality and autocorrelation.</w:t>
      </w:r>
    </w:p>
    <w:p w14:paraId="7EB6E05D" w14:textId="44DA8FEA" w:rsidR="00B83EBF" w:rsidRPr="00C11FA5" w:rsidRDefault="00651F3D" w:rsidP="0078045D">
      <w:pPr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For Table 1 </w:t>
      </w:r>
      <w:r w:rsidR="00AC1474">
        <w:rPr>
          <w:rFonts w:ascii="Arial Narrow" w:eastAsiaTheme="minorEastAsia" w:hAnsi="Arial Narrow"/>
          <w:color w:val="000000"/>
        </w:rPr>
        <w:t>(</w:t>
      </w:r>
      <w:r>
        <w:rPr>
          <w:rFonts w:ascii="Arial Narrow" w:eastAsiaTheme="minorEastAsia" w:hAnsi="Arial Narrow"/>
          <w:color w:val="000000"/>
        </w:rPr>
        <w:t>in the article</w:t>
      </w:r>
      <w:r w:rsidR="00AC1474">
        <w:rPr>
          <w:rFonts w:ascii="Arial Narrow" w:eastAsiaTheme="minorEastAsia" w:hAnsi="Arial Narrow"/>
          <w:color w:val="000000"/>
        </w:rPr>
        <w:t>)</w:t>
      </w:r>
      <w:r>
        <w:rPr>
          <w:rFonts w:ascii="Arial Narrow" w:eastAsiaTheme="minorEastAsia" w:hAnsi="Arial Narrow"/>
          <w:color w:val="000000"/>
        </w:rPr>
        <w:t xml:space="preserve">, </w:t>
      </w:r>
      <w:r w:rsidR="00F24770">
        <w:rPr>
          <w:rFonts w:ascii="Arial Narrow" w:eastAsiaTheme="minorEastAsia" w:hAnsi="Arial Narrow"/>
          <w:color w:val="000000"/>
        </w:rPr>
        <w:t>the relative change</w:t>
      </w:r>
      <w:r w:rsidR="00710E6A">
        <w:rPr>
          <w:rFonts w:ascii="Arial Narrow" w:eastAsiaTheme="minorEastAsia" w:hAnsi="Arial Narrow"/>
          <w:color w:val="000000"/>
        </w:rPr>
        <w:t xml:space="preserve"> </w:t>
      </w:r>
      <w:r w:rsidR="00F10B34">
        <w:rPr>
          <w:rFonts w:ascii="Arial Narrow" w:eastAsiaTheme="minorEastAsia" w:hAnsi="Arial Narrow"/>
          <w:color w:val="000000"/>
        </w:rPr>
        <w:t>(</w:t>
      </w:r>
      <w:r w:rsidR="00F24770">
        <w:rPr>
          <w:rFonts w:ascii="Arial Narrow" w:eastAsiaTheme="minorEastAsia" w:hAnsi="Arial Narrow"/>
          <w:color w:val="000000"/>
        </w:rPr>
        <w:t>RC</w:t>
      </w:r>
      <w:r w:rsidR="00F10B34">
        <w:rPr>
          <w:rFonts w:ascii="Arial Narrow" w:eastAsiaTheme="minorEastAsia" w:hAnsi="Arial Narrow"/>
          <w:color w:val="000000"/>
        </w:rPr>
        <w:t xml:space="preserve">) </w:t>
      </w:r>
      <w:r w:rsidR="00F24770">
        <w:rPr>
          <w:rFonts w:ascii="Arial Narrow" w:eastAsiaTheme="minorEastAsia" w:hAnsi="Arial Narrow"/>
          <w:color w:val="000000"/>
        </w:rPr>
        <w:t>is</w:t>
      </w:r>
      <w:r w:rsidR="00710E6A">
        <w:rPr>
          <w:rFonts w:ascii="Arial Narrow" w:eastAsiaTheme="minorEastAsia" w:hAnsi="Arial Narrow"/>
          <w:color w:val="000000"/>
        </w:rPr>
        <w:t xml:space="preserve"> </w:t>
      </w:r>
      <w:r w:rsidR="00DD0E01">
        <w:rPr>
          <w:rFonts w:ascii="Arial Narrow" w:eastAsiaTheme="minorEastAsia" w:hAnsi="Arial Narrow"/>
          <w:color w:val="000000"/>
        </w:rPr>
        <w:t>calculated as</w:t>
      </w:r>
      <w:r w:rsidR="00710E6A">
        <w:rPr>
          <w:rFonts w:ascii="Arial Narrow" w:eastAsiaTheme="minorEastAsia" w:hAnsi="Arial Narrow"/>
          <w:color w:val="000000"/>
        </w:rPr>
        <w:t xml:space="preserve"> e</w:t>
      </w:r>
      <w:r w:rsidR="00710E6A">
        <w:rPr>
          <w:rFonts w:ascii="Arial Narrow" w:eastAsiaTheme="minorEastAsia" w:hAnsi="Arial Narrow"/>
          <w:color w:val="000000"/>
          <w:vertAlign w:val="superscript"/>
        </w:rPr>
        <w:t>β</w:t>
      </w:r>
      <w:r w:rsidR="00CA47BC">
        <w:rPr>
          <w:rFonts w:ascii="Arial Narrow" w:eastAsiaTheme="minorEastAsia" w:hAnsi="Arial Narrow"/>
          <w:color w:val="000000"/>
          <w:vertAlign w:val="superscript"/>
        </w:rPr>
        <w:t>k</w:t>
      </w:r>
      <w:r w:rsidR="006350F5">
        <w:rPr>
          <w:rFonts w:ascii="Arial Narrow" w:eastAsiaTheme="minorEastAsia" w:hAnsi="Arial Narrow"/>
          <w:color w:val="000000"/>
        </w:rPr>
        <w:t xml:space="preserve">. </w:t>
      </w:r>
      <w:r w:rsidR="00DD0E01">
        <w:rPr>
          <w:rFonts w:ascii="Arial Narrow" w:eastAsiaTheme="minorEastAsia" w:hAnsi="Arial Narrow"/>
          <w:color w:val="000000"/>
        </w:rPr>
        <w:t xml:space="preserve">For example, </w:t>
      </w:r>
      <w:r w:rsidR="002C6881">
        <w:rPr>
          <w:rFonts w:ascii="Arial Narrow" w:eastAsiaTheme="minorEastAsia" w:hAnsi="Arial Narrow"/>
          <w:color w:val="000000"/>
        </w:rPr>
        <w:t>for the</w:t>
      </w:r>
      <w:r w:rsidR="00B10A4E">
        <w:rPr>
          <w:rFonts w:ascii="Arial Narrow" w:eastAsiaTheme="minorEastAsia" w:hAnsi="Arial Narrow"/>
          <w:color w:val="000000"/>
        </w:rPr>
        <w:t xml:space="preserve"> variable </w:t>
      </w:r>
      <w:r w:rsidR="002C6881">
        <w:rPr>
          <w:rFonts w:ascii="Arial Narrow" w:eastAsiaTheme="minorEastAsia" w:hAnsi="Arial Narrow"/>
          <w:color w:val="000000"/>
        </w:rPr>
        <w:t>“</w:t>
      </w:r>
      <w:r w:rsidR="00B10A4E">
        <w:rPr>
          <w:rFonts w:ascii="Arial Narrow" w:eastAsiaTheme="minorEastAsia" w:hAnsi="Arial Narrow"/>
          <w:color w:val="000000"/>
        </w:rPr>
        <w:t>lockdown</w:t>
      </w:r>
      <w:r w:rsidR="002C6881">
        <w:rPr>
          <w:rFonts w:ascii="Arial Narrow" w:eastAsiaTheme="minorEastAsia" w:hAnsi="Arial Narrow"/>
          <w:color w:val="000000"/>
        </w:rPr>
        <w:t>”</w:t>
      </w:r>
      <w:r w:rsidR="00B10A4E">
        <w:rPr>
          <w:rFonts w:ascii="Arial Narrow" w:eastAsiaTheme="minorEastAsia" w:hAnsi="Arial Narrow"/>
          <w:color w:val="000000"/>
        </w:rPr>
        <w:t xml:space="preserve"> in [Model 1]</w:t>
      </w:r>
      <w:r w:rsidR="009840A3">
        <w:rPr>
          <w:rFonts w:ascii="Arial Narrow" w:eastAsiaTheme="minorEastAsia" w:hAnsi="Arial Narrow"/>
          <w:color w:val="000000"/>
        </w:rPr>
        <w:t xml:space="preserve">, </w:t>
      </w:r>
      <w:r w:rsidR="00923A0D">
        <w:rPr>
          <w:rFonts w:ascii="Arial Narrow" w:eastAsiaTheme="minorEastAsia" w:hAnsi="Arial Narrow"/>
          <w:color w:val="000000"/>
        </w:rPr>
        <w:t>which represents</w:t>
      </w:r>
      <w:r w:rsidR="00923A0D" w:rsidRPr="00C11FA5">
        <w:rPr>
          <w:rFonts w:ascii="Arial Narrow" w:eastAsiaTheme="minorEastAsia" w:hAnsi="Arial Narrow"/>
          <w:color w:val="000000"/>
        </w:rPr>
        <w:t xml:space="preserve"> the </w:t>
      </w:r>
      <w:r w:rsidR="005D5AD0">
        <w:rPr>
          <w:rFonts w:ascii="Arial Narrow" w:eastAsiaTheme="minorEastAsia" w:hAnsi="Arial Narrow"/>
          <w:color w:val="000000"/>
        </w:rPr>
        <w:t>immediate</w:t>
      </w:r>
      <w:r w:rsidR="00923A0D" w:rsidRPr="00C11FA5">
        <w:rPr>
          <w:rFonts w:ascii="Arial Narrow" w:eastAsiaTheme="minorEastAsia" w:hAnsi="Arial Narrow"/>
          <w:color w:val="000000"/>
        </w:rPr>
        <w:t xml:space="preserve"> change at lockdown</w:t>
      </w:r>
      <w:r w:rsidR="009840A3">
        <w:rPr>
          <w:rFonts w:ascii="Arial Narrow" w:eastAsiaTheme="minorEastAsia" w:hAnsi="Arial Narrow"/>
          <w:color w:val="000000"/>
        </w:rPr>
        <w:t>,</w:t>
      </w:r>
      <w:r w:rsidR="002C6881">
        <w:rPr>
          <w:rFonts w:ascii="Arial Narrow" w:eastAsiaTheme="minorEastAsia" w:hAnsi="Arial Narrow"/>
          <w:color w:val="000000"/>
        </w:rPr>
        <w:t xml:space="preserve"> the </w:t>
      </w:r>
      <w:r w:rsidR="00F10B34">
        <w:rPr>
          <w:rFonts w:ascii="Arial Narrow" w:eastAsiaTheme="minorEastAsia" w:hAnsi="Arial Narrow"/>
          <w:color w:val="000000"/>
        </w:rPr>
        <w:t>R</w:t>
      </w:r>
      <w:r w:rsidR="00392A08">
        <w:rPr>
          <w:rFonts w:ascii="Arial Narrow" w:eastAsiaTheme="minorEastAsia" w:hAnsi="Arial Narrow"/>
          <w:color w:val="000000"/>
        </w:rPr>
        <w:t>C</w:t>
      </w:r>
      <w:r w:rsidR="00F10B34">
        <w:rPr>
          <w:rFonts w:ascii="Arial Narrow" w:eastAsiaTheme="minorEastAsia" w:hAnsi="Arial Narrow"/>
          <w:color w:val="000000"/>
        </w:rPr>
        <w:t xml:space="preserve"> = e</w:t>
      </w:r>
      <w:r w:rsidR="00F10B34">
        <w:rPr>
          <w:rFonts w:ascii="Arial Narrow" w:eastAsiaTheme="minorEastAsia" w:hAnsi="Arial Narrow"/>
          <w:color w:val="000000"/>
          <w:vertAlign w:val="superscript"/>
        </w:rPr>
        <w:t>β1</w:t>
      </w:r>
      <w:r w:rsidR="00B10A4E">
        <w:rPr>
          <w:rFonts w:ascii="Arial Narrow" w:eastAsiaTheme="minorEastAsia" w:hAnsi="Arial Narrow"/>
          <w:color w:val="000000"/>
        </w:rPr>
        <w:t xml:space="preserve"> </w:t>
      </w:r>
      <w:r w:rsidR="00F10B34">
        <w:rPr>
          <w:rFonts w:ascii="Arial Narrow" w:eastAsiaTheme="minorEastAsia" w:hAnsi="Arial Narrow"/>
          <w:color w:val="000000"/>
        </w:rPr>
        <w:t xml:space="preserve">= </w:t>
      </w:r>
      <w:r w:rsidR="00A4260C">
        <w:rPr>
          <w:rFonts w:ascii="Arial Narrow" w:eastAsiaTheme="minorEastAsia" w:hAnsi="Arial Narrow"/>
          <w:color w:val="000000"/>
        </w:rPr>
        <w:t>e</w:t>
      </w:r>
      <w:r w:rsidR="00A4260C" w:rsidRPr="00A4260C">
        <w:rPr>
          <w:rFonts w:ascii="Arial Narrow" w:eastAsiaTheme="minorEastAsia" w:hAnsi="Arial Narrow"/>
          <w:color w:val="000000"/>
          <w:vertAlign w:val="superscript"/>
        </w:rPr>
        <w:t>-.242</w:t>
      </w:r>
      <w:r w:rsidR="00392A08">
        <w:rPr>
          <w:rFonts w:ascii="Arial Narrow" w:eastAsiaTheme="minorEastAsia" w:hAnsi="Arial Narrow"/>
          <w:color w:val="000000"/>
          <w:vertAlign w:val="superscript"/>
        </w:rPr>
        <w:t>8</w:t>
      </w:r>
      <w:r w:rsidR="00A4260C">
        <w:rPr>
          <w:rFonts w:ascii="Arial Narrow" w:eastAsiaTheme="minorEastAsia" w:hAnsi="Arial Narrow"/>
          <w:color w:val="000000"/>
        </w:rPr>
        <w:t xml:space="preserve"> = </w:t>
      </w:r>
      <w:r w:rsidR="00370DDF">
        <w:rPr>
          <w:rFonts w:ascii="Arial Narrow" w:eastAsiaTheme="minorEastAsia" w:hAnsi="Arial Narrow"/>
          <w:color w:val="000000"/>
        </w:rPr>
        <w:t>0.7844.</w:t>
      </w:r>
      <w:r w:rsidR="00557A45">
        <w:rPr>
          <w:rFonts w:ascii="Arial Narrow" w:eastAsiaTheme="minorEastAsia" w:hAnsi="Arial Narrow"/>
          <w:color w:val="000000"/>
        </w:rPr>
        <w:t xml:space="preserve"> </w:t>
      </w:r>
      <w:r w:rsidR="00710E6A">
        <w:rPr>
          <w:rFonts w:ascii="Arial Narrow" w:eastAsiaTheme="minorEastAsia" w:hAnsi="Arial Narrow"/>
          <w:color w:val="000000"/>
        </w:rPr>
        <w:t xml:space="preserve">The </w:t>
      </w:r>
      <w:r w:rsidR="0073045C">
        <w:rPr>
          <w:rFonts w:ascii="Arial Narrow" w:eastAsiaTheme="minorEastAsia" w:hAnsi="Arial Narrow"/>
          <w:color w:val="000000"/>
        </w:rPr>
        <w:t>n</w:t>
      </w:r>
      <w:r w:rsidR="00B83EBF" w:rsidRPr="00C11FA5">
        <w:rPr>
          <w:rFonts w:ascii="Arial Narrow" w:eastAsiaTheme="minorEastAsia" w:hAnsi="Arial Narrow"/>
          <w:color w:val="000000"/>
        </w:rPr>
        <w:t xml:space="preserve">ext </w:t>
      </w:r>
      <w:r w:rsidR="00D838F9">
        <w:rPr>
          <w:rFonts w:ascii="Arial Narrow" w:eastAsiaTheme="minorEastAsia" w:hAnsi="Arial Narrow"/>
          <w:color w:val="000000"/>
        </w:rPr>
        <w:t>T</w:t>
      </w:r>
      <w:r w:rsidR="00B83EBF" w:rsidRPr="00C11FA5">
        <w:rPr>
          <w:rFonts w:ascii="Arial Narrow" w:eastAsiaTheme="minorEastAsia" w:hAnsi="Arial Narrow"/>
          <w:color w:val="000000"/>
        </w:rPr>
        <w:t xml:space="preserve">able </w:t>
      </w:r>
      <w:r w:rsidR="00D838F9">
        <w:rPr>
          <w:rFonts w:ascii="Arial Narrow" w:eastAsiaTheme="minorEastAsia" w:hAnsi="Arial Narrow"/>
          <w:color w:val="000000"/>
        </w:rPr>
        <w:t xml:space="preserve">A </w:t>
      </w:r>
      <w:r w:rsidR="00B83EBF" w:rsidRPr="00C11FA5">
        <w:rPr>
          <w:rFonts w:ascii="Arial Narrow" w:eastAsiaTheme="minorEastAsia" w:hAnsi="Arial Narrow"/>
          <w:color w:val="000000"/>
        </w:rPr>
        <w:t xml:space="preserve">shows the </w:t>
      </w:r>
      <w:r w:rsidR="00D838F9">
        <w:rPr>
          <w:rFonts w:ascii="Arial Narrow" w:eastAsiaTheme="minorEastAsia" w:hAnsi="Arial Narrow"/>
          <w:color w:val="000000"/>
        </w:rPr>
        <w:t xml:space="preserve">β </w:t>
      </w:r>
      <w:r w:rsidR="00B83EBF" w:rsidRPr="00C11FA5">
        <w:rPr>
          <w:rFonts w:ascii="Arial Narrow" w:eastAsiaTheme="minorEastAsia" w:hAnsi="Arial Narrow"/>
          <w:color w:val="000000"/>
        </w:rPr>
        <w:t xml:space="preserve">estimates for </w:t>
      </w:r>
      <w:r w:rsidR="00557A45">
        <w:rPr>
          <w:rFonts w:ascii="Arial Narrow" w:eastAsiaTheme="minorEastAsia" w:hAnsi="Arial Narrow"/>
          <w:color w:val="000000"/>
        </w:rPr>
        <w:t xml:space="preserve">both </w:t>
      </w:r>
      <w:r w:rsidR="00B83EBF" w:rsidRPr="00C11FA5">
        <w:rPr>
          <w:rFonts w:ascii="Arial Narrow" w:eastAsiaTheme="minorEastAsia" w:hAnsi="Arial Narrow"/>
          <w:color w:val="000000"/>
        </w:rPr>
        <w:t xml:space="preserve">the </w:t>
      </w:r>
      <w:r w:rsidR="00557A45">
        <w:rPr>
          <w:rFonts w:ascii="Arial Narrow" w:eastAsiaTheme="minorEastAsia" w:hAnsi="Arial Narrow"/>
          <w:color w:val="000000"/>
        </w:rPr>
        <w:t xml:space="preserve">unadjusted and </w:t>
      </w:r>
      <w:r w:rsidR="00B83EBF" w:rsidRPr="00C11FA5">
        <w:rPr>
          <w:rFonts w:ascii="Arial Narrow" w:eastAsiaTheme="minorEastAsia" w:hAnsi="Arial Narrow"/>
          <w:color w:val="000000"/>
        </w:rPr>
        <w:t>adjusted model</w:t>
      </w:r>
      <w:r w:rsidR="00557A45">
        <w:rPr>
          <w:rFonts w:ascii="Arial Narrow" w:eastAsiaTheme="minorEastAsia" w:hAnsi="Arial Narrow"/>
          <w:color w:val="000000"/>
        </w:rPr>
        <w:t>s</w:t>
      </w:r>
      <w:r w:rsidR="00B83EBF" w:rsidRPr="00C11FA5">
        <w:rPr>
          <w:rFonts w:ascii="Arial Narrow" w:eastAsiaTheme="minorEastAsia" w:hAnsi="Arial Narrow"/>
          <w:color w:val="000000"/>
        </w:rPr>
        <w:t xml:space="preserve">, accompanied with a graphical representation </w:t>
      </w:r>
      <w:r w:rsidR="00C13F72">
        <w:rPr>
          <w:rFonts w:ascii="Arial Narrow" w:eastAsiaTheme="minorEastAsia" w:hAnsi="Arial Narrow"/>
          <w:color w:val="000000"/>
        </w:rPr>
        <w:t>of the adjusted model</w:t>
      </w:r>
      <w:r w:rsidR="000457AF">
        <w:rPr>
          <w:rFonts w:ascii="Arial Narrow" w:eastAsiaTheme="minorEastAsia" w:hAnsi="Arial Narrow"/>
          <w:color w:val="000000"/>
        </w:rPr>
        <w:t xml:space="preserve"> (Figure A)</w:t>
      </w:r>
      <w:r w:rsidR="00B83EBF" w:rsidRPr="00C11FA5">
        <w:rPr>
          <w:rFonts w:ascii="Arial Narrow" w:eastAsiaTheme="minorEastAsia" w:hAnsi="Arial Narrow"/>
          <w:color w:val="000000"/>
        </w:rPr>
        <w:t xml:space="preserve">. </w:t>
      </w:r>
    </w:p>
    <w:p w14:paraId="7EB6E05E" w14:textId="77777777" w:rsidR="00B83EBF" w:rsidRPr="00B83EBF" w:rsidRDefault="00B83EBF" w:rsidP="0078045D">
      <w:pPr>
        <w:rPr>
          <w:rFonts w:ascii="Arial Narrow" w:eastAsiaTheme="minorEastAsia" w:hAnsi="Arial Narrow"/>
          <w:b/>
          <w:color w:val="000000"/>
          <w:sz w:val="24"/>
          <w:szCs w:val="24"/>
        </w:rPr>
      </w:pPr>
    </w:p>
    <w:p w14:paraId="7EB6E05F" w14:textId="3B83F107" w:rsidR="00B83EBF" w:rsidRDefault="00B83EBF" w:rsidP="0078045D">
      <w:pPr>
        <w:rPr>
          <w:rFonts w:ascii="Arial Narrow" w:eastAsiaTheme="minorEastAsia" w:hAnsi="Arial Narrow"/>
          <w:color w:val="000000"/>
          <w:sz w:val="24"/>
          <w:szCs w:val="24"/>
        </w:rPr>
      </w:pPr>
    </w:p>
    <w:p w14:paraId="7EB6E060" w14:textId="77777777" w:rsidR="0078045D" w:rsidRPr="0078045D" w:rsidRDefault="000171C6" w:rsidP="0078045D">
      <w:pPr>
        <w:rPr>
          <w:rFonts w:ascii="Arial Narrow" w:hAnsi="Arial Narrow"/>
        </w:rPr>
      </w:pPr>
      <w:r>
        <w:rPr>
          <w:rFonts w:ascii="Arial Narrow" w:eastAsiaTheme="minorEastAsia" w:hAnsi="Arial Narrow"/>
          <w:color w:val="000000"/>
          <w:sz w:val="24"/>
          <w:szCs w:val="24"/>
        </w:rPr>
        <w:t xml:space="preserve"> </w:t>
      </w:r>
    </w:p>
    <w:p w14:paraId="7EB6E061" w14:textId="77777777" w:rsidR="00B83EBF" w:rsidRDefault="00B83EBF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7EB6E062" w14:textId="77777777" w:rsidR="00B83EBF" w:rsidRDefault="00B83EBF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7EB6E063" w14:textId="77777777" w:rsidR="00B83EBF" w:rsidRDefault="00B83EBF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068" w:type="dxa"/>
        <w:tblLook w:val="04A0" w:firstRow="1" w:lastRow="0" w:firstColumn="1" w:lastColumn="0" w:noHBand="0" w:noVBand="1"/>
      </w:tblPr>
      <w:tblGrid>
        <w:gridCol w:w="2412"/>
        <w:gridCol w:w="802"/>
        <w:gridCol w:w="1706"/>
        <w:gridCol w:w="809"/>
        <w:gridCol w:w="802"/>
        <w:gridCol w:w="1726"/>
        <w:gridCol w:w="811"/>
      </w:tblGrid>
      <w:tr w:rsidR="002921AD" w:rsidRPr="002921AD" w14:paraId="299697CF" w14:textId="77777777" w:rsidTr="002921AD">
        <w:trPr>
          <w:trHeight w:val="376"/>
        </w:trPr>
        <w:tc>
          <w:tcPr>
            <w:tcW w:w="90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26DAF" w14:textId="1E7A62BD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Table A. Interrupted time series estimates for the effect of lockdown on psychiatric presentations (on a </w:t>
            </w:r>
            <w:r w:rsidRPr="002921A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weekly</w:t>
            </w: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basis) with </w:t>
            </w:r>
            <w:r w:rsidRPr="002921A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Model 1</w:t>
            </w: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921AD" w:rsidRPr="002921AD" w14:paraId="472E5CD6" w14:textId="77777777" w:rsidTr="002921AD">
        <w:trPr>
          <w:trHeight w:val="310"/>
        </w:trPr>
        <w:tc>
          <w:tcPr>
            <w:tcW w:w="24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AB3BF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Model variable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6E2A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Unadjusted*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3541E8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Adjusted**</w:t>
            </w:r>
          </w:p>
        </w:tc>
      </w:tr>
      <w:tr w:rsidR="002921AD" w:rsidRPr="002921AD" w14:paraId="56130C18" w14:textId="77777777" w:rsidTr="002921AD">
        <w:trPr>
          <w:trHeight w:val="158"/>
        </w:trPr>
        <w:tc>
          <w:tcPr>
            <w:tcW w:w="24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AC6BBC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FE03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69673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A00E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67109B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4C3C7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78F58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2921AD" w:rsidRPr="002921AD" w14:paraId="49455DDC" w14:textId="77777777" w:rsidTr="002921AD">
        <w:trPr>
          <w:trHeight w:val="158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C891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lockdown (β</w:t>
            </w:r>
            <w:r w:rsidRPr="002921A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</w:t>
            </w: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1FF7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-0.2136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36E5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(-0.3346 to -0.0925)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EC3F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B0CDF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-0.2428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994A4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(-0.3936 to -0.0920)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811F3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2921AD" w:rsidRPr="002921AD" w14:paraId="1A538641" w14:textId="77777777" w:rsidTr="002921AD">
        <w:trPr>
          <w:trHeight w:val="158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9ED0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time_before</w:t>
            </w:r>
            <w:proofErr w:type="spellEnd"/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(β</w:t>
            </w:r>
            <w:r w:rsidRPr="002921A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</w:t>
            </w: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3587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-0.0014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5D13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(-0.0033 to 0.0005)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845C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0.157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28AD4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-0.0016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48C7A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(-0.0036 to 0.0004)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CE1DA1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0.123</w:t>
            </w:r>
          </w:p>
        </w:tc>
      </w:tr>
      <w:tr w:rsidR="002921AD" w:rsidRPr="002921AD" w14:paraId="7DBA3E5D" w14:textId="77777777" w:rsidTr="002921AD">
        <w:trPr>
          <w:trHeight w:val="158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21A26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time_after</w:t>
            </w:r>
            <w:proofErr w:type="spellEnd"/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(β</w:t>
            </w:r>
            <w:r w:rsidRPr="002921A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</w:t>
            </w: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CF91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0.0060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A426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(0.0019 to 0.0101)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21AB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CA6B1F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0.0057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C617A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(0.0004 to 0.0109)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B4374C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0.033</w:t>
            </w:r>
          </w:p>
        </w:tc>
      </w:tr>
      <w:tr w:rsidR="002921AD" w:rsidRPr="002921AD" w14:paraId="7B8B1134" w14:textId="77777777" w:rsidTr="002921AD">
        <w:trPr>
          <w:trHeight w:val="149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7B3B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sine_term_1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739A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CDD0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6992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84EB0A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-0.0586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9D924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(-0.1043 to -0.0128)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4C133E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0.012</w:t>
            </w:r>
          </w:p>
        </w:tc>
      </w:tr>
      <w:tr w:rsidR="002921AD" w:rsidRPr="002921AD" w14:paraId="14B66625" w14:textId="77777777" w:rsidTr="002921AD">
        <w:trPr>
          <w:trHeight w:val="149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F65F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sine_term_2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655D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8C3C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9F68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C28CE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0.0086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464060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(-0.0291 to 0.0463)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207F09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0.654</w:t>
            </w:r>
          </w:p>
        </w:tc>
      </w:tr>
      <w:tr w:rsidR="002921AD" w:rsidRPr="002921AD" w14:paraId="7EC2A4C4" w14:textId="77777777" w:rsidTr="002921AD">
        <w:trPr>
          <w:trHeight w:val="149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662B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cosine_term_1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5976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D58A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E885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A2AE8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-0.0705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7CD209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(-0.1166 to -0.0244)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926F40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0.003</w:t>
            </w:r>
          </w:p>
        </w:tc>
      </w:tr>
      <w:tr w:rsidR="002921AD" w:rsidRPr="002921AD" w14:paraId="294B4766" w14:textId="77777777" w:rsidTr="002921AD">
        <w:trPr>
          <w:trHeight w:val="149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EE17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cosine_term_2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97A2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134B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FE3C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552368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-0.0093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3C1DEF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(-0.0476 to 0.0289)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550270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0.632</w:t>
            </w:r>
          </w:p>
        </w:tc>
      </w:tr>
      <w:tr w:rsidR="002921AD" w:rsidRPr="002921AD" w14:paraId="2D680A8B" w14:textId="77777777" w:rsidTr="002921AD">
        <w:trPr>
          <w:trHeight w:val="167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DD2F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constant (β</w:t>
            </w:r>
            <w:r w:rsidRPr="002921A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  <w:r w:rsidRPr="002921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38B5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5.2391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290E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(5.1693 to 5.3089)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EBDB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00E71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5.2601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A6F5BF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(5.1879 to 5.3323)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2E5B0F" w14:textId="77777777" w:rsidR="002921AD" w:rsidRPr="002921AD" w:rsidRDefault="002921AD" w:rsidP="002921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2921AD" w:rsidRPr="002921AD" w14:paraId="6217D687" w14:textId="77777777" w:rsidTr="002921AD">
        <w:trPr>
          <w:trHeight w:val="149"/>
        </w:trPr>
        <w:tc>
          <w:tcPr>
            <w:tcW w:w="906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4F67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>(*) Adjusted for overdispersion only. The total number of time points is 104.</w:t>
            </w:r>
          </w:p>
        </w:tc>
      </w:tr>
      <w:tr w:rsidR="002921AD" w:rsidRPr="002921AD" w14:paraId="2BA712C9" w14:textId="77777777" w:rsidTr="002921AD">
        <w:trPr>
          <w:trHeight w:val="149"/>
        </w:trPr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F2C4" w14:textId="77777777" w:rsidR="002921AD" w:rsidRPr="002921AD" w:rsidRDefault="002921AD" w:rsidP="002921A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921AD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>(**) Adjusted for overdispersion, autocorrelation and seasonality. The total number of time points is 104.</w:t>
            </w:r>
          </w:p>
        </w:tc>
      </w:tr>
    </w:tbl>
    <w:p w14:paraId="7EB6E064" w14:textId="77777777" w:rsidR="00B83EBF" w:rsidRDefault="00B83EBF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7EB6E06B" w14:textId="5FD400E1" w:rsidR="00591C18" w:rsidRDefault="00591C18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6332A030" w14:textId="6BABC262" w:rsidR="00DA683E" w:rsidRDefault="00DA683E" w:rsidP="00DB42CC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Figure</w:t>
      </w:r>
      <w:r w:rsidRPr="00B00750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A.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Graphical </w:t>
      </w:r>
      <w:r w:rsidR="00DB42CC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depict</w:t>
      </w:r>
      <w:r w:rsidR="006505E8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ion</w:t>
      </w:r>
      <w:r w:rsidR="00DB42CC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of the </w:t>
      </w:r>
      <w:r w:rsidRPr="00B00750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Interrupted time series estimates for the effect of lockdown on psychiatric presentations </w:t>
      </w:r>
      <w:r w:rsidR="002921AD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(</w:t>
      </w:r>
      <w:r w:rsidRPr="00B00750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on a </w:t>
      </w:r>
      <w:r w:rsidRPr="00B00750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weekly</w:t>
      </w:r>
      <w:r w:rsidRPr="00B00750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basis</w:t>
      </w:r>
      <w:r w:rsidR="002921AD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)</w:t>
      </w:r>
      <w:r w:rsidR="00660C42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with </w:t>
      </w:r>
      <w:r w:rsidR="00660C42" w:rsidRPr="00660C42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Model 1</w:t>
      </w:r>
      <w:r w:rsidRPr="00B00750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.</w:t>
      </w:r>
    </w:p>
    <w:p w14:paraId="7EB6E06C" w14:textId="4E98DC6C" w:rsidR="00B83EBF" w:rsidRDefault="00E90695" w:rsidP="00B00750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90695">
        <w:rPr>
          <w:rFonts w:ascii="Arial Narrow" w:hAnsi="Arial Narrow"/>
          <w:noProof/>
          <w:color w:val="000000" w:themeColor="text1"/>
          <w:sz w:val="24"/>
          <w:szCs w:val="24"/>
        </w:rPr>
        <w:drawing>
          <wp:inline distT="0" distB="0" distL="0" distR="0" wp14:anchorId="64F802BA" wp14:editId="29CD934E">
            <wp:extent cx="5026660" cy="3657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E06D" w14:textId="77777777" w:rsidR="00B83EBF" w:rsidRDefault="00B83EBF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7EB6E079" w14:textId="77777777" w:rsidR="007369C4" w:rsidRDefault="007369C4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7EB6E07A" w14:textId="77777777" w:rsidR="00A977A6" w:rsidRDefault="00A977A6">
      <w:pPr>
        <w:rPr>
          <w:rFonts w:ascii="Arial Narrow" w:eastAsiaTheme="majorEastAsia" w:hAnsi="Arial Narrow" w:cstheme="majorBidi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br w:type="page"/>
      </w:r>
    </w:p>
    <w:p w14:paraId="7EB6E07B" w14:textId="7E604026" w:rsidR="0078045D" w:rsidRPr="00684268" w:rsidRDefault="0078045D" w:rsidP="0078045D">
      <w:pPr>
        <w:pStyle w:val="Heading1"/>
        <w:numPr>
          <w:ilvl w:val="0"/>
          <w:numId w:val="1"/>
        </w:numPr>
        <w:tabs>
          <w:tab w:val="left" w:pos="284"/>
        </w:tabs>
        <w:ind w:left="0" w:hanging="11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2" w:name="_Toc70701425"/>
      <w:r w:rsidRPr="00684268"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 xml:space="preserve">Alternative impact model for psychiatric </w:t>
      </w:r>
      <w:r w:rsidR="000B0AD6">
        <w:rPr>
          <w:rFonts w:ascii="Arial Narrow" w:hAnsi="Arial Narrow"/>
          <w:b/>
          <w:color w:val="000000" w:themeColor="text1"/>
          <w:sz w:val="24"/>
          <w:szCs w:val="24"/>
        </w:rPr>
        <w:t>presentation</w:t>
      </w:r>
      <w:r w:rsidRPr="00684268"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bookmarkEnd w:id="2"/>
    </w:p>
    <w:p w14:paraId="7EB6E07C" w14:textId="77777777" w:rsidR="00684268" w:rsidRDefault="00684268" w:rsidP="00684268"/>
    <w:p w14:paraId="7EB6E07D" w14:textId="44C032C2" w:rsidR="00684268" w:rsidRDefault="000B1538" w:rsidP="0068426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This is the sensitivity analysis referred </w:t>
      </w:r>
      <w:r w:rsidR="0073045C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 xml:space="preserve">in the article. </w:t>
      </w:r>
      <w:r w:rsidR="00926BCA">
        <w:rPr>
          <w:rFonts w:ascii="Arial Narrow" w:hAnsi="Arial Narrow"/>
        </w:rPr>
        <w:t>A</w:t>
      </w:r>
      <w:r w:rsidR="00926BCA" w:rsidRPr="00926BCA">
        <w:rPr>
          <w:rFonts w:ascii="Arial Narrow" w:hAnsi="Arial Narrow"/>
        </w:rPr>
        <w:t xml:space="preserve"> feasible </w:t>
      </w:r>
      <w:r w:rsidR="00926BCA">
        <w:rPr>
          <w:rFonts w:ascii="Arial Narrow" w:hAnsi="Arial Narrow"/>
        </w:rPr>
        <w:t>alternative model is one describing a gradual c</w:t>
      </w:r>
      <w:r w:rsidR="00BB78DE">
        <w:rPr>
          <w:rFonts w:ascii="Arial Narrow" w:hAnsi="Arial Narrow"/>
        </w:rPr>
        <w:t>hange after lockdown instead of an</w:t>
      </w:r>
      <w:r w:rsidR="00926BCA">
        <w:rPr>
          <w:rFonts w:ascii="Arial Narrow" w:hAnsi="Arial Narrow"/>
        </w:rPr>
        <w:t xml:space="preserve"> </w:t>
      </w:r>
      <w:r w:rsidR="004F752A">
        <w:rPr>
          <w:rFonts w:ascii="Arial Narrow" w:hAnsi="Arial Narrow"/>
        </w:rPr>
        <w:t>immediate</w:t>
      </w:r>
      <w:r w:rsidR="00926BCA">
        <w:rPr>
          <w:rFonts w:ascii="Arial Narrow" w:hAnsi="Arial Narrow"/>
        </w:rPr>
        <w:t xml:space="preserve"> change:</w:t>
      </w:r>
    </w:p>
    <w:p w14:paraId="7EB6E07E" w14:textId="77777777" w:rsidR="00926BCA" w:rsidRDefault="007369C4" w:rsidP="007369C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[Model 2]</w:t>
      </w:r>
    </w:p>
    <w:p w14:paraId="7EB6E07F" w14:textId="6522A61A" w:rsidR="007369C4" w:rsidRDefault="0001553C" w:rsidP="007369C4">
      <w:pPr>
        <w:rPr>
          <w:rFonts w:ascii="Arial Narrow" w:hAnsi="Arial Narr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log⁡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 xml:space="preserve">)=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time_before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time_after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ℇ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i</m:t>
              </m:r>
            </m:sub>
          </m:sSub>
        </m:oMath>
      </m:oMathPara>
    </w:p>
    <w:p w14:paraId="7EB6E080" w14:textId="77777777" w:rsidR="00926BCA" w:rsidRDefault="00926BCA" w:rsidP="00926BCA">
      <w:pPr>
        <w:rPr>
          <w:rFonts w:ascii="Arial Narrow" w:hAnsi="Arial Narrow"/>
        </w:rPr>
      </w:pPr>
    </w:p>
    <w:p w14:paraId="7EB6E081" w14:textId="4B5F86BA" w:rsidR="00926BCA" w:rsidRPr="00C11FA5" w:rsidRDefault="00926BCA" w:rsidP="00926BCA">
      <w:pPr>
        <w:rPr>
          <w:rFonts w:ascii="Arial Narrow" w:eastAsiaTheme="minorEastAsia" w:hAnsi="Arial Narrow"/>
          <w:color w:val="000000"/>
        </w:rPr>
      </w:pPr>
      <w:r w:rsidRPr="00865736">
        <w:rPr>
          <w:rFonts w:ascii="Arial Narrow" w:hAnsi="Arial Narrow"/>
        </w:rPr>
        <w:t xml:space="preserve">where </w:t>
      </w:r>
      <w:proofErr w:type="spellStart"/>
      <w:r w:rsidRPr="00865736">
        <w:rPr>
          <w:rFonts w:ascii="Arial Narrow" w:hAnsi="Arial Narrow"/>
          <w:i/>
        </w:rPr>
        <w:t>i</w:t>
      </w:r>
      <w:proofErr w:type="spellEnd"/>
      <w:r w:rsidRPr="00865736">
        <w:rPr>
          <w:rFonts w:ascii="Arial Narrow" w:hAnsi="Arial Narrow"/>
        </w:rPr>
        <w:t xml:space="preserve"> denotes the follow-up time</w:t>
      </w:r>
      <w:r>
        <w:rPr>
          <w:rFonts w:ascii="Arial Narrow" w:hAnsi="Arial Narrow"/>
        </w:rPr>
        <w:t xml:space="preserve"> (</w:t>
      </w:r>
      <w:r w:rsidRPr="00BB78DE">
        <w:rPr>
          <w:rFonts w:ascii="Arial Narrow" w:hAnsi="Arial Narrow"/>
          <w:b/>
          <w:u w:val="single"/>
        </w:rPr>
        <w:t>in weeks</w:t>
      </w:r>
      <w:r>
        <w:rPr>
          <w:rFonts w:ascii="Arial Narrow" w:hAnsi="Arial Narrow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1</m:t>
            </m:r>
          </m:sub>
        </m:sSub>
      </m:oMath>
      <w:r>
        <w:rPr>
          <w:rFonts w:ascii="Arial Narrow" w:eastAsiaTheme="minorEastAsia" w:hAnsi="Arial Narrow"/>
          <w:color w:val="000000"/>
          <w:sz w:val="24"/>
          <w:szCs w:val="24"/>
        </w:rPr>
        <w:t xml:space="preserve"> </w:t>
      </w:r>
      <w:r w:rsidRPr="00C11FA5">
        <w:rPr>
          <w:rFonts w:ascii="Arial Narrow" w:eastAsiaTheme="minorEastAsia" w:hAnsi="Arial Narrow"/>
          <w:color w:val="000000"/>
        </w:rPr>
        <w:t xml:space="preserve">is the before-lockdown slope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θ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2</m:t>
            </m:r>
          </m:sub>
        </m:sSub>
      </m:oMath>
      <w:r w:rsidRPr="00C11FA5">
        <w:rPr>
          <w:rFonts w:ascii="Arial Narrow" w:eastAsiaTheme="minorEastAsia" w:hAnsi="Arial Narrow"/>
          <w:color w:val="000000"/>
        </w:rPr>
        <w:t xml:space="preserve"> is the after-lockdown slope, and the outcome is expected to have a Poisson distribution.</w:t>
      </w:r>
      <w:r w:rsidR="00BB78DE" w:rsidRPr="00C11FA5">
        <w:rPr>
          <w:rFonts w:ascii="Arial Narrow" w:eastAsiaTheme="minorEastAsia" w:hAnsi="Arial Narrow"/>
          <w:color w:val="000000"/>
        </w:rPr>
        <w:t xml:space="preserve"> Since the latter</w:t>
      </w:r>
      <w:r w:rsidRPr="00C11FA5">
        <w:rPr>
          <w:rFonts w:ascii="Arial Narrow" w:eastAsiaTheme="minorEastAsia" w:hAnsi="Arial Narrow"/>
          <w:color w:val="000000"/>
        </w:rPr>
        <w:t xml:space="preserve"> assumption was not achieved, we included a Pearson X2-based dispersion parameter to adjust for overdispersion. We also included Fourier terms (cos(2 * degrees * pi / 180), sin(2 * degrees * pi / 180)) to each slope to adjust for seasonality and autocorrelation.</w:t>
      </w:r>
    </w:p>
    <w:p w14:paraId="7EB6E082" w14:textId="6DCE679F" w:rsidR="00926BCA" w:rsidRDefault="0073045C" w:rsidP="00926BCA">
      <w:pPr>
        <w:rPr>
          <w:rFonts w:ascii="Arial Narrow" w:eastAsiaTheme="minorEastAsia" w:hAnsi="Arial Narrow"/>
          <w:color w:val="000000"/>
        </w:rPr>
      </w:pPr>
      <w:r>
        <w:rPr>
          <w:rFonts w:ascii="Arial Narrow" w:eastAsiaTheme="minorEastAsia" w:hAnsi="Arial Narrow"/>
          <w:color w:val="000000"/>
        </w:rPr>
        <w:t xml:space="preserve">The </w:t>
      </w:r>
      <w:r w:rsidR="00533979">
        <w:rPr>
          <w:rFonts w:ascii="Arial Narrow" w:eastAsiaTheme="minorEastAsia" w:hAnsi="Arial Narrow"/>
          <w:color w:val="000000"/>
        </w:rPr>
        <w:t>Table B</w:t>
      </w:r>
      <w:r w:rsidR="00926BCA" w:rsidRPr="00C11FA5">
        <w:rPr>
          <w:rFonts w:ascii="Arial Narrow" w:eastAsiaTheme="minorEastAsia" w:hAnsi="Arial Narrow"/>
          <w:color w:val="000000"/>
        </w:rPr>
        <w:t xml:space="preserve"> shows the estimates for the adjusted model</w:t>
      </w:r>
      <w:r w:rsidR="007369C4" w:rsidRPr="00C11FA5">
        <w:rPr>
          <w:rFonts w:ascii="Arial Narrow" w:eastAsiaTheme="minorEastAsia" w:hAnsi="Arial Narrow"/>
          <w:color w:val="000000"/>
        </w:rPr>
        <w:t>:</w:t>
      </w:r>
      <w:r w:rsidR="00926BCA" w:rsidRPr="00C11FA5">
        <w:rPr>
          <w:rFonts w:ascii="Arial Narrow" w:eastAsiaTheme="minorEastAsia" w:hAnsi="Arial Narrow"/>
          <w:color w:val="000000"/>
        </w:rPr>
        <w:t xml:space="preserve"> </w:t>
      </w:r>
    </w:p>
    <w:p w14:paraId="226A3586" w14:textId="77777777" w:rsidR="00846645" w:rsidRDefault="00846645" w:rsidP="00926BCA">
      <w:pPr>
        <w:rPr>
          <w:rFonts w:ascii="Arial Narrow" w:eastAsiaTheme="minorEastAsia" w:hAnsi="Arial Narrow"/>
          <w:color w:val="000000"/>
        </w:rPr>
      </w:pPr>
    </w:p>
    <w:tbl>
      <w:tblPr>
        <w:tblW w:w="9036" w:type="dxa"/>
        <w:tblLook w:val="04A0" w:firstRow="1" w:lastRow="0" w:firstColumn="1" w:lastColumn="0" w:noHBand="0" w:noVBand="1"/>
      </w:tblPr>
      <w:tblGrid>
        <w:gridCol w:w="2428"/>
        <w:gridCol w:w="801"/>
        <w:gridCol w:w="1657"/>
        <w:gridCol w:w="808"/>
        <w:gridCol w:w="801"/>
        <w:gridCol w:w="1732"/>
        <w:gridCol w:w="809"/>
      </w:tblGrid>
      <w:tr w:rsidR="00846645" w:rsidRPr="00846645" w14:paraId="65DB3C75" w14:textId="77777777" w:rsidTr="00846645">
        <w:trPr>
          <w:trHeight w:val="424"/>
        </w:trPr>
        <w:tc>
          <w:tcPr>
            <w:tcW w:w="90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87988" w14:textId="3D83367E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Table B. Interrupted time series estimates for the effect of lockdown on psychiatric presentations (on a </w:t>
            </w:r>
            <w:r w:rsidRPr="0084664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weekly</w:t>
            </w: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basis) with </w:t>
            </w:r>
            <w:r w:rsidRPr="0084664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Model 2</w:t>
            </w: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46645" w:rsidRPr="00846645" w14:paraId="40792C47" w14:textId="77777777" w:rsidTr="00846645">
        <w:trPr>
          <w:trHeight w:val="349"/>
        </w:trPr>
        <w:tc>
          <w:tcPr>
            <w:tcW w:w="24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AB3D7B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Model variable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5D85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Unadjusted*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AA75E1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Adjusted**</w:t>
            </w:r>
          </w:p>
        </w:tc>
      </w:tr>
      <w:tr w:rsidR="00846645" w:rsidRPr="00846645" w14:paraId="27C83829" w14:textId="77777777" w:rsidTr="00846645">
        <w:trPr>
          <w:trHeight w:val="178"/>
        </w:trPr>
        <w:tc>
          <w:tcPr>
            <w:tcW w:w="24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A47D15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4793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9AE0A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9517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B27CEE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6F8DAD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9B102D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846645" w:rsidRPr="00846645" w14:paraId="13116635" w14:textId="77777777" w:rsidTr="00846645">
        <w:trPr>
          <w:trHeight w:val="17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3E02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time_before</w:t>
            </w:r>
            <w:proofErr w:type="spellEnd"/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(θ</w:t>
            </w:r>
            <w:r w:rsidRPr="0084664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</w:t>
            </w: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A6A6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-0.0031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F291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(-0.0048 to 0.0014)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6A5C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A226B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-0.0035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0711EE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(-0.0052 to 0.0018)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78DA2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846645" w:rsidRPr="00846645" w14:paraId="1865445A" w14:textId="77777777" w:rsidTr="00846645">
        <w:trPr>
          <w:trHeight w:val="17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AB761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time_after</w:t>
            </w:r>
            <w:proofErr w:type="spellEnd"/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(θ</w:t>
            </w:r>
            <w:r w:rsidRPr="0084664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</w:t>
            </w: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B996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0.0009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95EC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(-0.0021 to 0.0039)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3DE7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0.562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07F1D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-0.0013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295E36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(-0.0043 to 0.0018)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104649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0.419</w:t>
            </w:r>
          </w:p>
        </w:tc>
      </w:tr>
      <w:tr w:rsidR="00846645" w:rsidRPr="00846645" w14:paraId="05C9800C" w14:textId="77777777" w:rsidTr="00846645">
        <w:trPr>
          <w:trHeight w:val="16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DE79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sine_term_1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C77B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BFE2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00DE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70E3B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-0.0166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89AF26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(-0.0558 to 0.0227)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103BE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0.408</w:t>
            </w:r>
          </w:p>
        </w:tc>
      </w:tr>
      <w:tr w:rsidR="00846645" w:rsidRPr="00846645" w14:paraId="78A07B40" w14:textId="77777777" w:rsidTr="00846645">
        <w:trPr>
          <w:trHeight w:val="16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EEC1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sine_term_2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23E6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1AD4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FC8C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A57646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0.0149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B75F88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(-0.0431 to 0.0541)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8A0E0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0.455</w:t>
            </w:r>
          </w:p>
        </w:tc>
      </w:tr>
      <w:tr w:rsidR="00846645" w:rsidRPr="00846645" w14:paraId="0561473C" w14:textId="77777777" w:rsidTr="00846645">
        <w:trPr>
          <w:trHeight w:val="16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4A33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cosine_term_1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5B6C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105B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4FE5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1E00E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-0.1033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D4717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(-0.1470 to -0.0597)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CF435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846645" w:rsidRPr="00846645" w14:paraId="34C458CC" w14:textId="77777777" w:rsidTr="00846645">
        <w:trPr>
          <w:trHeight w:val="16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68230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cosine_term_2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70E3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7B45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F8DC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8CDE2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-0.0056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3F5F9E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(-0.0456 to 0.0345)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442ECD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0.785</w:t>
            </w:r>
          </w:p>
        </w:tc>
      </w:tr>
      <w:tr w:rsidR="00846645" w:rsidRPr="00846645" w14:paraId="4D2F3468" w14:textId="77777777" w:rsidTr="00846645">
        <w:trPr>
          <w:trHeight w:val="188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5A48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constant (θ</w:t>
            </w:r>
            <w:r w:rsidRPr="0084664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  <w:r w:rsidRPr="008466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63A1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5.2757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11D8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(5.2059 to 5.3454)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7D23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B8703E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5.3087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6F422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(5.2403 to 5.3771)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08EB3" w14:textId="77777777" w:rsidR="00846645" w:rsidRPr="00846645" w:rsidRDefault="00846645" w:rsidP="008466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846645" w:rsidRPr="00846645" w14:paraId="6ADA1E47" w14:textId="77777777" w:rsidTr="00846645">
        <w:trPr>
          <w:trHeight w:val="168"/>
        </w:trPr>
        <w:tc>
          <w:tcPr>
            <w:tcW w:w="903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4948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>(*) Adjusted for overdispersion only. The total number of time points is 104.</w:t>
            </w:r>
          </w:p>
        </w:tc>
      </w:tr>
      <w:tr w:rsidR="00846645" w:rsidRPr="00846645" w14:paraId="434ED9CD" w14:textId="77777777" w:rsidTr="00846645">
        <w:trPr>
          <w:trHeight w:val="168"/>
        </w:trPr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82CD" w14:textId="77777777" w:rsidR="00846645" w:rsidRPr="00846645" w:rsidRDefault="00846645" w:rsidP="0084664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46645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>(**) Adjusted for overdispersion, autocorrelation and seasonality. The total number of time points is 104.</w:t>
            </w:r>
          </w:p>
        </w:tc>
      </w:tr>
    </w:tbl>
    <w:p w14:paraId="576ED931" w14:textId="77777777" w:rsidR="00544A6A" w:rsidRPr="00C11FA5" w:rsidRDefault="00544A6A" w:rsidP="00926BCA">
      <w:pPr>
        <w:rPr>
          <w:rFonts w:ascii="Arial Narrow" w:eastAsiaTheme="minorEastAsia" w:hAnsi="Arial Narrow"/>
          <w:color w:val="000000"/>
        </w:rPr>
      </w:pPr>
    </w:p>
    <w:p w14:paraId="52325829" w14:textId="77777777" w:rsidR="00846645" w:rsidRDefault="00846645">
      <w:pPr>
        <w:rPr>
          <w:rFonts w:ascii="Arial Narrow" w:hAnsi="Arial Narrow"/>
          <w:color w:val="000000" w:themeColor="text1"/>
        </w:rPr>
      </w:pPr>
    </w:p>
    <w:p w14:paraId="7EB6E08F" w14:textId="09F33484" w:rsidR="007369C4" w:rsidRPr="00C11FA5" w:rsidRDefault="007369C4">
      <w:pPr>
        <w:rPr>
          <w:rFonts w:ascii="Arial Narrow" w:hAnsi="Arial Narrow"/>
          <w:color w:val="000000" w:themeColor="text1"/>
        </w:rPr>
      </w:pPr>
      <w:r w:rsidRPr="00C11FA5">
        <w:rPr>
          <w:rFonts w:ascii="Arial Narrow" w:hAnsi="Arial Narrow"/>
          <w:color w:val="000000" w:themeColor="text1"/>
        </w:rPr>
        <w:t xml:space="preserve">[Model 2] is nested in [Model 1], so we </w:t>
      </w:r>
      <w:r w:rsidR="0073045C">
        <w:rPr>
          <w:rFonts w:ascii="Arial Narrow" w:hAnsi="Arial Narrow"/>
          <w:color w:val="000000" w:themeColor="text1"/>
        </w:rPr>
        <w:t>made</w:t>
      </w:r>
      <w:r w:rsidRPr="00C11FA5">
        <w:rPr>
          <w:rFonts w:ascii="Arial Narrow" w:hAnsi="Arial Narrow"/>
          <w:color w:val="000000" w:themeColor="text1"/>
        </w:rPr>
        <w:t xml:space="preserve"> a comparison</w:t>
      </w:r>
      <w:r w:rsidR="000B1538" w:rsidRPr="00C11FA5">
        <w:rPr>
          <w:rFonts w:ascii="Arial Narrow" w:hAnsi="Arial Narrow"/>
          <w:color w:val="000000" w:themeColor="text1"/>
        </w:rPr>
        <w:t xml:space="preserve"> </w:t>
      </w:r>
      <w:r w:rsidR="002D1939">
        <w:rPr>
          <w:rFonts w:ascii="Arial Narrow" w:hAnsi="Arial Narrow"/>
          <w:color w:val="000000" w:themeColor="text1"/>
        </w:rPr>
        <w:t xml:space="preserve">of the adjusted models </w:t>
      </w:r>
      <w:r w:rsidR="000B1538" w:rsidRPr="00C11FA5">
        <w:rPr>
          <w:rFonts w:ascii="Arial Narrow" w:hAnsi="Arial Narrow"/>
          <w:color w:val="000000" w:themeColor="text1"/>
        </w:rPr>
        <w:t xml:space="preserve">based on a </w:t>
      </w:r>
      <w:r w:rsidRPr="00C11FA5">
        <w:rPr>
          <w:rFonts w:ascii="Arial Narrow" w:hAnsi="Arial Narrow"/>
          <w:color w:val="000000" w:themeColor="text1"/>
        </w:rPr>
        <w:t>likelihood</w:t>
      </w:r>
      <w:r w:rsidR="000B1538" w:rsidRPr="00C11FA5">
        <w:rPr>
          <w:rFonts w:ascii="Arial Narrow" w:hAnsi="Arial Narrow"/>
          <w:color w:val="000000" w:themeColor="text1"/>
        </w:rPr>
        <w:t>-ratio test</w:t>
      </w:r>
      <w:r w:rsidRPr="00C11FA5">
        <w:rPr>
          <w:rFonts w:ascii="Arial Narrow" w:hAnsi="Arial Narrow"/>
          <w:color w:val="000000" w:themeColor="text1"/>
        </w:rPr>
        <w:t>:</w:t>
      </w:r>
    </w:p>
    <w:p w14:paraId="7EB6E091" w14:textId="0D10E28D" w:rsidR="007369C4" w:rsidRDefault="000873EC">
      <w:pPr>
        <w:rPr>
          <w:rFonts w:ascii="Arial Narrow" w:hAnsi="Arial Narrow"/>
          <w:color w:val="000000" w:themeColor="text1"/>
          <w:sz w:val="24"/>
          <w:szCs w:val="24"/>
        </w:rPr>
      </w:pPr>
      <w:r w:rsidRPr="000873EC">
        <w:rPr>
          <w:rFonts w:ascii="Arial Narrow" w:hAnsi="Arial Narrow"/>
          <w:noProof/>
          <w:color w:val="000000" w:themeColor="text1"/>
          <w:sz w:val="24"/>
          <w:szCs w:val="24"/>
        </w:rPr>
        <w:drawing>
          <wp:inline distT="0" distB="0" distL="0" distR="0" wp14:anchorId="5BF6411D" wp14:editId="40066285">
            <wp:extent cx="4177725" cy="39578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58" b="-3717"/>
                    <a:stretch/>
                  </pic:blipFill>
                  <pic:spPr bwMode="auto">
                    <a:xfrm>
                      <a:off x="0" y="0"/>
                      <a:ext cx="4332255" cy="4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6E092" w14:textId="77777777" w:rsidR="000B1538" w:rsidRDefault="000B1538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7EB6E093" w14:textId="23315408" w:rsidR="007369C4" w:rsidRPr="00C11FA5" w:rsidRDefault="007369C4">
      <w:pPr>
        <w:rPr>
          <w:rFonts w:ascii="Arial Narrow" w:hAnsi="Arial Narrow"/>
          <w:b/>
          <w:color w:val="000000" w:themeColor="text1"/>
          <w:u w:val="single"/>
        </w:rPr>
      </w:pPr>
      <w:r w:rsidRPr="00C11FA5">
        <w:rPr>
          <w:rFonts w:ascii="Arial Narrow" w:hAnsi="Arial Narrow"/>
          <w:color w:val="000000" w:themeColor="text1"/>
        </w:rPr>
        <w:t xml:space="preserve">Based on this comparison </w:t>
      </w:r>
      <w:r w:rsidRPr="00C11FA5">
        <w:rPr>
          <w:rFonts w:ascii="Arial Narrow" w:hAnsi="Arial Narrow"/>
          <w:b/>
          <w:color w:val="000000" w:themeColor="text1"/>
          <w:u w:val="single"/>
        </w:rPr>
        <w:t>we concluded [Model 1] has the best fit</w:t>
      </w:r>
      <w:r w:rsidR="00A06F55" w:rsidRPr="00A06F55">
        <w:rPr>
          <w:rFonts w:ascii="Arial Narrow" w:hAnsi="Arial Narrow"/>
          <w:bCs/>
          <w:color w:val="000000" w:themeColor="text1"/>
        </w:rPr>
        <w:t>; t</w:t>
      </w:r>
      <w:r w:rsidR="00A06F55">
        <w:rPr>
          <w:rFonts w:ascii="Arial Narrow" w:hAnsi="Arial Narrow"/>
          <w:bCs/>
          <w:color w:val="000000" w:themeColor="text1"/>
        </w:rPr>
        <w:t>h</w:t>
      </w:r>
      <w:r w:rsidR="00A06F55" w:rsidRPr="00A06F55">
        <w:rPr>
          <w:rFonts w:ascii="Arial Narrow" w:hAnsi="Arial Narrow"/>
          <w:bCs/>
          <w:color w:val="000000" w:themeColor="text1"/>
        </w:rPr>
        <w:t>us</w:t>
      </w:r>
      <w:r w:rsidR="00A06F55">
        <w:rPr>
          <w:rFonts w:ascii="Arial Narrow" w:hAnsi="Arial Narrow"/>
          <w:bCs/>
          <w:color w:val="000000" w:themeColor="text1"/>
        </w:rPr>
        <w:t>, it is the impact model reported in the article.</w:t>
      </w:r>
    </w:p>
    <w:p w14:paraId="7EB6E094" w14:textId="77777777" w:rsidR="007369C4" w:rsidRDefault="007369C4">
      <w:pPr>
        <w:rPr>
          <w:rFonts w:ascii="Arial Narrow" w:eastAsiaTheme="majorEastAsia" w:hAnsi="Arial Narrow" w:cstheme="majorBidi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</w:p>
    <w:p w14:paraId="2D856C90" w14:textId="77777777" w:rsidR="00544A6A" w:rsidRDefault="00544A6A">
      <w:pPr>
        <w:rPr>
          <w:rFonts w:ascii="Arial Narrow" w:eastAsiaTheme="majorEastAsia" w:hAnsi="Arial Narrow" w:cstheme="majorBidi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br w:type="page"/>
      </w:r>
    </w:p>
    <w:p w14:paraId="7EB6E095" w14:textId="5B69669F" w:rsidR="0078045D" w:rsidRPr="000B1538" w:rsidRDefault="0078045D" w:rsidP="0078045D">
      <w:pPr>
        <w:pStyle w:val="Heading1"/>
        <w:numPr>
          <w:ilvl w:val="0"/>
          <w:numId w:val="1"/>
        </w:numPr>
        <w:tabs>
          <w:tab w:val="left" w:pos="284"/>
        </w:tabs>
        <w:ind w:left="0" w:hanging="11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3" w:name="_Toc70701426"/>
      <w:r w:rsidRPr="000B1538"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 xml:space="preserve">ITS model for A&amp;E </w:t>
      </w:r>
      <w:r w:rsidR="000B0AD6">
        <w:rPr>
          <w:rFonts w:ascii="Arial Narrow" w:hAnsi="Arial Narrow"/>
          <w:b/>
          <w:color w:val="000000" w:themeColor="text1"/>
          <w:sz w:val="24"/>
          <w:szCs w:val="24"/>
        </w:rPr>
        <w:t>presentation</w:t>
      </w:r>
      <w:r w:rsidRPr="000B1538"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bookmarkEnd w:id="3"/>
    </w:p>
    <w:p w14:paraId="7EB6E096" w14:textId="75CEC73E" w:rsidR="000B1538" w:rsidRDefault="000B1538" w:rsidP="000B1538"/>
    <w:p w14:paraId="7EB6E097" w14:textId="42557B03" w:rsidR="000B1538" w:rsidRDefault="000B1538" w:rsidP="000B1538">
      <w:pPr>
        <w:rPr>
          <w:rFonts w:ascii="Arial Narrow" w:hAnsi="Arial Narrow"/>
        </w:rPr>
      </w:pPr>
      <w:r>
        <w:rPr>
          <w:rFonts w:ascii="Arial Narrow" w:hAnsi="Arial Narrow"/>
        </w:rPr>
        <w:t>This is the unadjusted segmented regression model for</w:t>
      </w:r>
      <w:r w:rsidRPr="000B1538">
        <w:t xml:space="preserve"> </w:t>
      </w:r>
      <w:r w:rsidRPr="000B1538">
        <w:rPr>
          <w:rFonts w:ascii="Arial Narrow" w:hAnsi="Arial Narrow"/>
        </w:rPr>
        <w:t xml:space="preserve">A&amp;E </w:t>
      </w:r>
      <w:r w:rsidR="000B0AD6">
        <w:rPr>
          <w:rFonts w:ascii="Arial Narrow" w:hAnsi="Arial Narrow"/>
        </w:rPr>
        <w:t>presentation</w:t>
      </w:r>
      <w:r>
        <w:rPr>
          <w:rFonts w:ascii="Arial Narrow" w:hAnsi="Arial Narrow"/>
        </w:rPr>
        <w:t>s:</w:t>
      </w:r>
    </w:p>
    <w:p w14:paraId="7EB6E098" w14:textId="3DD6EFF0" w:rsidR="000B1538" w:rsidRDefault="000B1538" w:rsidP="000B153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[Model 3]</w:t>
      </w:r>
    </w:p>
    <w:p w14:paraId="7EB6E099" w14:textId="0B87A5E6" w:rsidR="000B1538" w:rsidRDefault="0001553C" w:rsidP="000B1538">
      <w:pPr>
        <w:rPr>
          <w:rFonts w:ascii="Arial Narrow" w:hAnsi="Arial Narr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log⁡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 xml:space="preserve">)=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lockdown+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time_before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time_after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ℇ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i</m:t>
              </m:r>
            </m:sub>
          </m:sSub>
        </m:oMath>
      </m:oMathPara>
    </w:p>
    <w:p w14:paraId="7EB6E09A" w14:textId="77777777" w:rsidR="000B1538" w:rsidRDefault="000B1538" w:rsidP="000B1538">
      <w:pPr>
        <w:rPr>
          <w:rFonts w:ascii="Arial Narrow" w:hAnsi="Arial Narrow"/>
        </w:rPr>
      </w:pPr>
    </w:p>
    <w:p w14:paraId="7EB6E09B" w14:textId="77BF91D2" w:rsidR="000B1538" w:rsidRPr="0065213A" w:rsidRDefault="000B1538" w:rsidP="000B1538">
      <w:pPr>
        <w:rPr>
          <w:rFonts w:ascii="Arial Narrow" w:eastAsiaTheme="minorEastAsia" w:hAnsi="Arial Narrow"/>
          <w:color w:val="000000"/>
        </w:rPr>
      </w:pPr>
      <w:r w:rsidRPr="0065213A">
        <w:rPr>
          <w:rFonts w:ascii="Arial Narrow" w:hAnsi="Arial Narrow"/>
        </w:rPr>
        <w:t xml:space="preserve">where </w:t>
      </w:r>
      <w:proofErr w:type="spellStart"/>
      <w:r w:rsidRPr="0065213A">
        <w:rPr>
          <w:rFonts w:ascii="Arial Narrow" w:hAnsi="Arial Narrow"/>
          <w:i/>
        </w:rPr>
        <w:t>i</w:t>
      </w:r>
      <w:proofErr w:type="spellEnd"/>
      <w:r w:rsidRPr="0065213A">
        <w:rPr>
          <w:rFonts w:ascii="Arial Narrow" w:hAnsi="Arial Narrow"/>
        </w:rPr>
        <w:t xml:space="preserve"> denotes the follow-up time (</w:t>
      </w:r>
      <w:r w:rsidRPr="0065213A">
        <w:rPr>
          <w:rFonts w:ascii="Arial Narrow" w:hAnsi="Arial Narrow"/>
          <w:b/>
          <w:u w:val="single"/>
        </w:rPr>
        <w:t>in months</w:t>
      </w:r>
      <w:r w:rsidRPr="0065213A">
        <w:rPr>
          <w:rFonts w:ascii="Arial Narrow" w:hAnsi="Arial Narrow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α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1</m:t>
            </m:r>
          </m:sub>
        </m:sSub>
      </m:oMath>
      <w:r w:rsidRPr="0065213A">
        <w:rPr>
          <w:rFonts w:ascii="Arial Narrow" w:eastAsiaTheme="minorEastAsia" w:hAnsi="Arial Narrow"/>
          <w:color w:val="000000"/>
        </w:rPr>
        <w:t xml:space="preserve"> is the intercept change that represents the </w:t>
      </w:r>
      <w:r w:rsidR="004F752A">
        <w:rPr>
          <w:rFonts w:ascii="Arial Narrow" w:eastAsiaTheme="minorEastAsia" w:hAnsi="Arial Narrow"/>
          <w:color w:val="000000"/>
        </w:rPr>
        <w:t>immediate</w:t>
      </w:r>
      <w:r w:rsidRPr="0065213A">
        <w:rPr>
          <w:rFonts w:ascii="Arial Narrow" w:eastAsiaTheme="minorEastAsia" w:hAnsi="Arial Narrow"/>
          <w:color w:val="000000"/>
        </w:rPr>
        <w:t xml:space="preserve"> change at lockdown,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α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2</m:t>
            </m:r>
          </m:sub>
        </m:sSub>
      </m:oMath>
      <w:r w:rsidRPr="0065213A">
        <w:rPr>
          <w:rFonts w:ascii="Arial Narrow" w:eastAsiaTheme="minorEastAsia" w:hAnsi="Arial Narrow"/>
          <w:color w:val="000000"/>
        </w:rPr>
        <w:t xml:space="preserve"> is the before-lockdown slope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α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3</m:t>
            </m:r>
          </m:sub>
        </m:sSub>
      </m:oMath>
      <w:r w:rsidRPr="0065213A">
        <w:rPr>
          <w:rFonts w:ascii="Arial Narrow" w:eastAsiaTheme="minorEastAsia" w:hAnsi="Arial Narrow"/>
          <w:color w:val="000000"/>
        </w:rPr>
        <w:t xml:space="preserve"> is the after-lockdown slope, and the outcome is expected to have a Poisson distribution.</w:t>
      </w:r>
      <w:r w:rsidR="00BB78DE" w:rsidRPr="0065213A">
        <w:rPr>
          <w:rFonts w:ascii="Arial Narrow" w:eastAsiaTheme="minorEastAsia" w:hAnsi="Arial Narrow"/>
          <w:color w:val="000000"/>
        </w:rPr>
        <w:t xml:space="preserve"> Since the latter</w:t>
      </w:r>
      <w:r w:rsidRPr="0065213A">
        <w:rPr>
          <w:rFonts w:ascii="Arial Narrow" w:eastAsiaTheme="minorEastAsia" w:hAnsi="Arial Narrow"/>
          <w:color w:val="000000"/>
        </w:rPr>
        <w:t xml:space="preserve"> assumption was not achieved, we included a Pearson X2-based dispersion parameter to adjust for overdispersion. We also included Fourier terms (cos(2 * degrees * pi / 180), sin(2 * degrees * pi / 180)) to each slope to adjust for seasonality and autocorrelation.</w:t>
      </w:r>
    </w:p>
    <w:p w14:paraId="50DC07EE" w14:textId="05DEAF91" w:rsidR="00D353B8" w:rsidRDefault="00873BB2" w:rsidP="00873BB2">
      <w:pPr>
        <w:rPr>
          <w:rFonts w:ascii="Arial Narrow" w:eastAsiaTheme="minorEastAsia" w:hAnsi="Arial Narrow"/>
          <w:color w:val="000000"/>
        </w:rPr>
      </w:pPr>
      <w:r w:rsidRPr="006A0270">
        <w:rPr>
          <w:rFonts w:ascii="Arial Narrow" w:eastAsiaTheme="minorEastAsia" w:hAnsi="Arial Narrow"/>
          <w:color w:val="000000"/>
        </w:rPr>
        <w:t xml:space="preserve">For Table 1 (in the article), </w:t>
      </w:r>
      <w:r w:rsidR="00232087">
        <w:rPr>
          <w:rFonts w:ascii="Arial Narrow" w:eastAsiaTheme="minorEastAsia" w:hAnsi="Arial Narrow"/>
          <w:color w:val="000000"/>
        </w:rPr>
        <w:t xml:space="preserve">the </w:t>
      </w:r>
      <w:r w:rsidR="002456DB">
        <w:rPr>
          <w:rFonts w:ascii="Arial Narrow" w:eastAsiaTheme="minorEastAsia" w:hAnsi="Arial Narrow"/>
          <w:color w:val="000000"/>
        </w:rPr>
        <w:t>relative change</w:t>
      </w:r>
      <w:r w:rsidRPr="006A0270">
        <w:rPr>
          <w:rFonts w:ascii="Arial Narrow" w:eastAsiaTheme="minorEastAsia" w:hAnsi="Arial Narrow"/>
          <w:color w:val="000000"/>
        </w:rPr>
        <w:t xml:space="preserve"> (</w:t>
      </w:r>
      <w:r w:rsidR="00756A71">
        <w:rPr>
          <w:rFonts w:ascii="Arial Narrow" w:eastAsiaTheme="minorEastAsia" w:hAnsi="Arial Narrow"/>
          <w:color w:val="000000"/>
        </w:rPr>
        <w:t>RC</w:t>
      </w:r>
      <w:r w:rsidRPr="006A0270">
        <w:rPr>
          <w:rFonts w:ascii="Arial Narrow" w:eastAsiaTheme="minorEastAsia" w:hAnsi="Arial Narrow"/>
          <w:color w:val="000000"/>
        </w:rPr>
        <w:t xml:space="preserve">) </w:t>
      </w:r>
      <w:r w:rsidR="002456DB">
        <w:rPr>
          <w:rFonts w:ascii="Arial Narrow" w:eastAsiaTheme="minorEastAsia" w:hAnsi="Arial Narrow"/>
          <w:color w:val="000000"/>
        </w:rPr>
        <w:t>is</w:t>
      </w:r>
      <w:r w:rsidRPr="006A0270">
        <w:rPr>
          <w:rFonts w:ascii="Arial Narrow" w:eastAsiaTheme="minorEastAsia" w:hAnsi="Arial Narrow"/>
          <w:color w:val="000000"/>
        </w:rPr>
        <w:t xml:space="preserve"> calculated as e</w:t>
      </w:r>
      <w:r w:rsidRPr="006A0270">
        <w:rPr>
          <w:rFonts w:ascii="Arial Narrow" w:eastAsiaTheme="minorEastAsia" w:hAnsi="Arial Narrow"/>
          <w:color w:val="000000"/>
          <w:vertAlign w:val="superscript"/>
        </w:rPr>
        <w:t>αk</w:t>
      </w:r>
      <w:r w:rsidRPr="006A0270">
        <w:rPr>
          <w:rFonts w:ascii="Arial Narrow" w:eastAsiaTheme="minorEastAsia" w:hAnsi="Arial Narrow"/>
          <w:color w:val="000000"/>
        </w:rPr>
        <w:t xml:space="preserve">. For example, for the variable “lockdown” in [Model 3], which represents the immediate change at lockdown, the </w:t>
      </w:r>
      <w:r w:rsidR="00696A73" w:rsidRPr="006A0270">
        <w:rPr>
          <w:rFonts w:ascii="Arial Narrow" w:eastAsiaTheme="minorEastAsia" w:hAnsi="Arial Narrow"/>
          <w:color w:val="000000"/>
        </w:rPr>
        <w:t xml:space="preserve">adjusted </w:t>
      </w:r>
      <w:r w:rsidR="00FB6734">
        <w:rPr>
          <w:rFonts w:ascii="Arial Narrow" w:eastAsiaTheme="minorEastAsia" w:hAnsi="Arial Narrow"/>
          <w:color w:val="000000"/>
        </w:rPr>
        <w:t>RC</w:t>
      </w:r>
      <w:r w:rsidRPr="006A0270">
        <w:rPr>
          <w:rFonts w:ascii="Arial Narrow" w:eastAsiaTheme="minorEastAsia" w:hAnsi="Arial Narrow"/>
          <w:color w:val="000000"/>
        </w:rPr>
        <w:t xml:space="preserve"> = e</w:t>
      </w:r>
      <w:r w:rsidRPr="006A0270">
        <w:rPr>
          <w:rFonts w:ascii="Arial Narrow" w:eastAsiaTheme="minorEastAsia" w:hAnsi="Arial Narrow"/>
          <w:color w:val="000000"/>
          <w:vertAlign w:val="superscript"/>
        </w:rPr>
        <w:t>α1</w:t>
      </w:r>
      <w:r w:rsidRPr="006A0270">
        <w:rPr>
          <w:rFonts w:ascii="Arial Narrow" w:eastAsiaTheme="minorEastAsia" w:hAnsi="Arial Narrow"/>
          <w:color w:val="000000"/>
        </w:rPr>
        <w:t xml:space="preserve"> = e</w:t>
      </w:r>
      <w:r w:rsidRPr="006A0270">
        <w:rPr>
          <w:rFonts w:ascii="Arial Narrow" w:eastAsiaTheme="minorEastAsia" w:hAnsi="Arial Narrow"/>
          <w:color w:val="000000"/>
          <w:vertAlign w:val="superscript"/>
        </w:rPr>
        <w:t>-.</w:t>
      </w:r>
      <w:r w:rsidR="0008069D">
        <w:rPr>
          <w:rFonts w:ascii="Arial Narrow" w:eastAsiaTheme="minorEastAsia" w:hAnsi="Arial Narrow"/>
          <w:color w:val="000000"/>
          <w:vertAlign w:val="superscript"/>
        </w:rPr>
        <w:t>6514</w:t>
      </w:r>
      <w:r w:rsidRPr="006A0270">
        <w:rPr>
          <w:rFonts w:ascii="Arial Narrow" w:eastAsiaTheme="minorEastAsia" w:hAnsi="Arial Narrow"/>
          <w:color w:val="000000"/>
        </w:rPr>
        <w:t xml:space="preserve"> = 0.</w:t>
      </w:r>
      <w:r w:rsidR="0008069D">
        <w:rPr>
          <w:rFonts w:ascii="Arial Narrow" w:eastAsiaTheme="minorEastAsia" w:hAnsi="Arial Narrow"/>
          <w:color w:val="000000"/>
        </w:rPr>
        <w:t>52</w:t>
      </w:r>
      <w:r w:rsidRPr="006A0270">
        <w:rPr>
          <w:rFonts w:ascii="Arial Narrow" w:eastAsiaTheme="minorEastAsia" w:hAnsi="Arial Narrow"/>
          <w:color w:val="000000"/>
        </w:rPr>
        <w:t xml:space="preserve">. The next Table </w:t>
      </w:r>
      <w:r w:rsidR="0009470D" w:rsidRPr="006A0270">
        <w:rPr>
          <w:rFonts w:ascii="Arial Narrow" w:eastAsiaTheme="minorEastAsia" w:hAnsi="Arial Narrow"/>
          <w:color w:val="000000"/>
        </w:rPr>
        <w:t xml:space="preserve">C </w:t>
      </w:r>
      <w:r w:rsidRPr="006A0270">
        <w:rPr>
          <w:rFonts w:ascii="Arial Narrow" w:eastAsiaTheme="minorEastAsia" w:hAnsi="Arial Narrow"/>
          <w:color w:val="000000"/>
        </w:rPr>
        <w:t xml:space="preserve">shows the </w:t>
      </w:r>
      <w:r w:rsidR="0009470D" w:rsidRPr="006A0270">
        <w:rPr>
          <w:rFonts w:ascii="Arial Narrow" w:eastAsiaTheme="minorEastAsia" w:hAnsi="Arial Narrow"/>
          <w:color w:val="000000"/>
        </w:rPr>
        <w:t>α</w:t>
      </w:r>
      <w:r w:rsidRPr="006A0270">
        <w:rPr>
          <w:rFonts w:ascii="Arial Narrow" w:eastAsiaTheme="minorEastAsia" w:hAnsi="Arial Narrow"/>
          <w:color w:val="000000"/>
        </w:rPr>
        <w:t xml:space="preserve"> estimates for both the unadjusted and adjusted models, accompanied with a graphical representation of the adjusted model (Figure </w:t>
      </w:r>
      <w:r w:rsidR="00AE742F" w:rsidRPr="006A0270">
        <w:rPr>
          <w:rFonts w:ascii="Arial Narrow" w:eastAsiaTheme="minorEastAsia" w:hAnsi="Arial Narrow"/>
          <w:color w:val="000000"/>
        </w:rPr>
        <w:t>B</w:t>
      </w:r>
      <w:r w:rsidRPr="006A0270">
        <w:rPr>
          <w:rFonts w:ascii="Arial Narrow" w:eastAsiaTheme="minorEastAsia" w:hAnsi="Arial Narrow"/>
          <w:color w:val="000000"/>
        </w:rPr>
        <w:t>).</w:t>
      </w:r>
    </w:p>
    <w:tbl>
      <w:tblPr>
        <w:tblW w:w="9187" w:type="dxa"/>
        <w:tblLook w:val="04A0" w:firstRow="1" w:lastRow="0" w:firstColumn="1" w:lastColumn="0" w:noHBand="0" w:noVBand="1"/>
      </w:tblPr>
      <w:tblGrid>
        <w:gridCol w:w="2337"/>
        <w:gridCol w:w="887"/>
        <w:gridCol w:w="1742"/>
        <w:gridCol w:w="794"/>
        <w:gridCol w:w="887"/>
        <w:gridCol w:w="1744"/>
        <w:gridCol w:w="796"/>
      </w:tblGrid>
      <w:tr w:rsidR="00BE27CF" w:rsidRPr="00BE27CF" w14:paraId="52A97349" w14:textId="77777777" w:rsidTr="00BE27CF">
        <w:trPr>
          <w:trHeight w:val="400"/>
        </w:trPr>
        <w:tc>
          <w:tcPr>
            <w:tcW w:w="918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E8E64" w14:textId="08125730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Table C. Interrupted time series estimates for the effect of lockdown on A&amp;E presentations (</w:t>
            </w:r>
            <w:proofErr w:type="gramStart"/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on a </w:t>
            </w:r>
            <w:r w:rsidRPr="00BE27C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monthly</w:t>
            </w: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basis</w:t>
            </w:r>
            <w:proofErr w:type="gramEnd"/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) with </w:t>
            </w:r>
            <w:r w:rsidRPr="00BE27C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Model 3</w:t>
            </w: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BE27CF" w:rsidRPr="00BE27CF" w14:paraId="5FBAD6DB" w14:textId="77777777" w:rsidTr="00BE27CF">
        <w:trPr>
          <w:trHeight w:val="330"/>
        </w:trPr>
        <w:tc>
          <w:tcPr>
            <w:tcW w:w="233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89302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Model variable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8540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Unadjusted*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0B3B4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Adjusted**</w:t>
            </w:r>
          </w:p>
        </w:tc>
      </w:tr>
      <w:tr w:rsidR="00BE27CF" w:rsidRPr="00BE27CF" w14:paraId="05DE66A2" w14:textId="77777777" w:rsidTr="00BE27CF">
        <w:trPr>
          <w:trHeight w:val="167"/>
        </w:trPr>
        <w:tc>
          <w:tcPr>
            <w:tcW w:w="23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180ED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BD71F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7DA1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85A43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BB8ED6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α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63810F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AE3B5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BE27CF" w:rsidRPr="00BE27CF" w14:paraId="391D1150" w14:textId="77777777" w:rsidTr="00BE27CF">
        <w:trPr>
          <w:trHeight w:val="1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FA17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lockdown (α</w:t>
            </w:r>
            <w:r w:rsidRPr="00BE27C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</w:t>
            </w: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28C2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-0.7210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8399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(-0.9279 to -0.5142)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7EB8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290F51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-0.6514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D724A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(-0.9041 to -0.3987)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64EE1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BE27CF" w:rsidRPr="00BE27CF" w14:paraId="2D3705A3" w14:textId="77777777" w:rsidTr="00BE27CF">
        <w:trPr>
          <w:trHeight w:val="1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0268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time_before</w:t>
            </w:r>
            <w:proofErr w:type="spellEnd"/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(α</w:t>
            </w:r>
            <w:r w:rsidRPr="00BE27C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</w:t>
            </w: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092E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0.0044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E270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(-0.0072 to 0.0159)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830E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0.461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69BE8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D7FBBB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(-0.0096 to 0.0146)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E116DD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0.686</w:t>
            </w:r>
          </w:p>
        </w:tc>
      </w:tr>
      <w:tr w:rsidR="00BE27CF" w:rsidRPr="00BE27CF" w14:paraId="61845EB3" w14:textId="77777777" w:rsidTr="00BE27CF">
        <w:trPr>
          <w:trHeight w:val="1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0087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time_after</w:t>
            </w:r>
            <w:proofErr w:type="spellEnd"/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(α</w:t>
            </w:r>
            <w:r w:rsidRPr="00BE27C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</w:t>
            </w: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0B5D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0.0524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E433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(0.0213 to 0.0834)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4434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6D6A44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0.0407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27158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(0.0025 to 0.0788)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3111C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0.037</w:t>
            </w:r>
          </w:p>
        </w:tc>
      </w:tr>
      <w:tr w:rsidR="00BE27CF" w:rsidRPr="00BE27CF" w14:paraId="5FDFC29F" w14:textId="77777777" w:rsidTr="00BE27CF">
        <w:trPr>
          <w:trHeight w:val="15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D8B6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sine_term_1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963C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46A7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39C0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A66BA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0.0212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63973A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(-0.0525 to 0.0949)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AD8BFA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0.573</w:t>
            </w:r>
          </w:p>
        </w:tc>
      </w:tr>
      <w:tr w:rsidR="00BE27CF" w:rsidRPr="00BE27CF" w14:paraId="2A9FC4E4" w14:textId="77777777" w:rsidTr="00BE27CF">
        <w:trPr>
          <w:trHeight w:val="15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2E92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sine_term_2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6498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CE9E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7478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6BD6BD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0.0227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1A04E0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(-0.0360 to 0.0815)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39D4A7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0.448</w:t>
            </w:r>
          </w:p>
        </w:tc>
      </w:tr>
      <w:tr w:rsidR="00BE27CF" w:rsidRPr="00BE27CF" w14:paraId="2B765B80" w14:textId="77777777" w:rsidTr="00BE27CF">
        <w:trPr>
          <w:trHeight w:val="15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1779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cosine_term_1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6316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0C93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251D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BAED7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-0.0456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F37C3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(-0.1106 to 0.0195)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BAFC86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0.170</w:t>
            </w:r>
          </w:p>
        </w:tc>
      </w:tr>
      <w:tr w:rsidR="00BE27CF" w:rsidRPr="00BE27CF" w14:paraId="5055BB0F" w14:textId="77777777" w:rsidTr="00BE27CF">
        <w:trPr>
          <w:trHeight w:val="15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0787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cosine_term_2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B191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D454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6D64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5144C3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0.0517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79F7E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(-0.0081 to 0.1115)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E7686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0.090</w:t>
            </w:r>
          </w:p>
        </w:tc>
      </w:tr>
      <w:tr w:rsidR="00BE27CF" w:rsidRPr="00BE27CF" w14:paraId="4F86DF11" w14:textId="77777777" w:rsidTr="00BE27CF">
        <w:trPr>
          <w:trHeight w:val="17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1A20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constant (α</w:t>
            </w:r>
            <w:r w:rsidRPr="00BE27C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  <w:r w:rsidRPr="00BE27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F1C7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10.7218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2F4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(10.6157 to 10.8279)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C54D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F12EF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10.7362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62D51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(10.6267 to 10.8457)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57C1B" w14:textId="77777777" w:rsidR="00BE27CF" w:rsidRPr="00BE27CF" w:rsidRDefault="00BE27CF" w:rsidP="00BE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BE27CF" w:rsidRPr="00BE27CF" w14:paraId="1BD34154" w14:textId="77777777" w:rsidTr="00BE27CF">
        <w:trPr>
          <w:trHeight w:val="158"/>
        </w:trPr>
        <w:tc>
          <w:tcPr>
            <w:tcW w:w="918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5F0E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>(*) Adjusted for overdispersion only. The total number of time points is 24.</w:t>
            </w:r>
          </w:p>
        </w:tc>
      </w:tr>
      <w:tr w:rsidR="00BE27CF" w:rsidRPr="00BE27CF" w14:paraId="04A8BDB7" w14:textId="77777777" w:rsidTr="00BE27CF">
        <w:trPr>
          <w:trHeight w:val="158"/>
        </w:trPr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F18F" w14:textId="77777777" w:rsidR="00BE27CF" w:rsidRPr="00BE27CF" w:rsidRDefault="00BE27CF" w:rsidP="00BE27C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E27CF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en-GB"/>
              </w:rPr>
              <w:t>(**) Adjusted for overdispersion, autocorrelation and seasonality. The total number of time points is 24.</w:t>
            </w:r>
          </w:p>
        </w:tc>
      </w:tr>
    </w:tbl>
    <w:p w14:paraId="7EB6E09D" w14:textId="4D765A1C" w:rsidR="000B1538" w:rsidRDefault="000B1538" w:rsidP="000B1538"/>
    <w:p w14:paraId="506BD47D" w14:textId="5B6D83CD" w:rsidR="00D909B5" w:rsidRDefault="00EE100C" w:rsidP="009F05EE">
      <w:pPr>
        <w:jc w:val="center"/>
      </w:pPr>
      <w:r w:rsidRPr="00EE100C">
        <w:rPr>
          <w:noProof/>
        </w:rPr>
        <w:drawing>
          <wp:anchor distT="0" distB="0" distL="114300" distR="114300" simplePos="0" relativeHeight="251658240" behindDoc="0" locked="0" layoutInCell="1" allowOverlap="1" wp14:anchorId="1BE1E9DB" wp14:editId="3FDC4927">
            <wp:simplePos x="0" y="0"/>
            <wp:positionH relativeFrom="column">
              <wp:posOffset>1172845</wp:posOffset>
            </wp:positionH>
            <wp:positionV relativeFrom="paragraph">
              <wp:posOffset>404495</wp:posOffset>
            </wp:positionV>
            <wp:extent cx="3588385" cy="2611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9B5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Figure</w:t>
      </w:r>
      <w:r w:rsidR="00D909B5" w:rsidRPr="00B00750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</w:t>
      </w:r>
      <w:r w:rsidR="009F05EE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B</w:t>
      </w:r>
      <w:r w:rsidR="00D909B5" w:rsidRPr="00B00750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. </w:t>
      </w:r>
      <w:r w:rsidR="00D909B5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Graphical depiction of the </w:t>
      </w:r>
      <w:r w:rsidR="00D909B5" w:rsidRPr="00B00750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Interrupted time series estimates for the effect of lockdown </w:t>
      </w:r>
      <w:r w:rsidR="009F05EE" w:rsidRPr="00D353B8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on A&amp;E </w:t>
      </w:r>
      <w:r w:rsidR="00BE27CF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presentations</w:t>
      </w:r>
      <w:r w:rsidR="009F05EE" w:rsidRPr="00D353B8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(</w:t>
      </w:r>
      <w:proofErr w:type="gramStart"/>
      <w:r w:rsidR="009F05EE" w:rsidRPr="00D353B8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on a </w:t>
      </w:r>
      <w:r w:rsidR="009F05EE" w:rsidRPr="00D353B8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monthly</w:t>
      </w:r>
      <w:r w:rsidR="009F05EE" w:rsidRPr="00D353B8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 basis</w:t>
      </w:r>
      <w:proofErr w:type="gramEnd"/>
      <w:r w:rsidR="009F05EE" w:rsidRPr="00D353B8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 xml:space="preserve">) with </w:t>
      </w:r>
      <w:r w:rsidR="009F05EE" w:rsidRPr="00D353B8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n-GB"/>
        </w:rPr>
        <w:t>Model 3</w:t>
      </w:r>
      <w:r w:rsidR="009F05EE" w:rsidRPr="00D353B8">
        <w:rPr>
          <w:rFonts w:ascii="Arial Narrow" w:eastAsia="Times New Roman" w:hAnsi="Arial Narrow" w:cs="Calibri"/>
          <w:color w:val="000000"/>
          <w:sz w:val="20"/>
          <w:szCs w:val="20"/>
          <w:lang w:eastAsia="en-GB"/>
        </w:rPr>
        <w:t>.</w:t>
      </w:r>
    </w:p>
    <w:p w14:paraId="7EB6E0A8" w14:textId="5FF6FA8C" w:rsidR="008C54E7" w:rsidRDefault="008C54E7" w:rsidP="00A92C87">
      <w:pPr>
        <w:jc w:val="center"/>
      </w:pPr>
    </w:p>
    <w:p w14:paraId="7EB6E0A9" w14:textId="05384B85" w:rsidR="008C54E7" w:rsidRDefault="008C54E7" w:rsidP="000B1538"/>
    <w:p w14:paraId="7EB6E0AA" w14:textId="45CD0075" w:rsidR="008C54E7" w:rsidRDefault="008C54E7" w:rsidP="000B1538"/>
    <w:p w14:paraId="7EB6E0AB" w14:textId="3B3B9975" w:rsidR="008C54E7" w:rsidRDefault="008C54E7" w:rsidP="000B1538"/>
    <w:p w14:paraId="7EB6E0AC" w14:textId="2C9D7329" w:rsidR="008C54E7" w:rsidRDefault="008C54E7" w:rsidP="000B1538"/>
    <w:p w14:paraId="7EB6E0AD" w14:textId="2C31B6D5" w:rsidR="008C54E7" w:rsidRDefault="008C54E7" w:rsidP="000B1538"/>
    <w:p w14:paraId="7EB6E0AE" w14:textId="73F9844C" w:rsidR="008C54E7" w:rsidRDefault="008C54E7" w:rsidP="000B1538"/>
    <w:p w14:paraId="7EB6E0AF" w14:textId="6B4D4081" w:rsidR="008C54E7" w:rsidRDefault="008C54E7" w:rsidP="000B1538"/>
    <w:p w14:paraId="7EB6E0B0" w14:textId="77777777" w:rsidR="008C54E7" w:rsidRDefault="008C54E7" w:rsidP="000B1538"/>
    <w:p w14:paraId="7EB6E0B7" w14:textId="77777777" w:rsidR="0078045D" w:rsidRPr="00FE743F" w:rsidRDefault="00FE743F" w:rsidP="0078045D">
      <w:pPr>
        <w:pStyle w:val="Heading1"/>
        <w:numPr>
          <w:ilvl w:val="0"/>
          <w:numId w:val="1"/>
        </w:numPr>
        <w:tabs>
          <w:tab w:val="left" w:pos="284"/>
        </w:tabs>
        <w:ind w:left="0" w:hanging="11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4" w:name="_Toc70701427"/>
      <w:r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>Limitations of ITS models</w:t>
      </w:r>
      <w:bookmarkEnd w:id="4"/>
    </w:p>
    <w:p w14:paraId="7EB6E0B8" w14:textId="77777777" w:rsidR="00FE743F" w:rsidRDefault="00FE743F" w:rsidP="00FE743F"/>
    <w:p w14:paraId="7EB6E0B9" w14:textId="1444E7B4" w:rsidR="00B8223B" w:rsidRDefault="00FE743F" w:rsidP="00FE743F">
      <w:pPr>
        <w:rPr>
          <w:rFonts w:ascii="Arial Narrow" w:hAnsi="Arial Narrow"/>
        </w:rPr>
      </w:pPr>
      <w:r w:rsidRPr="00AE0A56">
        <w:rPr>
          <w:rFonts w:ascii="Arial Narrow" w:hAnsi="Arial Narrow"/>
          <w:b/>
        </w:rPr>
        <w:t>[Model 3]</w:t>
      </w:r>
      <w:r>
        <w:rPr>
          <w:rFonts w:ascii="Arial Narrow" w:hAnsi="Arial Narrow"/>
        </w:rPr>
        <w:t xml:space="preserve"> has been fit </w:t>
      </w:r>
      <w:r w:rsidR="00BD04C7">
        <w:rPr>
          <w:rFonts w:ascii="Arial Narrow" w:hAnsi="Arial Narrow"/>
        </w:rPr>
        <w:t>on</w:t>
      </w:r>
      <w:r>
        <w:rPr>
          <w:rFonts w:ascii="Arial Narrow" w:hAnsi="Arial Narrow"/>
        </w:rPr>
        <w:t xml:space="preserve"> data</w:t>
      </w:r>
      <w:r w:rsidR="00BD04C7">
        <w:rPr>
          <w:rFonts w:ascii="Arial Narrow" w:hAnsi="Arial Narrow"/>
        </w:rPr>
        <w:t xml:space="preserve"> that w</w:t>
      </w:r>
      <w:r w:rsidR="00937738">
        <w:rPr>
          <w:rFonts w:ascii="Arial Narrow" w:hAnsi="Arial Narrow"/>
        </w:rPr>
        <w:t>ere</w:t>
      </w:r>
      <w:r w:rsidR="00BD04C7">
        <w:rPr>
          <w:rFonts w:ascii="Arial Narrow" w:hAnsi="Arial Narrow"/>
        </w:rPr>
        <w:t xml:space="preserve"> available only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on a </w:t>
      </w:r>
      <w:r w:rsidRPr="00AE0A56">
        <w:rPr>
          <w:rFonts w:ascii="Arial Narrow" w:hAnsi="Arial Narrow"/>
          <w:b/>
          <w:u w:val="single"/>
        </w:rPr>
        <w:t>monthly basis</w:t>
      </w:r>
      <w:proofErr w:type="gramEnd"/>
      <w:r>
        <w:rPr>
          <w:rFonts w:ascii="Arial Narrow" w:hAnsi="Arial Narrow"/>
        </w:rPr>
        <w:t xml:space="preserve">. This limited the number of time points </w:t>
      </w:r>
      <w:r w:rsidR="00C81B94">
        <w:rPr>
          <w:rFonts w:ascii="Arial Narrow" w:hAnsi="Arial Narrow"/>
        </w:rPr>
        <w:t>modelled</w:t>
      </w:r>
      <w:r w:rsidR="000D5307">
        <w:rPr>
          <w:rFonts w:ascii="Arial Narrow" w:hAnsi="Arial Narrow"/>
        </w:rPr>
        <w:t xml:space="preserve"> (24)</w:t>
      </w:r>
      <w:r w:rsidR="00C81B94">
        <w:rPr>
          <w:rFonts w:ascii="Arial Narrow" w:hAnsi="Arial Narrow"/>
        </w:rPr>
        <w:t xml:space="preserve">, affecting </w:t>
      </w:r>
      <w:r w:rsidR="00A0680C">
        <w:rPr>
          <w:rFonts w:ascii="Arial Narrow" w:hAnsi="Arial Narrow"/>
        </w:rPr>
        <w:t xml:space="preserve">the </w:t>
      </w:r>
      <w:r w:rsidR="00C81B94">
        <w:rPr>
          <w:rFonts w:ascii="Arial Narrow" w:hAnsi="Arial Narrow"/>
        </w:rPr>
        <w:t>statistical power</w:t>
      </w:r>
      <w:r>
        <w:rPr>
          <w:rFonts w:ascii="Arial Narrow" w:hAnsi="Arial Narrow"/>
        </w:rPr>
        <w:t xml:space="preserve">. </w:t>
      </w:r>
      <w:r w:rsidR="00C254EF">
        <w:rPr>
          <w:rFonts w:ascii="Arial Narrow" w:hAnsi="Arial Narrow"/>
        </w:rPr>
        <w:t xml:space="preserve">For that reason, we take the estimates </w:t>
      </w:r>
      <w:r w:rsidR="00BD168E">
        <w:rPr>
          <w:rFonts w:ascii="Arial Narrow" w:hAnsi="Arial Narrow"/>
        </w:rPr>
        <w:t>from [Model 3] with caution.</w:t>
      </w:r>
      <w:r w:rsidR="00CD3281">
        <w:rPr>
          <w:rFonts w:ascii="Arial Narrow" w:hAnsi="Arial Narrow"/>
        </w:rPr>
        <w:t xml:space="preserve"> </w:t>
      </w:r>
      <w:r w:rsidR="005B57C6">
        <w:rPr>
          <w:rFonts w:ascii="Arial Narrow" w:hAnsi="Arial Narrow"/>
        </w:rPr>
        <w:t>A</w:t>
      </w:r>
      <w:r w:rsidR="00517364">
        <w:rPr>
          <w:rFonts w:ascii="Arial Narrow" w:hAnsi="Arial Narrow"/>
        </w:rPr>
        <w:t>dditionally, a</w:t>
      </w:r>
      <w:r>
        <w:rPr>
          <w:rFonts w:ascii="Arial Narrow" w:hAnsi="Arial Narrow"/>
        </w:rPr>
        <w:t xml:space="preserve">ny interpretation of change </w:t>
      </w:r>
      <w:r w:rsidR="005B57C6">
        <w:rPr>
          <w:rFonts w:ascii="Arial Narrow" w:hAnsi="Arial Narrow"/>
        </w:rPr>
        <w:t xml:space="preserve">from [Model 3] </w:t>
      </w:r>
      <w:r>
        <w:rPr>
          <w:rFonts w:ascii="Arial Narrow" w:hAnsi="Arial Narrow"/>
        </w:rPr>
        <w:t xml:space="preserve">should be made </w:t>
      </w:r>
      <w:proofErr w:type="gramStart"/>
      <w:r>
        <w:rPr>
          <w:rFonts w:ascii="Arial Narrow" w:hAnsi="Arial Narrow"/>
        </w:rPr>
        <w:t xml:space="preserve">on a </w:t>
      </w:r>
      <w:r w:rsidRPr="00FE743F">
        <w:rPr>
          <w:rFonts w:ascii="Arial Narrow" w:hAnsi="Arial Narrow"/>
          <w:b/>
          <w:u w:val="single"/>
        </w:rPr>
        <w:t>monthly</w:t>
      </w:r>
      <w:r>
        <w:rPr>
          <w:rFonts w:ascii="Arial Narrow" w:hAnsi="Arial Narrow"/>
        </w:rPr>
        <w:t xml:space="preserve"> basis</w:t>
      </w:r>
      <w:proofErr w:type="gramEnd"/>
      <w:r>
        <w:rPr>
          <w:rFonts w:ascii="Arial Narrow" w:hAnsi="Arial Narrow"/>
        </w:rPr>
        <w:t xml:space="preserve">, taking care that the event of interest (lockdown) occurred in a </w:t>
      </w:r>
      <w:r w:rsidRPr="00B8223B">
        <w:rPr>
          <w:rFonts w:ascii="Arial Narrow" w:hAnsi="Arial Narrow"/>
          <w:b/>
          <w:u w:val="single"/>
        </w:rPr>
        <w:t>specific day</w:t>
      </w:r>
      <w:r>
        <w:rPr>
          <w:rFonts w:ascii="Arial Narrow" w:hAnsi="Arial Narrow"/>
        </w:rPr>
        <w:t xml:space="preserve"> of the month 15</w:t>
      </w:r>
      <w:r w:rsidR="00B8223B">
        <w:rPr>
          <w:rFonts w:ascii="Arial Narrow" w:hAnsi="Arial Narrow"/>
        </w:rPr>
        <w:t xml:space="preserve">. Thus, the change reported in the next month is not strictly ‘abrupt’ in the way that each month-point reports all the </w:t>
      </w:r>
      <w:r w:rsidR="00ED2F75">
        <w:rPr>
          <w:rFonts w:ascii="Arial Narrow" w:hAnsi="Arial Narrow"/>
        </w:rPr>
        <w:t>presentation</w:t>
      </w:r>
      <w:r w:rsidR="00B8223B">
        <w:rPr>
          <w:rFonts w:ascii="Arial Narrow" w:hAnsi="Arial Narrow"/>
        </w:rPr>
        <w:t>s accumulated in that month. Having said that, [Model 3]</w:t>
      </w:r>
      <w:r>
        <w:rPr>
          <w:rFonts w:ascii="Arial Narrow" w:hAnsi="Arial Narrow"/>
        </w:rPr>
        <w:t xml:space="preserve"> </w:t>
      </w:r>
      <w:r w:rsidR="00B8223B">
        <w:rPr>
          <w:rFonts w:ascii="Arial Narrow" w:hAnsi="Arial Narrow"/>
        </w:rPr>
        <w:t xml:space="preserve">should be interpreted </w:t>
      </w:r>
      <w:r w:rsidR="00A16FD8">
        <w:rPr>
          <w:rFonts w:ascii="Arial Narrow" w:hAnsi="Arial Narrow"/>
        </w:rPr>
        <w:t xml:space="preserve">-again - </w:t>
      </w:r>
      <w:r w:rsidR="00B8223B">
        <w:rPr>
          <w:rFonts w:ascii="Arial Narrow" w:hAnsi="Arial Narrow"/>
        </w:rPr>
        <w:t>with caution.</w:t>
      </w:r>
    </w:p>
    <w:p w14:paraId="7EB6E0BA" w14:textId="58C72650" w:rsidR="00AE0A56" w:rsidRDefault="00B8223B" w:rsidP="00FE743F">
      <w:pPr>
        <w:rPr>
          <w:rFonts w:ascii="Arial Narrow" w:hAnsi="Arial Narrow"/>
        </w:rPr>
      </w:pPr>
      <w:r w:rsidRPr="00AE0A56">
        <w:rPr>
          <w:rFonts w:ascii="Arial Narrow" w:hAnsi="Arial Narrow"/>
          <w:b/>
        </w:rPr>
        <w:t>[Model 1]</w:t>
      </w:r>
      <w:r>
        <w:rPr>
          <w:rFonts w:ascii="Arial Narrow" w:hAnsi="Arial Narrow"/>
        </w:rPr>
        <w:t xml:space="preserve"> is more robust because it was fit on a </w:t>
      </w:r>
      <w:r w:rsidRPr="00AE0A56">
        <w:rPr>
          <w:rFonts w:ascii="Arial Narrow" w:hAnsi="Arial Narrow"/>
          <w:b/>
          <w:u w:val="single"/>
        </w:rPr>
        <w:t>weekly basis</w:t>
      </w:r>
      <w:r>
        <w:rPr>
          <w:rFonts w:ascii="Arial Narrow" w:hAnsi="Arial Narrow"/>
        </w:rPr>
        <w:t xml:space="preserve">. </w:t>
      </w:r>
      <w:r w:rsidR="00673553">
        <w:rPr>
          <w:rFonts w:ascii="Arial Narrow" w:hAnsi="Arial Narrow"/>
        </w:rPr>
        <w:t>For example, t</w:t>
      </w:r>
      <w:r>
        <w:rPr>
          <w:rFonts w:ascii="Arial Narrow" w:hAnsi="Arial Narrow"/>
        </w:rPr>
        <w:t>he number of data point</w:t>
      </w:r>
      <w:r w:rsidR="00BB78DE">
        <w:rPr>
          <w:rFonts w:ascii="Arial Narrow" w:hAnsi="Arial Narrow"/>
        </w:rPr>
        <w:t xml:space="preserve">s </w:t>
      </w:r>
      <w:r w:rsidR="00673553">
        <w:rPr>
          <w:rFonts w:ascii="Arial Narrow" w:hAnsi="Arial Narrow"/>
        </w:rPr>
        <w:t xml:space="preserve">(104) </w:t>
      </w:r>
      <w:r w:rsidR="00BB78DE">
        <w:rPr>
          <w:rFonts w:ascii="Arial Narrow" w:hAnsi="Arial Narrow"/>
        </w:rPr>
        <w:t>allowed</w:t>
      </w:r>
      <w:r>
        <w:rPr>
          <w:rFonts w:ascii="Arial Narrow" w:hAnsi="Arial Narrow"/>
        </w:rPr>
        <w:t xml:space="preserve"> a better approximation of the seasonality patterns to control for. The abrupt change is also more realistic since the time windows are narrower (weeks instead of </w:t>
      </w:r>
      <w:r w:rsidR="00AE0A56">
        <w:rPr>
          <w:rFonts w:ascii="Arial Narrow" w:hAnsi="Arial Narrow"/>
        </w:rPr>
        <w:t>months</w:t>
      </w:r>
      <w:r>
        <w:rPr>
          <w:rFonts w:ascii="Arial Narrow" w:hAnsi="Arial Narrow"/>
        </w:rPr>
        <w:t>)</w:t>
      </w:r>
      <w:r w:rsidR="00AE0A56">
        <w:rPr>
          <w:rFonts w:ascii="Arial Narrow" w:hAnsi="Arial Narrow"/>
        </w:rPr>
        <w:t>.</w:t>
      </w:r>
    </w:p>
    <w:p w14:paraId="7EB6E0BB" w14:textId="171009C6" w:rsidR="00FE743F" w:rsidRDefault="00AE0A56" w:rsidP="00FE743F">
      <w:pPr>
        <w:rPr>
          <w:rFonts w:ascii="Arial Narrow" w:eastAsiaTheme="minorEastAsia" w:hAnsi="Arial Narrow"/>
          <w:color w:val="000000"/>
          <w:sz w:val="24"/>
          <w:szCs w:val="24"/>
        </w:rPr>
      </w:pPr>
      <w:r>
        <w:rPr>
          <w:rFonts w:ascii="Arial Narrow" w:hAnsi="Arial Narrow"/>
        </w:rPr>
        <w:t xml:space="preserve">Based on this explanation, </w:t>
      </w:r>
      <w:r w:rsidR="00B80582">
        <w:rPr>
          <w:rFonts w:ascii="Arial Narrow" w:hAnsi="Arial Narrow"/>
        </w:rPr>
        <w:t>any</w:t>
      </w:r>
      <w:r>
        <w:rPr>
          <w:rFonts w:ascii="Arial Narrow" w:hAnsi="Arial Narrow"/>
        </w:rPr>
        <w:t xml:space="preserve"> direct comparison between [Model 1] and [</w:t>
      </w:r>
      <w:r w:rsidR="00BB78DE">
        <w:rPr>
          <w:rFonts w:ascii="Arial Narrow" w:hAnsi="Arial Narrow"/>
        </w:rPr>
        <w:t>Model 3</w:t>
      </w:r>
      <w:r>
        <w:rPr>
          <w:rFonts w:ascii="Arial Narrow" w:hAnsi="Arial Narrow"/>
        </w:rPr>
        <w:t xml:space="preserve">] is not possible. We tried to fit an alternative [Model 1] by generating monthly windows instead, but the procedure added too much noise and estimates were useless in practice. Since [Model 1] is the most robust as it is, we preferred to keep it and build our central conclusions on it. </w:t>
      </w:r>
      <w:r w:rsidR="00B8223B">
        <w:rPr>
          <w:rFonts w:ascii="Arial Narrow" w:hAnsi="Arial Narrow"/>
        </w:rPr>
        <w:t xml:space="preserve"> </w:t>
      </w:r>
      <w:r w:rsidR="00FE743F">
        <w:rPr>
          <w:rFonts w:ascii="Arial Narrow" w:hAnsi="Arial Narrow"/>
        </w:rPr>
        <w:t xml:space="preserve">  </w:t>
      </w:r>
    </w:p>
    <w:p w14:paraId="7EB6E0BC" w14:textId="77777777" w:rsidR="00FE743F" w:rsidRPr="00FE743F" w:rsidRDefault="00FE743F" w:rsidP="00FE743F"/>
    <w:p w14:paraId="7EB6E0BD" w14:textId="578B42B2" w:rsidR="0078045D" w:rsidRPr="00AE0A56" w:rsidRDefault="0078045D" w:rsidP="0078045D">
      <w:pPr>
        <w:pStyle w:val="Heading1"/>
        <w:numPr>
          <w:ilvl w:val="0"/>
          <w:numId w:val="1"/>
        </w:numPr>
        <w:tabs>
          <w:tab w:val="left" w:pos="284"/>
        </w:tabs>
        <w:ind w:left="0" w:hanging="11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5" w:name="_Toc70701428"/>
      <w:r w:rsidRPr="00AE0A56">
        <w:rPr>
          <w:rFonts w:ascii="Arial Narrow" w:hAnsi="Arial Narrow"/>
          <w:b/>
          <w:color w:val="000000" w:themeColor="text1"/>
          <w:sz w:val="24"/>
          <w:szCs w:val="24"/>
        </w:rPr>
        <w:t>Comment</w:t>
      </w:r>
      <w:r w:rsidR="006C71F8"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Pr="00AE0A56">
        <w:rPr>
          <w:rFonts w:ascii="Arial Narrow" w:hAnsi="Arial Narrow"/>
          <w:b/>
          <w:color w:val="000000" w:themeColor="text1"/>
          <w:sz w:val="24"/>
          <w:szCs w:val="24"/>
        </w:rPr>
        <w:t xml:space="preserve"> on </w:t>
      </w:r>
      <w:r w:rsidR="006C71F8">
        <w:rPr>
          <w:rFonts w:ascii="Arial Narrow" w:hAnsi="Arial Narrow"/>
          <w:b/>
          <w:color w:val="000000" w:themeColor="text1"/>
          <w:sz w:val="24"/>
          <w:szCs w:val="24"/>
        </w:rPr>
        <w:t>external validity</w:t>
      </w:r>
      <w:bookmarkEnd w:id="5"/>
    </w:p>
    <w:p w14:paraId="7EB6E0BE" w14:textId="77777777" w:rsidR="0078045D" w:rsidRDefault="0078045D">
      <w:pPr>
        <w:rPr>
          <w:rFonts w:ascii="Arial Narrow" w:hAnsi="Arial Narrow"/>
          <w:sz w:val="24"/>
          <w:szCs w:val="24"/>
        </w:rPr>
      </w:pPr>
    </w:p>
    <w:p w14:paraId="46326862" w14:textId="084849EA" w:rsidR="00FE2D33" w:rsidRDefault="008E6D82">
      <w:pPr>
        <w:rPr>
          <w:rFonts w:ascii="Arial Narrow" w:hAnsi="Arial Narrow"/>
        </w:rPr>
      </w:pPr>
      <w:r>
        <w:rPr>
          <w:rFonts w:ascii="Arial Narrow" w:hAnsi="Arial Narrow"/>
        </w:rPr>
        <w:t>Our sample is not random</w:t>
      </w:r>
      <w:r w:rsidR="006A12CE">
        <w:rPr>
          <w:rFonts w:ascii="Arial Narrow" w:hAnsi="Arial Narrow"/>
        </w:rPr>
        <w:t>; however,</w:t>
      </w:r>
      <w:r w:rsidR="00B57C53">
        <w:rPr>
          <w:rFonts w:ascii="Arial Narrow" w:hAnsi="Arial Narrow"/>
        </w:rPr>
        <w:t xml:space="preserve"> we believe it is b</w:t>
      </w:r>
      <w:r w:rsidR="00E50D6B">
        <w:rPr>
          <w:rFonts w:ascii="Arial Narrow" w:hAnsi="Arial Narrow"/>
        </w:rPr>
        <w:t>road</w:t>
      </w:r>
      <w:r w:rsidR="00B57C53">
        <w:rPr>
          <w:rFonts w:ascii="Arial Narrow" w:hAnsi="Arial Narrow"/>
        </w:rPr>
        <w:t>ly representative of London. T</w:t>
      </w:r>
      <w:r w:rsidR="00756C27">
        <w:rPr>
          <w:rFonts w:ascii="Arial Narrow" w:hAnsi="Arial Narrow"/>
        </w:rPr>
        <w:t xml:space="preserve">his assumption is directly related to the </w:t>
      </w:r>
      <w:r w:rsidR="00A71C44">
        <w:rPr>
          <w:rFonts w:ascii="Arial Narrow" w:hAnsi="Arial Narrow"/>
        </w:rPr>
        <w:t xml:space="preserve">main </w:t>
      </w:r>
      <w:r w:rsidR="00E45AE0">
        <w:rPr>
          <w:rFonts w:ascii="Arial Narrow" w:hAnsi="Arial Narrow"/>
        </w:rPr>
        <w:t xml:space="preserve">ITS </w:t>
      </w:r>
      <w:r w:rsidR="00756C27">
        <w:rPr>
          <w:rFonts w:ascii="Arial Narrow" w:hAnsi="Arial Narrow"/>
        </w:rPr>
        <w:t xml:space="preserve">impact model </w:t>
      </w:r>
      <w:r w:rsidR="007F3A9E">
        <w:rPr>
          <w:rFonts w:ascii="Arial Narrow" w:hAnsi="Arial Narrow"/>
        </w:rPr>
        <w:t xml:space="preserve">we defined </w:t>
      </w:r>
      <w:r w:rsidR="00B064A3">
        <w:rPr>
          <w:rFonts w:ascii="Arial Narrow" w:hAnsi="Arial Narrow"/>
        </w:rPr>
        <w:t>in this</w:t>
      </w:r>
      <w:r w:rsidR="00233DF4">
        <w:rPr>
          <w:rFonts w:ascii="Arial Narrow" w:hAnsi="Arial Narrow"/>
        </w:rPr>
        <w:t xml:space="preserve"> study</w:t>
      </w:r>
      <w:r w:rsidR="00B064A3">
        <w:rPr>
          <w:rFonts w:ascii="Arial Narrow" w:hAnsi="Arial Narrow"/>
        </w:rPr>
        <w:t xml:space="preserve">: </w:t>
      </w:r>
      <w:r w:rsidR="00653975">
        <w:rPr>
          <w:rFonts w:ascii="Arial Narrow" w:hAnsi="Arial Narrow"/>
        </w:rPr>
        <w:t>an immediate change after lockdown followed by a</w:t>
      </w:r>
      <w:r w:rsidR="00286EDA">
        <w:rPr>
          <w:rFonts w:ascii="Arial Narrow" w:hAnsi="Arial Narrow"/>
        </w:rPr>
        <w:t xml:space="preserve"> gradual change</w:t>
      </w:r>
      <w:r w:rsidR="00233DF4">
        <w:rPr>
          <w:rFonts w:ascii="Arial Narrow" w:hAnsi="Arial Narrow"/>
        </w:rPr>
        <w:t xml:space="preserve"> (</w:t>
      </w:r>
      <w:r w:rsidR="00B80582">
        <w:rPr>
          <w:rFonts w:ascii="Arial Narrow" w:hAnsi="Arial Narrow"/>
        </w:rPr>
        <w:t>i.e.,</w:t>
      </w:r>
      <w:r w:rsidR="00B064A3">
        <w:rPr>
          <w:rFonts w:ascii="Arial Narrow" w:hAnsi="Arial Narrow"/>
        </w:rPr>
        <w:t xml:space="preserve"> </w:t>
      </w:r>
      <w:r w:rsidR="00233DF4">
        <w:rPr>
          <w:rFonts w:ascii="Arial Narrow" w:hAnsi="Arial Narrow"/>
        </w:rPr>
        <w:t>Model</w:t>
      </w:r>
      <w:r w:rsidR="00286EDA">
        <w:rPr>
          <w:rFonts w:ascii="Arial Narrow" w:hAnsi="Arial Narrow"/>
        </w:rPr>
        <w:t>s</w:t>
      </w:r>
      <w:r w:rsidR="00233DF4">
        <w:rPr>
          <w:rFonts w:ascii="Arial Narrow" w:hAnsi="Arial Narrow"/>
        </w:rPr>
        <w:t xml:space="preserve"> 1</w:t>
      </w:r>
      <w:r w:rsidR="00B064A3">
        <w:rPr>
          <w:rFonts w:ascii="Arial Narrow" w:hAnsi="Arial Narrow"/>
        </w:rPr>
        <w:t xml:space="preserve"> and 3</w:t>
      </w:r>
      <w:r w:rsidR="00233DF4">
        <w:rPr>
          <w:rFonts w:ascii="Arial Narrow" w:hAnsi="Arial Narrow"/>
        </w:rPr>
        <w:t xml:space="preserve">). Independently, </w:t>
      </w:r>
      <w:r w:rsidR="004E71FA">
        <w:rPr>
          <w:rFonts w:ascii="Arial Narrow" w:hAnsi="Arial Narrow"/>
        </w:rPr>
        <w:t xml:space="preserve">Mansfiled </w:t>
      </w:r>
      <w:r w:rsidR="00784C7E">
        <w:rPr>
          <w:rFonts w:ascii="Arial Narrow" w:hAnsi="Arial Narrow"/>
        </w:rPr>
        <w:t>et al</w:t>
      </w:r>
      <w:r w:rsidR="00E45AE0">
        <w:rPr>
          <w:rStyle w:val="FootnoteReference"/>
          <w:rFonts w:ascii="Arial Narrow" w:hAnsi="Arial Narrow"/>
        </w:rPr>
        <w:footnoteReference w:id="1"/>
      </w:r>
      <w:r w:rsidR="00784C7E">
        <w:rPr>
          <w:rFonts w:ascii="Arial Narrow" w:hAnsi="Arial Narrow"/>
        </w:rPr>
        <w:t xml:space="preserve"> postulated and confirmed a</w:t>
      </w:r>
      <w:r w:rsidR="00E45AE0">
        <w:rPr>
          <w:rFonts w:ascii="Arial Narrow" w:hAnsi="Arial Narrow"/>
        </w:rPr>
        <w:t xml:space="preserve"> similar ITS impact model </w:t>
      </w:r>
      <w:r w:rsidR="00C42C20">
        <w:rPr>
          <w:rFonts w:ascii="Arial Narrow" w:hAnsi="Arial Narrow"/>
        </w:rPr>
        <w:t xml:space="preserve">for mental health services, </w:t>
      </w:r>
      <w:r w:rsidR="00985E23">
        <w:rPr>
          <w:rFonts w:ascii="Arial Narrow" w:hAnsi="Arial Narrow"/>
        </w:rPr>
        <w:t>analysing</w:t>
      </w:r>
      <w:r w:rsidR="005C5E8C">
        <w:rPr>
          <w:rFonts w:ascii="Arial Narrow" w:hAnsi="Arial Narrow"/>
        </w:rPr>
        <w:t xml:space="preserve"> a bigger </w:t>
      </w:r>
      <w:r w:rsidR="00E50D6B">
        <w:rPr>
          <w:rFonts w:ascii="Arial Narrow" w:hAnsi="Arial Narrow"/>
        </w:rPr>
        <w:t>sample which is broadly</w:t>
      </w:r>
      <w:r w:rsidR="00661223">
        <w:rPr>
          <w:rFonts w:ascii="Arial Narrow" w:hAnsi="Arial Narrow"/>
        </w:rPr>
        <w:t xml:space="preserve"> representative </w:t>
      </w:r>
      <w:r w:rsidR="00E50D6B">
        <w:rPr>
          <w:rFonts w:ascii="Arial Narrow" w:hAnsi="Arial Narrow"/>
        </w:rPr>
        <w:t>of</w:t>
      </w:r>
      <w:r w:rsidR="00661223">
        <w:rPr>
          <w:rFonts w:ascii="Arial Narrow" w:hAnsi="Arial Narrow"/>
        </w:rPr>
        <w:t xml:space="preserve"> the UK. </w:t>
      </w:r>
      <w:r w:rsidR="00D74BC0">
        <w:rPr>
          <w:rFonts w:ascii="Arial Narrow" w:hAnsi="Arial Narrow"/>
        </w:rPr>
        <w:t xml:space="preserve">Their findings sustain our assumptions </w:t>
      </w:r>
      <w:r w:rsidR="00A51E89">
        <w:rPr>
          <w:rFonts w:ascii="Arial Narrow" w:hAnsi="Arial Narrow"/>
        </w:rPr>
        <w:t xml:space="preserve">on the impact </w:t>
      </w:r>
      <w:r w:rsidR="000969BF">
        <w:rPr>
          <w:rFonts w:ascii="Arial Narrow" w:hAnsi="Arial Narrow"/>
        </w:rPr>
        <w:t xml:space="preserve">model itself, </w:t>
      </w:r>
      <w:r w:rsidR="00295E4F">
        <w:rPr>
          <w:rFonts w:ascii="Arial Narrow" w:hAnsi="Arial Narrow"/>
        </w:rPr>
        <w:t xml:space="preserve">as well as on the direction of the change (immediate </w:t>
      </w:r>
      <w:r w:rsidR="00ED0D2F">
        <w:rPr>
          <w:rFonts w:ascii="Arial Narrow" w:hAnsi="Arial Narrow"/>
        </w:rPr>
        <w:t>reduction followed by a slower recovery</w:t>
      </w:r>
      <w:r w:rsidR="00295E4F">
        <w:rPr>
          <w:rFonts w:ascii="Arial Narrow" w:hAnsi="Arial Narrow"/>
        </w:rPr>
        <w:t>).</w:t>
      </w:r>
      <w:r w:rsidR="000969BF">
        <w:rPr>
          <w:rFonts w:ascii="Arial Narrow" w:hAnsi="Arial Narrow"/>
        </w:rPr>
        <w:t xml:space="preserve"> </w:t>
      </w:r>
    </w:p>
    <w:p w14:paraId="7EB6E0C6" w14:textId="429E3F0D" w:rsidR="0073045C" w:rsidRDefault="00C05856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 xml:space="preserve">However, </w:t>
      </w:r>
      <w:r w:rsidR="00CC1797">
        <w:rPr>
          <w:rFonts w:ascii="Arial Narrow" w:hAnsi="Arial Narrow"/>
        </w:rPr>
        <w:t xml:space="preserve">the same assumption cannot be made on the </w:t>
      </w:r>
      <w:r w:rsidR="003F6640">
        <w:rPr>
          <w:rFonts w:ascii="Arial Narrow" w:hAnsi="Arial Narrow"/>
        </w:rPr>
        <w:t xml:space="preserve">ITS </w:t>
      </w:r>
      <w:r w:rsidR="00CC1797">
        <w:rPr>
          <w:rFonts w:ascii="Arial Narrow" w:hAnsi="Arial Narrow"/>
        </w:rPr>
        <w:t>effect size</w:t>
      </w:r>
      <w:r w:rsidR="00905B9C">
        <w:rPr>
          <w:rFonts w:ascii="Arial Narrow" w:hAnsi="Arial Narrow"/>
        </w:rPr>
        <w:t>s</w:t>
      </w:r>
      <w:r w:rsidR="008A3C86">
        <w:rPr>
          <w:rFonts w:ascii="Arial Narrow" w:hAnsi="Arial Narrow"/>
        </w:rPr>
        <w:t xml:space="preserve"> calculated </w:t>
      </w:r>
      <w:r w:rsidR="001D58CE">
        <w:rPr>
          <w:rFonts w:ascii="Arial Narrow" w:hAnsi="Arial Narrow"/>
        </w:rPr>
        <w:t xml:space="preserve">from our sample. </w:t>
      </w:r>
      <w:r w:rsidR="0095574D">
        <w:rPr>
          <w:rFonts w:ascii="Arial Narrow" w:hAnsi="Arial Narrow"/>
        </w:rPr>
        <w:t xml:space="preserve">For that reason, we have </w:t>
      </w:r>
      <w:r w:rsidR="00F652A9">
        <w:rPr>
          <w:rFonts w:ascii="Arial Narrow" w:hAnsi="Arial Narrow"/>
        </w:rPr>
        <w:t>been</w:t>
      </w:r>
      <w:r w:rsidR="0095574D">
        <w:rPr>
          <w:rFonts w:ascii="Arial Narrow" w:hAnsi="Arial Narrow"/>
        </w:rPr>
        <w:t xml:space="preserve"> conservative in our analysis</w:t>
      </w:r>
      <w:r w:rsidR="00F652A9">
        <w:rPr>
          <w:rFonts w:ascii="Arial Narrow" w:hAnsi="Arial Narrow"/>
        </w:rPr>
        <w:t xml:space="preserve">; for example, avoiding </w:t>
      </w:r>
      <w:r w:rsidR="00BC3CE6">
        <w:rPr>
          <w:rFonts w:ascii="Arial Narrow" w:hAnsi="Arial Narrow"/>
        </w:rPr>
        <w:t xml:space="preserve">silent </w:t>
      </w:r>
      <w:r w:rsidR="00181F27">
        <w:rPr>
          <w:rFonts w:ascii="Arial Narrow" w:hAnsi="Arial Narrow"/>
        </w:rPr>
        <w:t xml:space="preserve">data from the lockdown initiation period </w:t>
      </w:r>
      <w:r w:rsidR="0090146C">
        <w:rPr>
          <w:rFonts w:ascii="Arial Narrow" w:hAnsi="Arial Narrow"/>
        </w:rPr>
        <w:t xml:space="preserve">in [Model 3] </w:t>
      </w:r>
      <w:r w:rsidR="00CC6B5C">
        <w:rPr>
          <w:rFonts w:ascii="Arial Narrow" w:hAnsi="Arial Narrow"/>
        </w:rPr>
        <w:t>as Mansfield et al</w:t>
      </w:r>
      <w:r w:rsidR="00CC6B5C">
        <w:rPr>
          <w:rFonts w:ascii="Arial Narrow" w:hAnsi="Arial Narrow"/>
          <w:vertAlign w:val="superscript"/>
        </w:rPr>
        <w:t>1</w:t>
      </w:r>
      <w:r w:rsidR="00CC6B5C">
        <w:rPr>
          <w:rFonts w:ascii="Arial Narrow" w:hAnsi="Arial Narrow"/>
        </w:rPr>
        <w:t xml:space="preserve"> did properly </w:t>
      </w:r>
      <w:r w:rsidR="00864EA9">
        <w:rPr>
          <w:rFonts w:ascii="Arial Narrow" w:hAnsi="Arial Narrow"/>
        </w:rPr>
        <w:t xml:space="preserve">in their own bigger </w:t>
      </w:r>
      <w:r w:rsidR="00494837">
        <w:rPr>
          <w:rFonts w:ascii="Arial Narrow" w:hAnsi="Arial Narrow"/>
        </w:rPr>
        <w:t xml:space="preserve">and more granulated </w:t>
      </w:r>
      <w:r w:rsidR="00864EA9">
        <w:rPr>
          <w:rFonts w:ascii="Arial Narrow" w:hAnsi="Arial Narrow"/>
        </w:rPr>
        <w:t xml:space="preserve">data </w:t>
      </w:r>
      <w:r w:rsidR="00294322">
        <w:rPr>
          <w:rFonts w:ascii="Arial Narrow" w:hAnsi="Arial Narrow"/>
        </w:rPr>
        <w:t>–</w:t>
      </w:r>
      <w:r w:rsidR="00181F27">
        <w:rPr>
          <w:rFonts w:ascii="Arial Narrow" w:hAnsi="Arial Narrow"/>
        </w:rPr>
        <w:t xml:space="preserve"> </w:t>
      </w:r>
      <w:r w:rsidR="00294322">
        <w:rPr>
          <w:rFonts w:ascii="Arial Narrow" w:hAnsi="Arial Narrow"/>
        </w:rPr>
        <w:t xml:space="preserve">or </w:t>
      </w:r>
      <w:r w:rsidR="00717A29">
        <w:rPr>
          <w:rFonts w:ascii="Arial Narrow" w:hAnsi="Arial Narrow"/>
        </w:rPr>
        <w:t>not setting</w:t>
      </w:r>
      <w:r w:rsidR="00864EA9">
        <w:rPr>
          <w:rFonts w:ascii="Arial Narrow" w:hAnsi="Arial Narrow"/>
        </w:rPr>
        <w:t xml:space="preserve"> two slopes after lockdown in </w:t>
      </w:r>
      <w:r w:rsidR="00DA21C7">
        <w:rPr>
          <w:rFonts w:ascii="Arial Narrow" w:hAnsi="Arial Narrow"/>
        </w:rPr>
        <w:t>[Model 1]</w:t>
      </w:r>
      <w:r w:rsidR="00717A29">
        <w:rPr>
          <w:rFonts w:ascii="Arial Narrow" w:hAnsi="Arial Narrow"/>
        </w:rPr>
        <w:t xml:space="preserve"> -what could fit better </w:t>
      </w:r>
      <w:r w:rsidR="006E22DF">
        <w:rPr>
          <w:rFonts w:ascii="Arial Narrow" w:hAnsi="Arial Narrow"/>
        </w:rPr>
        <w:t xml:space="preserve">on </w:t>
      </w:r>
      <w:r w:rsidR="00717A29">
        <w:rPr>
          <w:rFonts w:ascii="Arial Narrow" w:hAnsi="Arial Narrow"/>
        </w:rPr>
        <w:t>our data-</w:t>
      </w:r>
      <w:r w:rsidR="00DA21C7">
        <w:rPr>
          <w:rFonts w:ascii="Arial Narrow" w:hAnsi="Arial Narrow"/>
        </w:rPr>
        <w:t xml:space="preserve">. </w:t>
      </w:r>
      <w:r w:rsidR="00F61879">
        <w:rPr>
          <w:rFonts w:ascii="Arial Narrow" w:hAnsi="Arial Narrow"/>
        </w:rPr>
        <w:t xml:space="preserve">Both tentative approaches </w:t>
      </w:r>
      <w:r w:rsidR="00A704BD">
        <w:rPr>
          <w:rFonts w:ascii="Arial Narrow" w:hAnsi="Arial Narrow"/>
        </w:rPr>
        <w:t>would have produced bigger</w:t>
      </w:r>
      <w:r w:rsidR="00524730">
        <w:rPr>
          <w:rFonts w:ascii="Arial Narrow" w:hAnsi="Arial Narrow"/>
        </w:rPr>
        <w:t xml:space="preserve"> ITS effect sizes (</w:t>
      </w:r>
      <w:r w:rsidR="00B80582">
        <w:rPr>
          <w:rFonts w:ascii="Arial Narrow" w:hAnsi="Arial Narrow"/>
        </w:rPr>
        <w:t>e.g.,</w:t>
      </w:r>
      <w:r w:rsidR="00524730">
        <w:rPr>
          <w:rFonts w:ascii="Arial Narrow" w:hAnsi="Arial Narrow"/>
        </w:rPr>
        <w:t xml:space="preserve"> </w:t>
      </w:r>
      <w:r w:rsidR="00AB2642">
        <w:rPr>
          <w:rFonts w:ascii="Arial Narrow" w:hAnsi="Arial Narrow"/>
        </w:rPr>
        <w:t>higher</w:t>
      </w:r>
      <w:r w:rsidR="00BE19EE">
        <w:rPr>
          <w:rFonts w:ascii="Arial Narrow" w:hAnsi="Arial Narrow"/>
        </w:rPr>
        <w:t xml:space="preserve"> immediate </w:t>
      </w:r>
      <w:r w:rsidR="00C77355">
        <w:rPr>
          <w:rFonts w:ascii="Arial Narrow" w:hAnsi="Arial Narrow"/>
        </w:rPr>
        <w:t>change after lockdown</w:t>
      </w:r>
      <w:r w:rsidR="0038753F">
        <w:rPr>
          <w:rFonts w:ascii="Arial Narrow" w:hAnsi="Arial Narrow"/>
        </w:rPr>
        <w:t xml:space="preserve"> in Model 1</w:t>
      </w:r>
      <w:r w:rsidR="00524730">
        <w:rPr>
          <w:rFonts w:ascii="Arial Narrow" w:hAnsi="Arial Narrow"/>
        </w:rPr>
        <w:t>)</w:t>
      </w:r>
      <w:r w:rsidR="0038753F">
        <w:rPr>
          <w:rFonts w:ascii="Arial Narrow" w:hAnsi="Arial Narrow"/>
        </w:rPr>
        <w:t xml:space="preserve"> but mostly guided by </w:t>
      </w:r>
      <w:r w:rsidR="005626D8">
        <w:rPr>
          <w:rFonts w:ascii="Arial Narrow" w:hAnsi="Arial Narrow"/>
        </w:rPr>
        <w:t xml:space="preserve">the characteristics of </w:t>
      </w:r>
      <w:r w:rsidR="007751F0">
        <w:rPr>
          <w:rFonts w:ascii="Arial Narrow" w:hAnsi="Arial Narrow"/>
        </w:rPr>
        <w:t xml:space="preserve">our non-random sample. </w:t>
      </w:r>
      <w:r w:rsidR="00F2074F">
        <w:rPr>
          <w:rFonts w:ascii="Arial Narrow" w:hAnsi="Arial Narrow"/>
        </w:rPr>
        <w:t xml:space="preserve">Having said that, </w:t>
      </w:r>
      <w:r w:rsidR="00784CC5">
        <w:rPr>
          <w:rFonts w:ascii="Arial Narrow" w:hAnsi="Arial Narrow"/>
        </w:rPr>
        <w:t xml:space="preserve">and </w:t>
      </w:r>
      <w:r w:rsidR="00C80DFE">
        <w:rPr>
          <w:rFonts w:ascii="Arial Narrow" w:hAnsi="Arial Narrow"/>
        </w:rPr>
        <w:t>enlightened</w:t>
      </w:r>
      <w:r w:rsidR="00784CC5">
        <w:rPr>
          <w:rFonts w:ascii="Arial Narrow" w:hAnsi="Arial Narrow"/>
        </w:rPr>
        <w:t xml:space="preserve"> by </w:t>
      </w:r>
      <w:r w:rsidR="007B6914">
        <w:rPr>
          <w:rFonts w:ascii="Arial Narrow" w:hAnsi="Arial Narrow"/>
        </w:rPr>
        <w:t>Mansfield et al</w:t>
      </w:r>
      <w:r w:rsidR="007B6914">
        <w:rPr>
          <w:rFonts w:ascii="Arial Narrow" w:hAnsi="Arial Narrow"/>
          <w:vertAlign w:val="superscript"/>
        </w:rPr>
        <w:t>1</w:t>
      </w:r>
      <w:r w:rsidR="007729B5">
        <w:rPr>
          <w:rFonts w:ascii="Arial Narrow" w:hAnsi="Arial Narrow"/>
          <w:vertAlign w:val="superscript"/>
        </w:rPr>
        <w:t xml:space="preserve"> </w:t>
      </w:r>
      <w:r w:rsidR="007729B5">
        <w:rPr>
          <w:rFonts w:ascii="Arial Narrow" w:hAnsi="Arial Narrow"/>
        </w:rPr>
        <w:t xml:space="preserve">results, </w:t>
      </w:r>
      <w:r w:rsidR="00B60DD5">
        <w:rPr>
          <w:rFonts w:ascii="Arial Narrow" w:hAnsi="Arial Narrow"/>
        </w:rPr>
        <w:t xml:space="preserve">we believe our estimates are </w:t>
      </w:r>
      <w:r w:rsidR="0071680D">
        <w:rPr>
          <w:rFonts w:ascii="Arial Narrow" w:hAnsi="Arial Narrow"/>
        </w:rPr>
        <w:t xml:space="preserve">informative </w:t>
      </w:r>
      <w:r w:rsidR="006C3BD1">
        <w:rPr>
          <w:rFonts w:ascii="Arial Narrow" w:hAnsi="Arial Narrow"/>
        </w:rPr>
        <w:t>and</w:t>
      </w:r>
      <w:r w:rsidR="0071680D">
        <w:rPr>
          <w:rFonts w:ascii="Arial Narrow" w:hAnsi="Arial Narrow"/>
        </w:rPr>
        <w:t xml:space="preserve"> </w:t>
      </w:r>
      <w:r w:rsidR="00B60DD5">
        <w:rPr>
          <w:rFonts w:ascii="Arial Narrow" w:hAnsi="Arial Narrow"/>
        </w:rPr>
        <w:t>conservative</w:t>
      </w:r>
      <w:r w:rsidR="0010311C">
        <w:rPr>
          <w:rFonts w:ascii="Arial Narrow" w:hAnsi="Arial Narrow"/>
        </w:rPr>
        <w:t xml:space="preserve"> </w:t>
      </w:r>
      <w:r w:rsidR="00B60DD5">
        <w:rPr>
          <w:rFonts w:ascii="Arial Narrow" w:hAnsi="Arial Narrow"/>
        </w:rPr>
        <w:t>enough.</w:t>
      </w:r>
      <w:r w:rsidR="00A704BD">
        <w:rPr>
          <w:rFonts w:ascii="Arial Narrow" w:hAnsi="Arial Narrow"/>
        </w:rPr>
        <w:t xml:space="preserve"> </w:t>
      </w:r>
      <w:r w:rsidR="00F61879">
        <w:rPr>
          <w:rFonts w:ascii="Arial Narrow" w:hAnsi="Arial Narrow"/>
        </w:rPr>
        <w:t xml:space="preserve"> </w:t>
      </w:r>
      <w:r w:rsidR="00864EA9">
        <w:rPr>
          <w:rFonts w:ascii="Arial Narrow" w:hAnsi="Arial Narrow"/>
        </w:rPr>
        <w:t xml:space="preserve"> </w:t>
      </w:r>
      <w:r w:rsidR="00294322">
        <w:rPr>
          <w:rFonts w:ascii="Arial Narrow" w:hAnsi="Arial Narrow"/>
        </w:rPr>
        <w:t xml:space="preserve"> </w:t>
      </w:r>
      <w:r w:rsidR="00F652A9">
        <w:rPr>
          <w:rFonts w:ascii="Arial Narrow" w:hAnsi="Arial Narrow"/>
        </w:rPr>
        <w:t xml:space="preserve"> </w:t>
      </w:r>
      <w:r w:rsidR="0095574D">
        <w:rPr>
          <w:rFonts w:ascii="Arial Narrow" w:hAnsi="Arial Narrow"/>
        </w:rPr>
        <w:t xml:space="preserve"> </w:t>
      </w:r>
      <w:r w:rsidR="00125937">
        <w:rPr>
          <w:rFonts w:ascii="Arial Narrow" w:hAnsi="Arial Narrow"/>
        </w:rPr>
        <w:t xml:space="preserve"> </w:t>
      </w:r>
      <w:r w:rsidR="00CC1797">
        <w:rPr>
          <w:rFonts w:ascii="Arial Narrow" w:hAnsi="Arial Narrow"/>
        </w:rPr>
        <w:t xml:space="preserve"> </w:t>
      </w:r>
    </w:p>
    <w:p w14:paraId="5DC5873E" w14:textId="77777777" w:rsidR="00F76A61" w:rsidRDefault="00F76A61">
      <w:pPr>
        <w:rPr>
          <w:rFonts w:ascii="Arial Narrow" w:eastAsiaTheme="majorEastAsia" w:hAnsi="Arial Narrow" w:cstheme="majorBidi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br w:type="page"/>
      </w:r>
    </w:p>
    <w:p w14:paraId="7EB6E0C8" w14:textId="73B9FC67" w:rsidR="00777F65" w:rsidRPr="00AE0A56" w:rsidRDefault="00777F65" w:rsidP="00777F65">
      <w:pPr>
        <w:pStyle w:val="Heading1"/>
        <w:numPr>
          <w:ilvl w:val="0"/>
          <w:numId w:val="1"/>
        </w:numPr>
        <w:tabs>
          <w:tab w:val="left" w:pos="284"/>
        </w:tabs>
        <w:ind w:left="0" w:hanging="11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6" w:name="_Toc70701429"/>
      <w:r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 xml:space="preserve">Absolute numbers presenting to psychiatric services by presenting </w:t>
      </w:r>
      <w:r w:rsidR="00B80582">
        <w:rPr>
          <w:rFonts w:ascii="Arial Narrow" w:hAnsi="Arial Narrow"/>
          <w:b/>
          <w:color w:val="000000" w:themeColor="text1"/>
          <w:sz w:val="24"/>
          <w:szCs w:val="24"/>
        </w:rPr>
        <w:t>complaint.</w:t>
      </w:r>
      <w:bookmarkEnd w:id="6"/>
    </w:p>
    <w:p w14:paraId="7EB6E0C9" w14:textId="77777777" w:rsidR="00777F65" w:rsidRDefault="00777F65" w:rsidP="00777F6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029"/>
        <w:gridCol w:w="1099"/>
        <w:gridCol w:w="1309"/>
        <w:gridCol w:w="898"/>
        <w:gridCol w:w="1119"/>
        <w:gridCol w:w="974"/>
        <w:gridCol w:w="1293"/>
      </w:tblGrid>
      <w:tr w:rsidR="00777F65" w:rsidRPr="00777F65" w14:paraId="7EB6E0D2" w14:textId="77777777" w:rsidTr="00777F65">
        <w:tc>
          <w:tcPr>
            <w:tcW w:w="1621" w:type="dxa"/>
          </w:tcPr>
          <w:p w14:paraId="7EB6E0CA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Presenting complaint</w:t>
            </w:r>
          </w:p>
        </w:tc>
        <w:tc>
          <w:tcPr>
            <w:tcW w:w="927" w:type="dxa"/>
          </w:tcPr>
          <w:p w14:paraId="7EB6E0CB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Psychosis</w:t>
            </w:r>
          </w:p>
        </w:tc>
        <w:tc>
          <w:tcPr>
            <w:tcW w:w="927" w:type="dxa"/>
          </w:tcPr>
          <w:p w14:paraId="7EB6E0CC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Violence/ aggression</w:t>
            </w:r>
          </w:p>
        </w:tc>
        <w:tc>
          <w:tcPr>
            <w:tcW w:w="927" w:type="dxa"/>
          </w:tcPr>
          <w:p w14:paraId="7EB6E0CD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Self-harm/Suicidal ideation</w:t>
            </w:r>
          </w:p>
        </w:tc>
        <w:tc>
          <w:tcPr>
            <w:tcW w:w="927" w:type="dxa"/>
          </w:tcPr>
          <w:p w14:paraId="7EB6E0CE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Delirium</w:t>
            </w:r>
          </w:p>
        </w:tc>
        <w:tc>
          <w:tcPr>
            <w:tcW w:w="927" w:type="dxa"/>
          </w:tcPr>
          <w:p w14:paraId="7EB6E0CF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Depressive symptoms</w:t>
            </w:r>
          </w:p>
        </w:tc>
        <w:tc>
          <w:tcPr>
            <w:tcW w:w="1222" w:type="dxa"/>
          </w:tcPr>
          <w:p w14:paraId="7EB6E0D0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Anxiety</w:t>
            </w:r>
          </w:p>
        </w:tc>
        <w:tc>
          <w:tcPr>
            <w:tcW w:w="1538" w:type="dxa"/>
          </w:tcPr>
          <w:p w14:paraId="7EB6E0D1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Intoxication</w:t>
            </w:r>
          </w:p>
        </w:tc>
      </w:tr>
      <w:tr w:rsidR="00777F65" w:rsidRPr="00777F65" w14:paraId="7EB6E0DB" w14:textId="77777777" w:rsidTr="00777F65">
        <w:tc>
          <w:tcPr>
            <w:tcW w:w="1621" w:type="dxa"/>
          </w:tcPr>
          <w:p w14:paraId="7EB6E0D3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Before lockdown – total (per week)</w:t>
            </w:r>
          </w:p>
        </w:tc>
        <w:tc>
          <w:tcPr>
            <w:tcW w:w="927" w:type="dxa"/>
          </w:tcPr>
          <w:p w14:paraId="7EB6E0D4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 (28)</w:t>
            </w:r>
          </w:p>
        </w:tc>
        <w:tc>
          <w:tcPr>
            <w:tcW w:w="927" w:type="dxa"/>
          </w:tcPr>
          <w:p w14:paraId="7EB6E0D5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(7)</w:t>
            </w:r>
          </w:p>
        </w:tc>
        <w:tc>
          <w:tcPr>
            <w:tcW w:w="927" w:type="dxa"/>
          </w:tcPr>
          <w:p w14:paraId="7EB6E0D6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1033 (86)</w:t>
            </w:r>
          </w:p>
        </w:tc>
        <w:tc>
          <w:tcPr>
            <w:tcW w:w="927" w:type="dxa"/>
          </w:tcPr>
          <w:p w14:paraId="7EB6E0D7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 (6)</w:t>
            </w:r>
          </w:p>
        </w:tc>
        <w:tc>
          <w:tcPr>
            <w:tcW w:w="927" w:type="dxa"/>
          </w:tcPr>
          <w:p w14:paraId="7EB6E0D8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 (11)</w:t>
            </w:r>
          </w:p>
        </w:tc>
        <w:tc>
          <w:tcPr>
            <w:tcW w:w="1222" w:type="dxa"/>
          </w:tcPr>
          <w:p w14:paraId="7EB6E0D9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 (7)</w:t>
            </w:r>
          </w:p>
        </w:tc>
        <w:tc>
          <w:tcPr>
            <w:tcW w:w="1538" w:type="dxa"/>
          </w:tcPr>
          <w:p w14:paraId="7EB6E0DA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 (6)</w:t>
            </w:r>
          </w:p>
        </w:tc>
      </w:tr>
      <w:tr w:rsidR="00777F65" w:rsidRPr="00777F65" w14:paraId="7EB6E0E4" w14:textId="77777777" w:rsidTr="00777F65">
        <w:tc>
          <w:tcPr>
            <w:tcW w:w="1621" w:type="dxa"/>
          </w:tcPr>
          <w:p w14:paraId="7EB6E0DC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After lockdown – total (per week)</w:t>
            </w:r>
          </w:p>
        </w:tc>
        <w:tc>
          <w:tcPr>
            <w:tcW w:w="927" w:type="dxa"/>
          </w:tcPr>
          <w:p w14:paraId="7EB6E0DD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 (21)</w:t>
            </w:r>
          </w:p>
        </w:tc>
        <w:tc>
          <w:tcPr>
            <w:tcW w:w="927" w:type="dxa"/>
          </w:tcPr>
          <w:p w14:paraId="7EB6E0DE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 (5)</w:t>
            </w:r>
          </w:p>
        </w:tc>
        <w:tc>
          <w:tcPr>
            <w:tcW w:w="927" w:type="dxa"/>
          </w:tcPr>
          <w:p w14:paraId="7EB6E0DF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 (40)</w:t>
            </w:r>
          </w:p>
        </w:tc>
        <w:tc>
          <w:tcPr>
            <w:tcW w:w="927" w:type="dxa"/>
          </w:tcPr>
          <w:p w14:paraId="7EB6E0E0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 (6)</w:t>
            </w:r>
          </w:p>
        </w:tc>
        <w:tc>
          <w:tcPr>
            <w:tcW w:w="927" w:type="dxa"/>
          </w:tcPr>
          <w:p w14:paraId="7EB6E0E1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 (4)</w:t>
            </w:r>
          </w:p>
        </w:tc>
        <w:tc>
          <w:tcPr>
            <w:tcW w:w="1222" w:type="dxa"/>
          </w:tcPr>
          <w:p w14:paraId="7EB6E0E2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(4)</w:t>
            </w:r>
          </w:p>
        </w:tc>
        <w:tc>
          <w:tcPr>
            <w:tcW w:w="1538" w:type="dxa"/>
          </w:tcPr>
          <w:p w14:paraId="7EB6E0E3" w14:textId="77777777" w:rsidR="00777F65" w:rsidRPr="00777F65" w:rsidRDefault="00777F65" w:rsidP="00A739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(3)</w:t>
            </w:r>
          </w:p>
        </w:tc>
      </w:tr>
    </w:tbl>
    <w:p w14:paraId="7EB6E0E5" w14:textId="77777777" w:rsidR="00A55BE4" w:rsidRPr="00A55BE4" w:rsidRDefault="00013462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</w:rPr>
        <w:t xml:space="preserve"> </w:t>
      </w:r>
    </w:p>
    <w:sectPr w:rsidR="00A55BE4" w:rsidRPr="00A5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E79A" w14:textId="77777777" w:rsidR="00E45AE0" w:rsidRDefault="00E45AE0" w:rsidP="00E45AE0">
      <w:pPr>
        <w:spacing w:after="0" w:line="240" w:lineRule="auto"/>
      </w:pPr>
      <w:r>
        <w:separator/>
      </w:r>
    </w:p>
  </w:endnote>
  <w:endnote w:type="continuationSeparator" w:id="0">
    <w:p w14:paraId="0539ADA1" w14:textId="77777777" w:rsidR="00E45AE0" w:rsidRDefault="00E45AE0" w:rsidP="00E4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CF45" w14:textId="77777777" w:rsidR="00E45AE0" w:rsidRDefault="00E45AE0" w:rsidP="00E45AE0">
      <w:pPr>
        <w:spacing w:after="0" w:line="240" w:lineRule="auto"/>
      </w:pPr>
      <w:r>
        <w:separator/>
      </w:r>
    </w:p>
  </w:footnote>
  <w:footnote w:type="continuationSeparator" w:id="0">
    <w:p w14:paraId="50D57303" w14:textId="77777777" w:rsidR="00E45AE0" w:rsidRDefault="00E45AE0" w:rsidP="00E45AE0">
      <w:pPr>
        <w:spacing w:after="0" w:line="240" w:lineRule="auto"/>
      </w:pPr>
      <w:r>
        <w:continuationSeparator/>
      </w:r>
    </w:p>
  </w:footnote>
  <w:footnote w:id="1">
    <w:p w14:paraId="70D0FB90" w14:textId="01CD82D9" w:rsidR="00E45AE0" w:rsidRDefault="00E45A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4307" w:rsidRPr="00B44307">
        <w:rPr>
          <w:rFonts w:ascii="Arial Narrow" w:hAnsi="Arial Narrow"/>
          <w:sz w:val="16"/>
          <w:szCs w:val="16"/>
        </w:rPr>
        <w:t>Mansfield KE, Mathur R, Tazare J, Henderson AD, Mulick AR, Carreira H, Matthews AA, Bidulka P, Gayle A, Forbes H, Cook S. Indirect acute effects of the COVID-19 pandemic on physical and mental health in the UK: a population-based study. The Lancet Digital Health. 2021 Feb 18.</w:t>
      </w:r>
      <w:r w:rsidR="00AE7B70">
        <w:rPr>
          <w:rFonts w:ascii="Arial Narrow" w:hAnsi="Arial Narrow"/>
          <w:sz w:val="16"/>
          <w:szCs w:val="16"/>
        </w:rPr>
        <w:t xml:space="preserve"> </w:t>
      </w:r>
      <w:r w:rsidR="00AE7B70" w:rsidRPr="00AE7B70">
        <w:rPr>
          <w:rFonts w:ascii="Arial Narrow" w:hAnsi="Arial Narrow"/>
          <w:sz w:val="16"/>
          <w:szCs w:val="16"/>
        </w:rPr>
        <w:t>https://doi.org/10.1016/S2589-7500(21)00017-0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D6D"/>
    <w:multiLevelType w:val="hybridMultilevel"/>
    <w:tmpl w:val="D5B8B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8F"/>
    <w:rsid w:val="00002FB4"/>
    <w:rsid w:val="00013462"/>
    <w:rsid w:val="0001553C"/>
    <w:rsid w:val="000171C6"/>
    <w:rsid w:val="00020225"/>
    <w:rsid w:val="000457AF"/>
    <w:rsid w:val="0008069D"/>
    <w:rsid w:val="000873EC"/>
    <w:rsid w:val="0009470D"/>
    <w:rsid w:val="000969BF"/>
    <w:rsid w:val="000B0AD6"/>
    <w:rsid w:val="000B1538"/>
    <w:rsid w:val="000D5307"/>
    <w:rsid w:val="000D59E0"/>
    <w:rsid w:val="000D7698"/>
    <w:rsid w:val="0010311C"/>
    <w:rsid w:val="00125937"/>
    <w:rsid w:val="001301E7"/>
    <w:rsid w:val="001331C8"/>
    <w:rsid w:val="0014003D"/>
    <w:rsid w:val="00141A5D"/>
    <w:rsid w:val="00142D88"/>
    <w:rsid w:val="00181F27"/>
    <w:rsid w:val="001D58CE"/>
    <w:rsid w:val="0020616F"/>
    <w:rsid w:val="00213D7D"/>
    <w:rsid w:val="00232087"/>
    <w:rsid w:val="00233DF4"/>
    <w:rsid w:val="002456DB"/>
    <w:rsid w:val="00286313"/>
    <w:rsid w:val="00286EDA"/>
    <w:rsid w:val="0029184C"/>
    <w:rsid w:val="002921AD"/>
    <w:rsid w:val="00294322"/>
    <w:rsid w:val="00295E4F"/>
    <w:rsid w:val="002C6881"/>
    <w:rsid w:val="002D1939"/>
    <w:rsid w:val="00306D60"/>
    <w:rsid w:val="00321FDF"/>
    <w:rsid w:val="00337378"/>
    <w:rsid w:val="00370DDF"/>
    <w:rsid w:val="0038753F"/>
    <w:rsid w:val="003905AA"/>
    <w:rsid w:val="00392A08"/>
    <w:rsid w:val="003D494E"/>
    <w:rsid w:val="003F6640"/>
    <w:rsid w:val="00400519"/>
    <w:rsid w:val="00417AD4"/>
    <w:rsid w:val="00420B43"/>
    <w:rsid w:val="00432BCE"/>
    <w:rsid w:val="004344A8"/>
    <w:rsid w:val="00436FF1"/>
    <w:rsid w:val="00462FA1"/>
    <w:rsid w:val="00494837"/>
    <w:rsid w:val="004D410A"/>
    <w:rsid w:val="004E71FA"/>
    <w:rsid w:val="004F752A"/>
    <w:rsid w:val="00517364"/>
    <w:rsid w:val="00524730"/>
    <w:rsid w:val="00533979"/>
    <w:rsid w:val="00544A6A"/>
    <w:rsid w:val="00557A45"/>
    <w:rsid w:val="00557D8E"/>
    <w:rsid w:val="005626D8"/>
    <w:rsid w:val="00591C18"/>
    <w:rsid w:val="005B060D"/>
    <w:rsid w:val="005B57C6"/>
    <w:rsid w:val="005C5E8C"/>
    <w:rsid w:val="005C78BC"/>
    <w:rsid w:val="005D5AD0"/>
    <w:rsid w:val="005E47FC"/>
    <w:rsid w:val="006306C1"/>
    <w:rsid w:val="006350F5"/>
    <w:rsid w:val="006505E8"/>
    <w:rsid w:val="00651F3D"/>
    <w:rsid w:val="0065213A"/>
    <w:rsid w:val="00653975"/>
    <w:rsid w:val="00660C42"/>
    <w:rsid w:val="00661223"/>
    <w:rsid w:val="00673553"/>
    <w:rsid w:val="00684268"/>
    <w:rsid w:val="00693DB8"/>
    <w:rsid w:val="00696A73"/>
    <w:rsid w:val="006974B1"/>
    <w:rsid w:val="006A0270"/>
    <w:rsid w:val="006A12CE"/>
    <w:rsid w:val="006C2DE7"/>
    <w:rsid w:val="006C3BD1"/>
    <w:rsid w:val="006C71F8"/>
    <w:rsid w:val="006E22DF"/>
    <w:rsid w:val="00710E6A"/>
    <w:rsid w:val="0071680D"/>
    <w:rsid w:val="00717A29"/>
    <w:rsid w:val="0073045C"/>
    <w:rsid w:val="007369C4"/>
    <w:rsid w:val="00756A71"/>
    <w:rsid w:val="00756C27"/>
    <w:rsid w:val="0076279F"/>
    <w:rsid w:val="00771A4A"/>
    <w:rsid w:val="007729B5"/>
    <w:rsid w:val="007751F0"/>
    <w:rsid w:val="00777F65"/>
    <w:rsid w:val="0078045D"/>
    <w:rsid w:val="00784C7E"/>
    <w:rsid w:val="00784CC5"/>
    <w:rsid w:val="007B6914"/>
    <w:rsid w:val="007D2BCE"/>
    <w:rsid w:val="007E478E"/>
    <w:rsid w:val="007F3A9E"/>
    <w:rsid w:val="00846012"/>
    <w:rsid w:val="00846645"/>
    <w:rsid w:val="00864EA9"/>
    <w:rsid w:val="00865736"/>
    <w:rsid w:val="00873BB2"/>
    <w:rsid w:val="008A3C86"/>
    <w:rsid w:val="008A5BC9"/>
    <w:rsid w:val="008C54E7"/>
    <w:rsid w:val="008E6D82"/>
    <w:rsid w:val="0090146C"/>
    <w:rsid w:val="00905B9C"/>
    <w:rsid w:val="0090793C"/>
    <w:rsid w:val="00923A0D"/>
    <w:rsid w:val="00926BCA"/>
    <w:rsid w:val="00937738"/>
    <w:rsid w:val="0095574D"/>
    <w:rsid w:val="009574FE"/>
    <w:rsid w:val="009840A3"/>
    <w:rsid w:val="00985E23"/>
    <w:rsid w:val="009C126D"/>
    <w:rsid w:val="009C6913"/>
    <w:rsid w:val="009F05EE"/>
    <w:rsid w:val="00A0680C"/>
    <w:rsid w:val="00A06F55"/>
    <w:rsid w:val="00A16FD8"/>
    <w:rsid w:val="00A4260C"/>
    <w:rsid w:val="00A51E89"/>
    <w:rsid w:val="00A55BE4"/>
    <w:rsid w:val="00A62F96"/>
    <w:rsid w:val="00A704BD"/>
    <w:rsid w:val="00A71C44"/>
    <w:rsid w:val="00A72FCD"/>
    <w:rsid w:val="00A87935"/>
    <w:rsid w:val="00A92C87"/>
    <w:rsid w:val="00A977A6"/>
    <w:rsid w:val="00AB2642"/>
    <w:rsid w:val="00AC0C6F"/>
    <w:rsid w:val="00AC1474"/>
    <w:rsid w:val="00AC41DA"/>
    <w:rsid w:val="00AE0A56"/>
    <w:rsid w:val="00AE167D"/>
    <w:rsid w:val="00AE742F"/>
    <w:rsid w:val="00AE7B70"/>
    <w:rsid w:val="00B00750"/>
    <w:rsid w:val="00B0189A"/>
    <w:rsid w:val="00B02F7B"/>
    <w:rsid w:val="00B064A3"/>
    <w:rsid w:val="00B10A4E"/>
    <w:rsid w:val="00B33B8C"/>
    <w:rsid w:val="00B4178C"/>
    <w:rsid w:val="00B44307"/>
    <w:rsid w:val="00B57C53"/>
    <w:rsid w:val="00B60DD5"/>
    <w:rsid w:val="00B62BF2"/>
    <w:rsid w:val="00B80582"/>
    <w:rsid w:val="00B8223B"/>
    <w:rsid w:val="00B83EBF"/>
    <w:rsid w:val="00B844D9"/>
    <w:rsid w:val="00BA1D58"/>
    <w:rsid w:val="00BB78DE"/>
    <w:rsid w:val="00BC31BD"/>
    <w:rsid w:val="00BC3CE6"/>
    <w:rsid w:val="00BD04C7"/>
    <w:rsid w:val="00BD168E"/>
    <w:rsid w:val="00BE19EE"/>
    <w:rsid w:val="00BE27CF"/>
    <w:rsid w:val="00BE588F"/>
    <w:rsid w:val="00C0060F"/>
    <w:rsid w:val="00C05856"/>
    <w:rsid w:val="00C11FA5"/>
    <w:rsid w:val="00C13F72"/>
    <w:rsid w:val="00C24BA9"/>
    <w:rsid w:val="00C24CAF"/>
    <w:rsid w:val="00C254EF"/>
    <w:rsid w:val="00C42C20"/>
    <w:rsid w:val="00C706AB"/>
    <w:rsid w:val="00C77355"/>
    <w:rsid w:val="00C80DFE"/>
    <w:rsid w:val="00C81B94"/>
    <w:rsid w:val="00C8335D"/>
    <w:rsid w:val="00C97911"/>
    <w:rsid w:val="00CA47BC"/>
    <w:rsid w:val="00CC01EA"/>
    <w:rsid w:val="00CC1797"/>
    <w:rsid w:val="00CC6B5C"/>
    <w:rsid w:val="00CD3281"/>
    <w:rsid w:val="00CE26D3"/>
    <w:rsid w:val="00D217C4"/>
    <w:rsid w:val="00D353B8"/>
    <w:rsid w:val="00D4523B"/>
    <w:rsid w:val="00D72234"/>
    <w:rsid w:val="00D74BC0"/>
    <w:rsid w:val="00D838F9"/>
    <w:rsid w:val="00D909B5"/>
    <w:rsid w:val="00DA21C7"/>
    <w:rsid w:val="00DA4103"/>
    <w:rsid w:val="00DA683E"/>
    <w:rsid w:val="00DB42CC"/>
    <w:rsid w:val="00DC1F9D"/>
    <w:rsid w:val="00DD0E01"/>
    <w:rsid w:val="00DD0FEA"/>
    <w:rsid w:val="00DE5217"/>
    <w:rsid w:val="00DF0EE1"/>
    <w:rsid w:val="00E01433"/>
    <w:rsid w:val="00E123A7"/>
    <w:rsid w:val="00E24914"/>
    <w:rsid w:val="00E26D16"/>
    <w:rsid w:val="00E45AE0"/>
    <w:rsid w:val="00E50D6B"/>
    <w:rsid w:val="00E63B60"/>
    <w:rsid w:val="00E87630"/>
    <w:rsid w:val="00E90695"/>
    <w:rsid w:val="00ED0D2F"/>
    <w:rsid w:val="00ED2F75"/>
    <w:rsid w:val="00EE100C"/>
    <w:rsid w:val="00F10B34"/>
    <w:rsid w:val="00F2074F"/>
    <w:rsid w:val="00F24770"/>
    <w:rsid w:val="00F35C5D"/>
    <w:rsid w:val="00F61879"/>
    <w:rsid w:val="00F652A9"/>
    <w:rsid w:val="00F76A61"/>
    <w:rsid w:val="00F80C2F"/>
    <w:rsid w:val="00FB52F8"/>
    <w:rsid w:val="00FB6734"/>
    <w:rsid w:val="00FD2C2A"/>
    <w:rsid w:val="00FE0D03"/>
    <w:rsid w:val="00FE2D33"/>
    <w:rsid w:val="00FE503D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E048"/>
  <w15:chartTrackingRefBased/>
  <w15:docId w15:val="{BDA8D059-DAC0-4733-86A2-F31CD485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153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977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77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977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5A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A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00165AA-0140-4EB6-AFBA-EDE90C70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1597</Words>
  <Characters>9104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Bazo Alvarez</dc:creator>
  <cp:keywords/>
  <dc:description/>
  <cp:lastModifiedBy>Mukadam, Naaheed</cp:lastModifiedBy>
  <cp:revision>2</cp:revision>
  <dcterms:created xsi:type="dcterms:W3CDTF">2021-05-04T09:23:00Z</dcterms:created>
  <dcterms:modified xsi:type="dcterms:W3CDTF">2021-05-04T09:23:00Z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http://www.zotero.org/styles/journal-of-clinical-epidemiology</vt:lpwstr>
  </property>
  <property fmtid="{D5CDD505-2E9C-101B-9397-08002B2CF9AE}" pid="15" name="Mendeley Recent Style Name 6_1">
    <vt:lpwstr>Journal of Clinical Epidemiology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