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A1F2" w14:textId="77777777" w:rsidR="004B26FB" w:rsidRPr="004B26FB" w:rsidRDefault="002833C7" w:rsidP="002833C7">
      <w:pPr>
        <w:pStyle w:val="Para"/>
        <w:spacing w:line="360" w:lineRule="auto"/>
        <w:rPr>
          <w:rFonts w:eastAsia="Arial Unicode MS"/>
          <w:b/>
          <w:sz w:val="24"/>
          <w:bdr w:val="none" w:sz="0" w:space="0" w:color="auto" w:frame="1"/>
          <w:lang w:eastAsia="de-DE"/>
        </w:rPr>
      </w:pPr>
      <w:r w:rsidRPr="004B26FB">
        <w:rPr>
          <w:rFonts w:eastAsia="Arial Unicode MS"/>
          <w:b/>
          <w:sz w:val="24"/>
          <w:bdr w:val="none" w:sz="0" w:space="0" w:color="auto" w:frame="1"/>
          <w:lang w:eastAsia="de-DE"/>
        </w:rPr>
        <w:t>Supplementary material</w:t>
      </w:r>
    </w:p>
    <w:p w14:paraId="2AF7822F" w14:textId="159CFD00" w:rsidR="002833C7" w:rsidRPr="004B26FB" w:rsidRDefault="002833C7" w:rsidP="002833C7">
      <w:pPr>
        <w:pStyle w:val="Para"/>
        <w:spacing w:line="360" w:lineRule="auto"/>
        <w:rPr>
          <w:rFonts w:eastAsia="Arial Unicode MS"/>
          <w:b/>
          <w:sz w:val="24"/>
          <w:bdr w:val="none" w:sz="0" w:space="0" w:color="auto" w:frame="1"/>
          <w:lang w:eastAsia="de-DE"/>
        </w:rPr>
      </w:pPr>
      <w:r w:rsidRPr="004B26FB">
        <w:rPr>
          <w:b/>
          <w:sz w:val="24"/>
        </w:rPr>
        <w:t xml:space="preserve">Laboratory </w:t>
      </w:r>
      <w:r w:rsidRPr="004B26FB">
        <w:rPr>
          <w:rFonts w:eastAsia="Tahoma"/>
          <w:b/>
          <w:sz w:val="24"/>
        </w:rPr>
        <w:t>test methods for employees</w:t>
      </w:r>
      <w:r w:rsidRPr="004B26FB">
        <w:rPr>
          <w:b/>
          <w:sz w:val="24"/>
        </w:rPr>
        <w:t xml:space="preserve"> at the Department of Psychiatry and Psychotherapy</w:t>
      </w:r>
    </w:p>
    <w:p w14:paraId="744A1E93" w14:textId="782F7CA5" w:rsidR="002833C7" w:rsidRDefault="002833C7" w:rsidP="002833C7">
      <w:pPr>
        <w:pStyle w:val="Para"/>
        <w:spacing w:line="360" w:lineRule="auto"/>
        <w:rPr>
          <w:sz w:val="24"/>
        </w:rPr>
      </w:pPr>
      <w:r w:rsidRPr="004B26FB">
        <w:rPr>
          <w:sz w:val="24"/>
        </w:rPr>
        <w:t>To detect the presence of SARS-CoV-2 in throat-swab specimens, we performed commercial real-time polymerase chain reaction (PCR) assays with the TaqMan 2019-nCoV Assay Kit, No. A47532 and the TaqMan 2019-nCoV Control Kit, No. A47533 (</w:t>
      </w:r>
      <w:proofErr w:type="spellStart"/>
      <w:r w:rsidRPr="004B26FB">
        <w:rPr>
          <w:sz w:val="24"/>
        </w:rPr>
        <w:t>Thermofisher</w:t>
      </w:r>
      <w:proofErr w:type="spellEnd"/>
      <w:r w:rsidRPr="004B26FB">
        <w:rPr>
          <w:sz w:val="24"/>
        </w:rPr>
        <w:t xml:space="preserve"> Scientific, ‎Waltham, MA, USA). The assay targets three different viral genomic regions and thus reduces the risk of false negatives (ORF1ab, spike [S] gene and nucleocapsid [N] gene). Furthermore, the assays underwent bioinformatic selection and analyses to specifically target sequences that are unique to SARS-CoV-2. Additionally, an RNase P assay was run in duplex with each 2019-nCoV assay as an internal positive control. Finally, the TaqMan 2019-nCoV Assay Kit was used together with the TaqMan 2019-nCoV Control Kit to monitor assay-specific amplification. The nucleic acids used for detecting SARS-CoV-2 were extracted from 50</w:t>
      </w:r>
      <w:r w:rsidRPr="004B26FB">
        <w:rPr>
          <w:sz w:val="24"/>
          <w:shd w:val="clear" w:color="auto" w:fill="FF00FF"/>
        </w:rPr>
        <w:t> </w:t>
      </w:r>
      <w:r w:rsidRPr="004B26FB">
        <w:rPr>
          <w:sz w:val="24"/>
        </w:rPr>
        <w:t xml:space="preserve">µL of throat-swab medium with a </w:t>
      </w:r>
      <w:proofErr w:type="spellStart"/>
      <w:r w:rsidRPr="004B26FB">
        <w:rPr>
          <w:sz w:val="24"/>
        </w:rPr>
        <w:t>MagMax</w:t>
      </w:r>
      <w:proofErr w:type="spellEnd"/>
      <w:r w:rsidRPr="004B26FB">
        <w:rPr>
          <w:sz w:val="24"/>
        </w:rPr>
        <w:t xml:space="preserve"> 96 Viral RNA Isolation Kit, No. AM1836 (</w:t>
      </w:r>
      <w:proofErr w:type="spellStart"/>
      <w:r w:rsidRPr="004B26FB">
        <w:rPr>
          <w:sz w:val="24"/>
        </w:rPr>
        <w:t>Thermofisher</w:t>
      </w:r>
      <w:proofErr w:type="spellEnd"/>
      <w:r w:rsidRPr="004B26FB">
        <w:rPr>
          <w:sz w:val="24"/>
        </w:rPr>
        <w:t xml:space="preserve"> Scientific, ‎Waltham, MA, USA), according to the manufacturer</w:t>
      </w:r>
      <w:r w:rsidRPr="004B26FB">
        <w:rPr>
          <w:rStyle w:val="Apos"/>
          <w:sz w:val="24"/>
        </w:rPr>
        <w:t>’</w:t>
      </w:r>
      <w:r w:rsidRPr="004B26FB">
        <w:rPr>
          <w:sz w:val="24"/>
        </w:rPr>
        <w:t>s instructions. Real-time PCR assays were conducted in a total volume of 20</w:t>
      </w:r>
      <w:r w:rsidRPr="004B26FB">
        <w:rPr>
          <w:sz w:val="24"/>
          <w:shd w:val="clear" w:color="auto" w:fill="FF0000"/>
        </w:rPr>
        <w:t> </w:t>
      </w:r>
      <w:r w:rsidRPr="004B26FB">
        <w:rPr>
          <w:sz w:val="24"/>
        </w:rPr>
        <w:t>µL with 5</w:t>
      </w:r>
      <w:r w:rsidRPr="004B26FB">
        <w:rPr>
          <w:sz w:val="24"/>
          <w:shd w:val="clear" w:color="auto" w:fill="FF0000"/>
        </w:rPr>
        <w:t> </w:t>
      </w:r>
      <w:r w:rsidRPr="004B26FB">
        <w:rPr>
          <w:sz w:val="24"/>
        </w:rPr>
        <w:t xml:space="preserve">µL RNA and the TaqMan Fast Virus 1step Master Mix, No. 4444432. Samples were run on the </w:t>
      </w:r>
      <w:proofErr w:type="spellStart"/>
      <w:r w:rsidRPr="004B26FB">
        <w:rPr>
          <w:sz w:val="24"/>
        </w:rPr>
        <w:t>StepOnePlus</w:t>
      </w:r>
      <w:proofErr w:type="spellEnd"/>
      <w:r w:rsidRPr="004B26FB">
        <w:rPr>
          <w:sz w:val="24"/>
        </w:rPr>
        <w:t xml:space="preserve"> Real-Time PCR System (</w:t>
      </w:r>
      <w:proofErr w:type="spellStart"/>
      <w:r w:rsidRPr="004B26FB">
        <w:rPr>
          <w:sz w:val="24"/>
        </w:rPr>
        <w:t>Thermofisher</w:t>
      </w:r>
      <w:proofErr w:type="spellEnd"/>
      <w:r w:rsidRPr="004B26FB">
        <w:rPr>
          <w:sz w:val="24"/>
        </w:rPr>
        <w:t xml:space="preserve"> Scientific, ‎Waltham, MA, USA). All assays are established procedures in the laboratory of the Department of Psychiatry and were performed according to the manufacturers’ instructions. </w:t>
      </w:r>
      <w:r w:rsidR="000E3779">
        <w:rPr>
          <w:color w:val="FF0000"/>
          <w:sz w:val="24"/>
        </w:rPr>
        <w:t xml:space="preserve">Supplementary </w:t>
      </w:r>
      <w:r w:rsidRPr="004B26FB">
        <w:rPr>
          <w:rStyle w:val="FigureRef"/>
          <w:sz w:val="24"/>
        </w:rPr>
        <w:t>Fig</w:t>
      </w:r>
      <w:r w:rsidR="000E3779">
        <w:rPr>
          <w:rStyle w:val="FigureRef"/>
          <w:sz w:val="24"/>
        </w:rPr>
        <w:t>.</w:t>
      </w:r>
      <w:r w:rsidRPr="004B26FB">
        <w:rPr>
          <w:rStyle w:val="FigureRef"/>
          <w:sz w:val="24"/>
        </w:rPr>
        <w:t xml:space="preserve"> </w:t>
      </w:r>
      <w:r w:rsidR="000E3779">
        <w:rPr>
          <w:rStyle w:val="FigureRef"/>
          <w:sz w:val="24"/>
        </w:rPr>
        <w:t>1</w:t>
      </w:r>
      <w:r w:rsidRPr="004B26FB">
        <w:rPr>
          <w:sz w:val="24"/>
        </w:rPr>
        <w:t xml:space="preserve"> shows the real-time PCR amplification plot for detecting SARS-CoV-2. The curves around cycle 20 are for the positive controls for ORF1ab, spike (S) gene and nucleocapsid (N) gene. At cycles above 25, positive verification of SARS-CoV-2 can be seen for three tested individuals. The assays for ORF1ab, spike (S) gene and nucleocapsid (N) gene were tested by </w:t>
      </w:r>
      <w:proofErr w:type="spellStart"/>
      <w:r w:rsidRPr="004B26FB">
        <w:rPr>
          <w:sz w:val="24"/>
        </w:rPr>
        <w:t>Thermofisher</w:t>
      </w:r>
      <w:proofErr w:type="spellEnd"/>
      <w:r w:rsidRPr="004B26FB">
        <w:rPr>
          <w:sz w:val="24"/>
        </w:rPr>
        <w:t xml:space="preserve"> with related organisms to display the specificity of the design. No amplification was seen for any near </w:t>
      </w:r>
      <w:proofErr w:type="spellStart"/>
      <w:r w:rsidRPr="004B26FB">
        <w:rPr>
          <w:sz w:val="24"/>
        </w:rPr>
        <w:t>neighbour</w:t>
      </w:r>
      <w:proofErr w:type="spellEnd"/>
      <w:r w:rsidRPr="004B26FB">
        <w:rPr>
          <w:sz w:val="24"/>
        </w:rPr>
        <w:t xml:space="preserve"> pathogens. In summary, the assays are specific against 2116 other complete genomes of corona viruses in the National Center for Biotechnology Information. In addition, all three assays showed high efficiency (96% to 100%) and sensitivity down to ten copies.</w:t>
      </w:r>
    </w:p>
    <w:p w14:paraId="761AE421" w14:textId="00AED016" w:rsidR="000E3779" w:rsidRDefault="000E3779" w:rsidP="002833C7">
      <w:pPr>
        <w:pStyle w:val="Para"/>
        <w:spacing w:line="360" w:lineRule="auto"/>
        <w:rPr>
          <w:sz w:val="24"/>
        </w:rPr>
      </w:pPr>
    </w:p>
    <w:p w14:paraId="1740CFCA" w14:textId="77777777" w:rsidR="000E3779" w:rsidRPr="00B14422" w:rsidRDefault="000E3779" w:rsidP="000E3779">
      <w:pPr>
        <w:spacing w:line="360" w:lineRule="auto"/>
        <w:jc w:val="both"/>
        <w:rPr>
          <w:color w:val="212121"/>
        </w:rPr>
      </w:pPr>
    </w:p>
    <w:p w14:paraId="2C7032AE" w14:textId="77777777" w:rsidR="000E3779" w:rsidRPr="00B14422" w:rsidRDefault="000E3779" w:rsidP="000E3779">
      <w:pPr>
        <w:rPr>
          <w:color w:val="212121"/>
        </w:rPr>
      </w:pPr>
      <w:r w:rsidRPr="00B14422">
        <w:rPr>
          <w:rFonts w:ascii="Calibri" w:hAnsi="Calibri"/>
          <w:color w:val="212121"/>
        </w:rPr>
        <w:t> </w:t>
      </w:r>
    </w:p>
    <w:p w14:paraId="6754FCD3" w14:textId="77777777" w:rsidR="000E3779" w:rsidRPr="00B14422" w:rsidRDefault="000E3779" w:rsidP="000E3779">
      <w:pPr>
        <w:spacing w:line="360" w:lineRule="auto"/>
        <w:jc w:val="both"/>
        <w:rPr>
          <w:rFonts w:ascii="Calibri" w:hAnsi="Calibri" w:cs="Calibri"/>
        </w:rPr>
      </w:pPr>
    </w:p>
    <w:p w14:paraId="42740CA9" w14:textId="77777777" w:rsidR="000E3779" w:rsidRPr="00B14422" w:rsidRDefault="000E3779" w:rsidP="000E3779">
      <w:pPr>
        <w:spacing w:line="360" w:lineRule="auto"/>
        <w:rPr>
          <w:rStyle w:val="None"/>
          <w:rFonts w:ascii="Calibri" w:hAnsi="Calibri" w:cs="Calibri"/>
          <w:b/>
          <w:bCs/>
        </w:rPr>
      </w:pPr>
      <w:r w:rsidRPr="00B14422">
        <w:rPr>
          <w:rFonts w:ascii="Calibri" w:hAnsi="Calibri" w:cs="Calibri"/>
          <w:noProof/>
          <w:shd w:val="clear" w:color="auto" w:fill="FFFFFF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429D89CB" wp14:editId="30BC13A7">
            <wp:simplePos x="0" y="0"/>
            <wp:positionH relativeFrom="column">
              <wp:posOffset>645160</wp:posOffset>
            </wp:positionH>
            <wp:positionV relativeFrom="paragraph">
              <wp:posOffset>94852</wp:posOffset>
            </wp:positionV>
            <wp:extent cx="4538949" cy="2906968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lification Plot_2020-04-09-pos samp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49" cy="290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7958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6E3A2FE2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494BE850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001C1E9B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51CED61B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06F8B3B0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0E121BB1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hAnsi="Calibri" w:cs="Calibri"/>
          <w:lang w:val="en-GB"/>
        </w:rPr>
      </w:pPr>
    </w:p>
    <w:p w14:paraId="67BD03FB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hAnsi="Calibri" w:cs="Calibri"/>
          <w:lang w:val="en-GB"/>
        </w:rPr>
      </w:pPr>
    </w:p>
    <w:p w14:paraId="594E943E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hAnsi="Calibri" w:cs="Calibri"/>
          <w:lang w:val="en-GB"/>
        </w:rPr>
      </w:pPr>
    </w:p>
    <w:p w14:paraId="3699E31E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hAnsi="Calibri" w:cs="Calibri"/>
          <w:lang w:val="en-GB"/>
        </w:rPr>
      </w:pPr>
    </w:p>
    <w:p w14:paraId="48AAD282" w14:textId="77777777" w:rsidR="000E3779" w:rsidRPr="00B14422" w:rsidRDefault="000E3779" w:rsidP="000E377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Tahoma" w:hAnsi="Calibri" w:cs="Calibri"/>
          <w:lang w:val="en-GB"/>
        </w:rPr>
      </w:pPr>
    </w:p>
    <w:p w14:paraId="5C5AB28C" w14:textId="77777777" w:rsidR="000E3779" w:rsidRPr="00B14422" w:rsidRDefault="000E3779" w:rsidP="000E3779">
      <w:pPr>
        <w:spacing w:line="360" w:lineRule="auto"/>
        <w:rPr>
          <w:rStyle w:val="None"/>
          <w:rFonts w:ascii="Calibri" w:hAnsi="Calibri" w:cs="Calibri"/>
          <w:b/>
          <w:bCs/>
          <w:szCs w:val="20"/>
        </w:rPr>
      </w:pPr>
    </w:p>
    <w:p w14:paraId="4D71867A" w14:textId="77777777" w:rsidR="000E3779" w:rsidRDefault="000E3779" w:rsidP="002833C7">
      <w:pPr>
        <w:pStyle w:val="Para"/>
        <w:spacing w:line="360" w:lineRule="auto"/>
        <w:rPr>
          <w:sz w:val="24"/>
        </w:rPr>
      </w:pPr>
    </w:p>
    <w:p w14:paraId="2FE2F0D1" w14:textId="23945CC9" w:rsidR="005C1451" w:rsidRDefault="00D210C6" w:rsidP="000E3779">
      <w:pPr>
        <w:pStyle w:val="FigureCaption"/>
        <w:spacing w:line="360" w:lineRule="auto"/>
      </w:pPr>
      <w:r>
        <w:rPr>
          <w:rStyle w:val="Label"/>
          <w:sz w:val="24"/>
        </w:rPr>
        <w:t xml:space="preserve">Supplementary </w:t>
      </w:r>
      <w:r w:rsidRPr="0089193E">
        <w:rPr>
          <w:rStyle w:val="Label"/>
          <w:sz w:val="24"/>
        </w:rPr>
        <w:t xml:space="preserve">Fig. </w:t>
      </w:r>
      <w:r>
        <w:rPr>
          <w:rStyle w:val="Label"/>
          <w:sz w:val="24"/>
        </w:rPr>
        <w:t>1</w:t>
      </w:r>
      <w:r w:rsidRPr="00EC51F4">
        <w:rPr>
          <w:sz w:val="24"/>
        </w:rPr>
        <w:t xml:space="preserve"> </w:t>
      </w:r>
      <w:r w:rsidRPr="0089193E">
        <w:rPr>
          <w:sz w:val="24"/>
        </w:rPr>
        <w:t>Real-time polymerase chain reaction (PCR) amplification plot for detecting SARS-CoV-2 (x-axis, PCR cycle number; y-axis, signal intensity)</w:t>
      </w:r>
      <w:r w:rsidRPr="0089193E">
        <w:rPr>
          <w:sz w:val="24"/>
          <w:lang w:val="en-GB"/>
        </w:rPr>
        <w:t>.</w:t>
      </w:r>
    </w:p>
    <w:sectPr w:rsidR="005C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C7"/>
    <w:rsid w:val="000E3779"/>
    <w:rsid w:val="002833C7"/>
    <w:rsid w:val="003902CD"/>
    <w:rsid w:val="004B26FB"/>
    <w:rsid w:val="005C1451"/>
    <w:rsid w:val="00866C90"/>
    <w:rsid w:val="009F2AB5"/>
    <w:rsid w:val="00A86000"/>
    <w:rsid w:val="00D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8649"/>
  <w15:chartTrackingRefBased/>
  <w15:docId w15:val="{A7CD5EDE-9A89-4B31-8142-D3D4380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2833C7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2833C7"/>
    <w:rPr>
      <w:rFonts w:ascii="Times New Roman" w:hAnsi="Times New Roman" w:cs="Times New Roman" w:hint="default"/>
      <w:color w:val="FF00FF"/>
      <w:sz w:val="20"/>
      <w:szCs w:val="20"/>
      <w:bdr w:val="none" w:sz="0" w:space="0" w:color="auto" w:frame="1"/>
    </w:rPr>
  </w:style>
  <w:style w:type="character" w:customStyle="1" w:styleId="Apos">
    <w:name w:val="Apos"/>
    <w:rsid w:val="002833C7"/>
    <w:rPr>
      <w:color w:val="FF00FF"/>
      <w:sz w:val="20"/>
    </w:rPr>
  </w:style>
  <w:style w:type="paragraph" w:customStyle="1" w:styleId="FigureCaption">
    <w:name w:val="FigureCaption"/>
    <w:rsid w:val="00D210C6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Label">
    <w:name w:val="Label"/>
    <w:rsid w:val="00D210C6"/>
    <w:rPr>
      <w:color w:val="FF0000"/>
      <w:sz w:val="20"/>
    </w:rPr>
  </w:style>
  <w:style w:type="character" w:customStyle="1" w:styleId="None">
    <w:name w:val="None"/>
    <w:rsid w:val="000E3779"/>
  </w:style>
  <w:style w:type="paragraph" w:customStyle="1" w:styleId="BodyA">
    <w:name w:val="Body A"/>
    <w:link w:val="BodyAZchn"/>
    <w:rsid w:val="000E37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odyAZchn">
    <w:name w:val="Body A Zchn"/>
    <w:basedOn w:val="DefaultParagraphFont"/>
    <w:link w:val="BodyA"/>
    <w:rsid w:val="000E3779"/>
    <w:rPr>
      <w:rFonts w:ascii="Helvetica Neue" w:eastAsia="Helvetica Neue" w:hAnsi="Helvetica Neue" w:cs="Helvetica Neue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4</cp:revision>
  <dcterms:created xsi:type="dcterms:W3CDTF">2020-12-24T18:57:00Z</dcterms:created>
  <dcterms:modified xsi:type="dcterms:W3CDTF">2020-12-26T17:43:00Z</dcterms:modified>
</cp:coreProperties>
</file>