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4679" w14:textId="053055DC" w:rsidR="00CE3F2B" w:rsidRPr="00D96821" w:rsidRDefault="00CE3F2B" w:rsidP="00D96821">
      <w:pPr>
        <w:spacing w:line="360" w:lineRule="auto"/>
        <w:rPr>
          <w:rFonts w:asciiTheme="minorHAnsi" w:hAnsiTheme="minorHAnsi"/>
          <w:b/>
        </w:rPr>
      </w:pPr>
      <w:bookmarkStart w:id="0" w:name="_GoBack"/>
      <w:bookmarkEnd w:id="0"/>
      <w:r w:rsidRPr="00D96821">
        <w:rPr>
          <w:rFonts w:asciiTheme="minorHAnsi" w:hAnsiTheme="minorHAnsi"/>
          <w:b/>
        </w:rPr>
        <w:t>S1: Reliable and clinically significant change calculation</w:t>
      </w:r>
    </w:p>
    <w:p w14:paraId="2A5A9B9C" w14:textId="71107C79" w:rsidR="00CE3F2B" w:rsidRPr="00D96821" w:rsidRDefault="00CE3F2B" w:rsidP="00D96821">
      <w:pPr>
        <w:spacing w:line="360" w:lineRule="auto"/>
        <w:rPr>
          <w:rFonts w:asciiTheme="minorHAnsi" w:hAnsiTheme="minorHAnsi"/>
          <w:b/>
        </w:rPr>
      </w:pPr>
    </w:p>
    <w:p w14:paraId="1D0BEFDF" w14:textId="5D892C83" w:rsidR="00D96821" w:rsidRPr="00D96821" w:rsidRDefault="00D96821" w:rsidP="00D96821">
      <w:pPr>
        <w:spacing w:line="360" w:lineRule="auto"/>
        <w:rPr>
          <w:rFonts w:asciiTheme="minorHAnsi" w:hAnsiTheme="minorHAnsi"/>
        </w:rPr>
      </w:pPr>
      <w:r w:rsidRPr="00D96821">
        <w:rPr>
          <w:rFonts w:asciiTheme="minorHAnsi" w:hAnsiTheme="minorHAnsi"/>
          <w:noProof/>
        </w:rPr>
        <mc:AlternateContent>
          <mc:Choice Requires="wps">
            <w:drawing>
              <wp:anchor distT="0" distB="0" distL="114300" distR="114300" simplePos="0" relativeHeight="251659264" behindDoc="0" locked="0" layoutInCell="1" allowOverlap="1" wp14:anchorId="5B9C0E39" wp14:editId="12A29EFB">
                <wp:simplePos x="0" y="0"/>
                <wp:positionH relativeFrom="column">
                  <wp:posOffset>-103505</wp:posOffset>
                </wp:positionH>
                <wp:positionV relativeFrom="paragraph">
                  <wp:posOffset>411480</wp:posOffset>
                </wp:positionV>
                <wp:extent cx="2329180" cy="683260"/>
                <wp:effectExtent l="0" t="0" r="13970" b="21590"/>
                <wp:wrapTopAndBottom/>
                <wp:docPr id="198" name="Rectangle 198"/>
                <wp:cNvGraphicFramePr/>
                <a:graphic xmlns:a="http://schemas.openxmlformats.org/drawingml/2006/main">
                  <a:graphicData uri="http://schemas.microsoft.com/office/word/2010/wordprocessingShape">
                    <wps:wsp>
                      <wps:cNvSpPr/>
                      <wps:spPr>
                        <a:xfrm>
                          <a:off x="0" y="0"/>
                          <a:ext cx="2329180" cy="683260"/>
                        </a:xfrm>
                        <a:prstGeom prst="rect">
                          <a:avLst/>
                        </a:prstGeom>
                        <a:ln/>
                      </wps:spPr>
                      <wps:style>
                        <a:lnRef idx="2">
                          <a:schemeClr val="dk1"/>
                        </a:lnRef>
                        <a:fillRef idx="1">
                          <a:schemeClr val="lt1"/>
                        </a:fillRef>
                        <a:effectRef idx="0">
                          <a:schemeClr val="dk1"/>
                        </a:effectRef>
                        <a:fontRef idx="minor">
                          <a:schemeClr val="dk1"/>
                        </a:fontRef>
                      </wps:style>
                      <wps:txbx>
                        <w:txbxContent>
                          <w:p w14:paraId="673CF959" w14:textId="2BB48B6D" w:rsidR="00D96821" w:rsidRPr="00DE402D" w:rsidRDefault="00D96821" w:rsidP="00DE402D">
                            <w:pPr>
                              <w:jc w:val="center"/>
                              <w:rPr>
                                <w:b/>
                              </w:rPr>
                            </w:pPr>
                            <m:oMathPara>
                              <m:oMath>
                                <m:r>
                                  <m:rPr>
                                    <m:sty m:val="bi"/>
                                  </m:rPr>
                                  <w:rPr>
                                    <w:rFonts w:ascii="Cambria Math" w:hAnsi="Cambria Math"/>
                                  </w:rPr>
                                  <m:t xml:space="preserve">Reliable change=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diff</m:t>
                                        </m:r>
                                      </m:sub>
                                    </m:sSub>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C0E39" id="Rectangle 198" o:spid="_x0000_s1026" style="position:absolute;margin-left:-8.15pt;margin-top:32.4pt;width:183.4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ZgawIAACAFAAAOAAAAZHJzL2Uyb0RvYy54bWysVN9P2zAQfp+0/8Hy+0hTGIOKFFUgpkkI&#10;KmDi2XXsNprt885uk+6v39lJA2JoD9NekjvfL9933/nisrOG7RSGBlzFy6MJZ8pJqBu3rvj3p5tP&#10;Z5yFKFwtDDhV8b0K/HL+8cNF62dqChswtUJGSVyYtb7imxj9rCiC3CgrwhF45cioAa2IpOK6qFG0&#10;lN2aYjqZnBYtYO0RpAqBTq97I5/n/ForGe+1DioyU3G6W8xfzN9V+hbzCzFbo/CbRg7XEP9wCysa&#10;R0XHVNciCrbF5o9UtpEIAXQ8kmAL0LqRKvdA3ZSTN908boRXuRcCJ/gRpvD/0sq73RJZU9PszmlU&#10;Tlga0gPBJtzaKJYOCaLWhxl5PvolDlogMfXbabTpT52wLsO6H2FVXWSSDqfH0/PyjNCXZDs9O56e&#10;ZtyLl2iPIX5VYFkSKo5UP6MpdrchUkVyPbikYsals3Sp/hpZinujeuOD0tRRKpyTZC6pK4NsJ4gF&#10;9Y8ytUQpjSPPFKIbY8ag8r0gEw9Bg28KU5lfY+DkvcCXaqN3rggujoG2cYB/D9a9/6HrvtfUduxW&#10;3TCSFdR7miVCT/Lg5U1DcN6KEJcCidU0AdrUeE8fbaCtOAwSZxvAX++dJ38iG1k5a2lLKh5+bgUq&#10;zsw3RzQ8L09O0lpl5eTzlykp+Nqyem1xW3sFNIKS3gQvs5j8ozmIGsE+00IvUlUyCSepdsVlxINy&#10;FfvtpSdBqsUiu9EqeRFv3aOXKXkCONHlqXsW6AdORWLjHRw2SszeUKv3TZEOFtsIusm8SxD3uA7Q&#10;0xpm7gxPRtrz13r2ennY5r8BAAD//wMAUEsDBBQABgAIAAAAIQBepYY/3wAAAAoBAAAPAAAAZHJz&#10;L2Rvd25yZXYueG1sTI/LTsMwEEX3SPyDNUjsWruvtIQ4VYVgBWpFYdGlGw9JhB+R7Sbp3zOsYDma&#10;o3vPLbajNazHEFvvJMymAhi6yuvW1RI+P14mG2AxKaeV8Q4lXDHCtry9KVSu/eDesT+mmlGIi7mS&#10;0KTU5ZzHqkGr4tR36Oj35YNVic5Qcx3UQOHW8LkQGbeqddTQqA6fGqy+jxcrwR/aq9mFh33/huvT&#10;6yGJYcyepby/G3ePwBKO6Q+GX31Sh5Kczv7idGRGwmSWLQiVkC1pAgGLlVgBOxO5ni+BlwX/P6H8&#10;AQAA//8DAFBLAQItABQABgAIAAAAIQC2gziS/gAAAOEBAAATAAAAAAAAAAAAAAAAAAAAAABbQ29u&#10;dGVudF9UeXBlc10ueG1sUEsBAi0AFAAGAAgAAAAhADj9If/WAAAAlAEAAAsAAAAAAAAAAAAAAAAA&#10;LwEAAF9yZWxzLy5yZWxzUEsBAi0AFAAGAAgAAAAhAODIJmBrAgAAIAUAAA4AAAAAAAAAAAAAAAAA&#10;LgIAAGRycy9lMm9Eb2MueG1sUEsBAi0AFAAGAAgAAAAhAF6lhj/fAAAACgEAAA8AAAAAAAAAAAAA&#10;AAAAxQQAAGRycy9kb3ducmV2LnhtbFBLBQYAAAAABAAEAPMAAADRBQAAAAA=&#10;" fillcolor="white [3201]" strokecolor="black [3200]" strokeweight="1pt">
                <v:textbox>
                  <w:txbxContent>
                    <w:p w14:paraId="673CF959" w14:textId="2BB48B6D" w:rsidR="00D96821" w:rsidRPr="00DE402D" w:rsidRDefault="00D96821" w:rsidP="00DE402D">
                      <w:pPr>
                        <w:jc w:val="center"/>
                        <w:rPr>
                          <w:b/>
                        </w:rPr>
                      </w:pPr>
                      <m:oMathPara>
                        <m:oMath>
                          <m:r>
                            <m:rPr>
                              <m:sty m:val="bi"/>
                            </m:rPr>
                            <w:rPr>
                              <w:rFonts w:ascii="Cambria Math" w:hAnsi="Cambria Math"/>
                            </w:rPr>
                            <m:t xml:space="preserve">Reliable change=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diff</m:t>
                                  </m:r>
                                </m:sub>
                              </m:sSub>
                            </m:den>
                          </m:f>
                        </m:oMath>
                      </m:oMathPara>
                    </w:p>
                  </w:txbxContent>
                </v:textbox>
                <w10:wrap type="topAndBottom"/>
              </v:rect>
            </w:pict>
          </mc:Fallback>
        </mc:AlternateContent>
      </w:r>
      <w:r w:rsidRPr="00D96821">
        <w:rPr>
          <w:rFonts w:asciiTheme="minorHAnsi" w:hAnsiTheme="minorHAnsi"/>
        </w:rPr>
        <w:t>The formula to calculate reliable change proposed by Jacobson and Truax</w:t>
      </w:r>
      <w:r>
        <w:rPr>
          <w:rFonts w:asciiTheme="minorHAnsi" w:hAnsiTheme="minorHAnsi"/>
        </w:rPr>
        <w:t xml:space="preserve"> (1991) </w:t>
      </w:r>
      <w:r w:rsidRPr="00D96821">
        <w:rPr>
          <w:rFonts w:asciiTheme="minorHAnsi" w:hAnsiTheme="minorHAnsi"/>
        </w:rPr>
        <w:t>is:</w:t>
      </w:r>
    </w:p>
    <w:p w14:paraId="149F8D70" w14:textId="05DA7F6F" w:rsidR="00DE402D" w:rsidRDefault="00D96821" w:rsidP="00D96821">
      <w:pPr>
        <w:spacing w:line="360" w:lineRule="auto"/>
        <w:rPr>
          <w:rFonts w:asciiTheme="minorHAnsi" w:hAnsiTheme="minorHAnsi"/>
        </w:rPr>
      </w:pP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r w:rsidRPr="00D96821">
        <w:rPr>
          <w:rFonts w:asciiTheme="minorHAnsi" w:hAnsiTheme="minorHAnsi"/>
        </w:rPr>
        <w:softHyphen/>
      </w:r>
    </w:p>
    <w:p w14:paraId="6DFDF202" w14:textId="2A577534" w:rsidR="00D96821" w:rsidRPr="00D96821" w:rsidRDefault="00DE402D" w:rsidP="00D96821">
      <w:pPr>
        <w:spacing w:line="360" w:lineRule="auto"/>
        <w:rPr>
          <w:rFonts w:asciiTheme="minorHAnsi" w:hAnsiTheme="minorHAnsi"/>
        </w:rPr>
      </w:pPr>
      <w:r w:rsidRPr="00D96821">
        <w:rPr>
          <w:rFonts w:asciiTheme="minorHAnsi" w:hAnsiTheme="minorHAnsi"/>
          <w:noProof/>
        </w:rPr>
        <mc:AlternateContent>
          <mc:Choice Requires="wps">
            <w:drawing>
              <wp:anchor distT="0" distB="0" distL="114300" distR="114300" simplePos="0" relativeHeight="251660288" behindDoc="0" locked="0" layoutInCell="1" allowOverlap="1" wp14:anchorId="33F845E7" wp14:editId="393326AE">
                <wp:simplePos x="0" y="0"/>
                <wp:positionH relativeFrom="column">
                  <wp:posOffset>-6985</wp:posOffset>
                </wp:positionH>
                <wp:positionV relativeFrom="paragraph">
                  <wp:posOffset>972019</wp:posOffset>
                </wp:positionV>
                <wp:extent cx="1524000" cy="609600"/>
                <wp:effectExtent l="0" t="0" r="19050" b="19050"/>
                <wp:wrapTopAndBottom/>
                <wp:docPr id="199" name="Rectangle 199"/>
                <wp:cNvGraphicFramePr/>
                <a:graphic xmlns:a="http://schemas.openxmlformats.org/drawingml/2006/main">
                  <a:graphicData uri="http://schemas.microsoft.com/office/word/2010/wordprocessingShape">
                    <wps:wsp>
                      <wps:cNvSpPr/>
                      <wps:spPr>
                        <a:xfrm>
                          <a:off x="0" y="0"/>
                          <a:ext cx="1524000" cy="609600"/>
                        </a:xfrm>
                        <a:prstGeom prst="rect">
                          <a:avLst/>
                        </a:prstGeom>
                        <a:ln/>
                      </wps:spPr>
                      <wps:style>
                        <a:lnRef idx="2">
                          <a:schemeClr val="dk1"/>
                        </a:lnRef>
                        <a:fillRef idx="1">
                          <a:schemeClr val="lt1"/>
                        </a:fillRef>
                        <a:effectRef idx="0">
                          <a:schemeClr val="dk1"/>
                        </a:effectRef>
                        <a:fontRef idx="minor">
                          <a:schemeClr val="dk1"/>
                        </a:fontRef>
                      </wps:style>
                      <wps:txbx>
                        <w:txbxContent>
                          <w:p w14:paraId="30D7F60A" w14:textId="48559EA0" w:rsidR="00D96821" w:rsidRPr="00DE402D" w:rsidRDefault="00121ED1" w:rsidP="00DE402D">
                            <w:pPr>
                              <w:jc w:val="center"/>
                              <w:rPr>
                                <w:b/>
                              </w:rPr>
                            </w:pPr>
                            <m:oMathPara>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diff</m:t>
                                    </m:r>
                                  </m:sub>
                                </m:sSub>
                                <m:r>
                                  <m:rPr>
                                    <m:sty m:val="bi"/>
                                  </m:rPr>
                                  <w:rPr>
                                    <w:rFonts w:ascii="Cambria Math" w:hAnsi="Cambria Math"/>
                                  </w:rPr>
                                  <m:t xml:space="preserve">= </m:t>
                                </m:r>
                                <m:rad>
                                  <m:radPr>
                                    <m:degHide m:val="1"/>
                                    <m:ctrlPr>
                                      <w:rPr>
                                        <w:rFonts w:ascii="Cambria Math" w:hAnsi="Cambria Math"/>
                                        <w:b/>
                                        <w:i/>
                                      </w:rPr>
                                    </m:ctrlPr>
                                  </m:radPr>
                                  <m:deg/>
                                  <m:e>
                                    <m:r>
                                      <m:rPr>
                                        <m:sty m:val="bi"/>
                                      </m:rPr>
                                      <w:rPr>
                                        <w:rFonts w:ascii="Cambria Math" w:hAnsi="Cambria Math"/>
                                      </w:rPr>
                                      <m:t>2(</m:t>
                                    </m:r>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E</m:t>
                                        </m:r>
                                      </m:sub>
                                    </m:sSub>
                                    <m:sSup>
                                      <m:sSupPr>
                                        <m:ctrlPr>
                                          <w:rPr>
                                            <w:rFonts w:ascii="Cambria Math" w:hAnsi="Cambria Math"/>
                                            <w:b/>
                                            <w:i/>
                                          </w:rPr>
                                        </m:ctrlPr>
                                      </m:sSupPr>
                                      <m:e>
                                        <m:r>
                                          <m:rPr>
                                            <m:sty m:val="bi"/>
                                          </m:rPr>
                                          <w:rPr>
                                            <w:rFonts w:ascii="Cambria Math" w:hAnsi="Cambria Math"/>
                                          </w:rPr>
                                          <m:t>)</m:t>
                                        </m:r>
                                      </m:e>
                                      <m:sup>
                                        <m:r>
                                          <m:rPr>
                                            <m:sty m:val="bi"/>
                                          </m:rPr>
                                          <w:rPr>
                                            <w:rFonts w:ascii="Cambria Math" w:hAnsi="Cambria Math"/>
                                          </w:rPr>
                                          <m:t>2</m:t>
                                        </m:r>
                                      </m:sup>
                                    </m:sSup>
                                  </m:e>
                                </m:rad>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845E7" id="Rectangle 199" o:spid="_x0000_s1027" style="position:absolute;margin-left:-.55pt;margin-top:76.55pt;width:120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5+awIAACcFAAAOAAAAZHJzL2Uyb0RvYy54bWysVEtv2zAMvg/YfxB0X20HabcEdYqgRYcB&#10;RVu0HXpWZCkxJosapcTOfv0o+dGiK3YYdrFJ8SV+/Kjzi64x7KDQ12BLXpzknCkroarttuTfn64/&#10;feHMB2ErYcCqkh+V5xerjx/OW7dUM9iBqRQySmL9snUl34Xgllnm5U41wp+AU5aMGrARgVTcZhWK&#10;lrI3Jpvl+VnWAlYOQSrv6fSqN/JVyq+1kuFOa68CMyWnu4X0xfTdxG+2OhfLLQq3q+VwDfEPt2hE&#10;banolOpKBMH2WP+RqqklggcdTiQ0GWhdS5V6oG6K/E03jzvhVOqFwPFugsn/v7Ty9nCPrK5odosF&#10;Z1Y0NKQHgk3YrVEsHhJErfNL8nx09zhonsTYb6exiX/qhHUJ1uMEq+oCk3RYnM7meU7oS7Kd5Ysz&#10;kilN9hLt0IevChoWhZIj1U9oisOND73r6BKLGRvP4qX6ayQpHI3qjQ9KU0dUeJaSJC6pS4PsIIgF&#10;1Y9iqG4secYQXRszBRXvBZkwBg2+MUwlfk2B+XuBL9Um71QRbJgCm9oC/j1Y9/5j132vse3Qbbp+&#10;fOOcNlAdaaQIPde9k9c1oXojfLgXSOSmQdDChjv6aANtyWGQONsB/nrvPPoT58jKWUvLUnL/cy9Q&#10;cWa+WWLjopjP43YlZX76eUYKvrZsXlvsvrkEmkRBT4OTSYz+wYyiRmieaa/XsSqZhJVUu+Qy4Khc&#10;hn6J6WWQar1ObrRRToQb++hkTB5xjqx56p4FuoFagUh5C+NiieUbhvW+MdLCeh9A14l+Eeke12EC&#10;tI2JwMPLEdf9tZ68Xt631W8AAAD//wMAUEsDBBQABgAIAAAAIQCPPQaw3wAAAAoBAAAPAAAAZHJz&#10;L2Rvd25yZXYueG1sTI9BT8MwDIXvSPyHyEjctrQbjLU0nSYEJxAT2w4cs8a0FYlTNVnb/XvMCW7P&#10;fk/Pn4vN5KwYsA+tJwXpPAGBVHnTUq3geHiZrUGEqMlo6wkVXDDApry+KnRu/EgfOOxjLbiEQq4V&#10;NDF2uZShatDpMPcdEntfvnc68tjX0vR65HJn5SJJVtLplvhCozt8arD63p+dAr9rL3bbZ+/DGz58&#10;vu5iMk6rZ6Vub6btI4iIU/wLwy8+o0PJTCd/JhOEVTBLU07y/n7JggOL5ToDcWJxl6Ugy0L+f6H8&#10;AQAA//8DAFBLAQItABQABgAIAAAAIQC2gziS/gAAAOEBAAATAAAAAAAAAAAAAAAAAAAAAABbQ29u&#10;dGVudF9UeXBlc10ueG1sUEsBAi0AFAAGAAgAAAAhADj9If/WAAAAlAEAAAsAAAAAAAAAAAAAAAAA&#10;LwEAAF9yZWxzLy5yZWxzUEsBAi0AFAAGAAgAAAAhAJtnrn5rAgAAJwUAAA4AAAAAAAAAAAAAAAAA&#10;LgIAAGRycy9lMm9Eb2MueG1sUEsBAi0AFAAGAAgAAAAhAI89BrDfAAAACgEAAA8AAAAAAAAAAAAA&#10;AAAAxQQAAGRycy9kb3ducmV2LnhtbFBLBQYAAAAABAAEAPMAAADRBQAAAAA=&#10;" fillcolor="white [3201]" strokecolor="black [3200]" strokeweight="1pt">
                <v:textbox>
                  <w:txbxContent>
                    <w:p w14:paraId="30D7F60A" w14:textId="48559EA0" w:rsidR="00D96821" w:rsidRPr="00DE402D" w:rsidRDefault="00121ED1" w:rsidP="00DE402D">
                      <w:pPr>
                        <w:jc w:val="center"/>
                        <w:rPr>
                          <w:b/>
                        </w:rPr>
                      </w:pPr>
                      <m:oMathPara>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diff</m:t>
                              </m:r>
                            </m:sub>
                          </m:sSub>
                          <m:r>
                            <m:rPr>
                              <m:sty m:val="bi"/>
                            </m:rPr>
                            <w:rPr>
                              <w:rFonts w:ascii="Cambria Math" w:hAnsi="Cambria Math"/>
                            </w:rPr>
                            <m:t xml:space="preserve">= </m:t>
                          </m:r>
                          <m:rad>
                            <m:radPr>
                              <m:degHide m:val="1"/>
                              <m:ctrlPr>
                                <w:rPr>
                                  <w:rFonts w:ascii="Cambria Math" w:hAnsi="Cambria Math"/>
                                  <w:b/>
                                  <w:i/>
                                </w:rPr>
                              </m:ctrlPr>
                            </m:radPr>
                            <m:deg/>
                            <m:e>
                              <m:r>
                                <m:rPr>
                                  <m:sty m:val="bi"/>
                                </m:rPr>
                                <w:rPr>
                                  <w:rFonts w:ascii="Cambria Math" w:hAnsi="Cambria Math"/>
                                </w:rPr>
                                <m:t>2(</m:t>
                              </m:r>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E</m:t>
                                  </m:r>
                                </m:sub>
                              </m:sSub>
                              <m:sSup>
                                <m:sSupPr>
                                  <m:ctrlPr>
                                    <w:rPr>
                                      <w:rFonts w:ascii="Cambria Math" w:hAnsi="Cambria Math"/>
                                      <w:b/>
                                      <w:i/>
                                    </w:rPr>
                                  </m:ctrlPr>
                                </m:sSupPr>
                                <m:e>
                                  <m:r>
                                    <m:rPr>
                                      <m:sty m:val="bi"/>
                                    </m:rPr>
                                    <w:rPr>
                                      <w:rFonts w:ascii="Cambria Math" w:hAnsi="Cambria Math"/>
                                    </w:rPr>
                                    <m:t>)</m:t>
                                  </m:r>
                                </m:e>
                                <m:sup>
                                  <m:r>
                                    <m:rPr>
                                      <m:sty m:val="bi"/>
                                    </m:rPr>
                                    <w:rPr>
                                      <w:rFonts w:ascii="Cambria Math" w:hAnsi="Cambria Math"/>
                                    </w:rPr>
                                    <m:t>2</m:t>
                                  </m:r>
                                </m:sup>
                              </m:sSup>
                            </m:e>
                          </m:rad>
                        </m:oMath>
                      </m:oMathPara>
                    </w:p>
                  </w:txbxContent>
                </v:textbox>
                <w10:wrap type="topAndBottom"/>
              </v:rect>
            </w:pict>
          </mc:Fallback>
        </mc:AlternateContent>
      </w:r>
      <w:r w:rsidR="00D96821" w:rsidRPr="00D96821">
        <w:rPr>
          <w:rFonts w:asciiTheme="minorHAnsi" w:hAnsiTheme="minorHAnsi"/>
        </w:rPr>
        <w:t>where x</w:t>
      </w:r>
      <w:r w:rsidR="00D96821" w:rsidRPr="00D96821">
        <w:rPr>
          <w:rFonts w:asciiTheme="minorHAnsi" w:hAnsiTheme="minorHAnsi"/>
          <w:vertAlign w:val="subscript"/>
        </w:rPr>
        <w:t>1</w:t>
      </w:r>
      <w:r w:rsidR="00D96821" w:rsidRPr="00D96821">
        <w:rPr>
          <w:rFonts w:asciiTheme="minorHAnsi" w:hAnsiTheme="minorHAnsi"/>
        </w:rPr>
        <w:t xml:space="preserve"> represents a participant’s pre-test score, x</w:t>
      </w:r>
      <w:r w:rsidR="00D96821" w:rsidRPr="00D96821">
        <w:rPr>
          <w:rFonts w:asciiTheme="minorHAnsi" w:hAnsiTheme="minorHAnsi"/>
          <w:vertAlign w:val="subscript"/>
        </w:rPr>
        <w:t>2</w:t>
      </w:r>
      <w:r w:rsidR="00D96821" w:rsidRPr="00D96821">
        <w:rPr>
          <w:rFonts w:asciiTheme="minorHAnsi" w:hAnsiTheme="minorHAnsi"/>
        </w:rPr>
        <w:t xml:space="preserve"> represents a participant’s post-test score and </w:t>
      </w:r>
      <w:proofErr w:type="spellStart"/>
      <w:r w:rsidR="00D96821" w:rsidRPr="00D96821">
        <w:rPr>
          <w:rFonts w:asciiTheme="minorHAnsi" w:hAnsiTheme="minorHAnsi"/>
        </w:rPr>
        <w:t>S</w:t>
      </w:r>
      <w:r w:rsidR="00D96821" w:rsidRPr="00D96821">
        <w:rPr>
          <w:rFonts w:asciiTheme="minorHAnsi" w:hAnsiTheme="minorHAnsi"/>
          <w:vertAlign w:val="subscript"/>
        </w:rPr>
        <w:t>diff</w:t>
      </w:r>
      <w:proofErr w:type="spellEnd"/>
      <w:r w:rsidR="00D96821" w:rsidRPr="00D96821">
        <w:rPr>
          <w:rFonts w:asciiTheme="minorHAnsi" w:hAnsiTheme="minorHAnsi"/>
        </w:rPr>
        <w:t xml:space="preserve"> is the standard error of the difference between the scores. </w:t>
      </w:r>
      <w:proofErr w:type="spellStart"/>
      <w:r w:rsidR="00D96821" w:rsidRPr="00D96821">
        <w:rPr>
          <w:rFonts w:asciiTheme="minorHAnsi" w:hAnsiTheme="minorHAnsi"/>
        </w:rPr>
        <w:t>S</w:t>
      </w:r>
      <w:r w:rsidR="00D96821" w:rsidRPr="00D96821">
        <w:rPr>
          <w:rFonts w:asciiTheme="minorHAnsi" w:hAnsiTheme="minorHAnsi"/>
          <w:vertAlign w:val="subscript"/>
        </w:rPr>
        <w:t>diff</w:t>
      </w:r>
      <w:proofErr w:type="spellEnd"/>
      <w:r w:rsidR="00D96821" w:rsidRPr="00D96821">
        <w:rPr>
          <w:rFonts w:asciiTheme="minorHAnsi" w:hAnsiTheme="minorHAnsi"/>
        </w:rPr>
        <w:t xml:space="preserve"> can be calculated from the standard error of measurement (S</w:t>
      </w:r>
      <w:r w:rsidR="00D96821" w:rsidRPr="00D96821">
        <w:rPr>
          <w:rFonts w:asciiTheme="minorHAnsi" w:hAnsiTheme="minorHAnsi"/>
          <w:vertAlign w:val="subscript"/>
        </w:rPr>
        <w:t>E</w:t>
      </w:r>
      <w:r w:rsidR="00D96821" w:rsidRPr="00D96821">
        <w:rPr>
          <w:rFonts w:asciiTheme="minorHAnsi" w:hAnsiTheme="minorHAnsi"/>
        </w:rPr>
        <w:t>) according to the formula:</w:t>
      </w:r>
    </w:p>
    <w:p w14:paraId="423A392D" w14:textId="77777777" w:rsidR="00D96821" w:rsidRPr="00D96821" w:rsidRDefault="00D96821" w:rsidP="00D96821">
      <w:pPr>
        <w:spacing w:line="360" w:lineRule="auto"/>
        <w:rPr>
          <w:rFonts w:asciiTheme="minorHAnsi" w:hAnsiTheme="minorHAnsi"/>
        </w:rPr>
      </w:pPr>
    </w:p>
    <w:p w14:paraId="4EB05654" w14:textId="77777777" w:rsidR="00D96821" w:rsidRPr="00D96821" w:rsidRDefault="00D96821" w:rsidP="00D96821">
      <w:pPr>
        <w:keepNext/>
        <w:spacing w:line="360" w:lineRule="auto"/>
        <w:rPr>
          <w:rFonts w:asciiTheme="minorHAnsi" w:hAnsiTheme="minorHAnsi"/>
        </w:rPr>
      </w:pPr>
      <w:r w:rsidRPr="00D96821">
        <w:rPr>
          <w:rFonts w:asciiTheme="minorHAnsi" w:hAnsiTheme="minorHAnsi"/>
          <w:noProof/>
        </w:rPr>
        <mc:AlternateContent>
          <mc:Choice Requires="wps">
            <w:drawing>
              <wp:anchor distT="0" distB="0" distL="114300" distR="114300" simplePos="0" relativeHeight="251661312" behindDoc="0" locked="0" layoutInCell="1" allowOverlap="1" wp14:anchorId="1B9524C8" wp14:editId="43B0BAF6">
                <wp:simplePos x="0" y="0"/>
                <wp:positionH relativeFrom="column">
                  <wp:posOffset>-5080</wp:posOffset>
                </wp:positionH>
                <wp:positionV relativeFrom="paragraph">
                  <wp:posOffset>309880</wp:posOffset>
                </wp:positionV>
                <wp:extent cx="1524000" cy="609600"/>
                <wp:effectExtent l="0" t="0" r="19050" b="19050"/>
                <wp:wrapTopAndBottom/>
                <wp:docPr id="219" name="Rectangle 219"/>
                <wp:cNvGraphicFramePr/>
                <a:graphic xmlns:a="http://schemas.openxmlformats.org/drawingml/2006/main">
                  <a:graphicData uri="http://schemas.microsoft.com/office/word/2010/wordprocessingShape">
                    <wps:wsp>
                      <wps:cNvSpPr/>
                      <wps:spPr>
                        <a:xfrm>
                          <a:off x="0" y="0"/>
                          <a:ext cx="1524000" cy="609600"/>
                        </a:xfrm>
                        <a:prstGeom prst="rect">
                          <a:avLst/>
                        </a:prstGeom>
                        <a:ln/>
                      </wps:spPr>
                      <wps:style>
                        <a:lnRef idx="2">
                          <a:schemeClr val="dk1"/>
                        </a:lnRef>
                        <a:fillRef idx="1">
                          <a:schemeClr val="lt1"/>
                        </a:fillRef>
                        <a:effectRef idx="0">
                          <a:schemeClr val="dk1"/>
                        </a:effectRef>
                        <a:fontRef idx="minor">
                          <a:schemeClr val="dk1"/>
                        </a:fontRef>
                      </wps:style>
                      <wps:txbx>
                        <w:txbxContent>
                          <w:p w14:paraId="273B76E1" w14:textId="17B34BA6" w:rsidR="00D96821" w:rsidRPr="00DE402D" w:rsidRDefault="00121ED1" w:rsidP="00DE402D">
                            <w:pPr>
                              <w:jc w:val="center"/>
                              <w:rPr>
                                <w:b/>
                              </w:rPr>
                            </w:pPr>
                            <m:oMathPara>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E</m:t>
                                    </m:r>
                                  </m:sub>
                                </m:sSub>
                                <m:r>
                                  <m:rPr>
                                    <m:sty m:val="bi"/>
                                  </m:rPr>
                                  <w:rPr>
                                    <w:rFonts w:ascii="Cambria Math" w:hAnsi="Cambria Math"/>
                                  </w:rPr>
                                  <m:t xml:space="preserve">= </m:t>
                                </m:r>
                                <m:rad>
                                  <m:radPr>
                                    <m:ctrlPr>
                                      <w:rPr>
                                        <w:rFonts w:ascii="Cambria Math" w:hAnsi="Cambria Math"/>
                                        <w:b/>
                                        <w:i/>
                                      </w:rPr>
                                    </m:ctrlPr>
                                  </m:radPr>
                                  <m:deg>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1</m:t>
                                        </m:r>
                                      </m:sub>
                                    </m:sSub>
                                  </m:deg>
                                  <m:e>
                                    <m:r>
                                      <m:rPr>
                                        <m:sty m:val="bi"/>
                                      </m:rPr>
                                      <w:rPr>
                                        <w:rFonts w:ascii="Cambria Math" w:hAnsi="Cambria Math"/>
                                      </w:rPr>
                                      <m:t xml:space="preserve">1- </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xx</m:t>
                                        </m:r>
                                      </m:sub>
                                    </m:sSub>
                                  </m:e>
                                </m:rad>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524C8" id="Rectangle 219" o:spid="_x0000_s1028" style="position:absolute;margin-left:-.4pt;margin-top:24.4pt;width:120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yzawIAACcFAAAOAAAAZHJzL2Uyb0RvYy54bWysVEtv2zAMvg/YfxB0X20HabcEdYqgRYcB&#10;RVu0HXpWZCkxJosapcTOfv0o+dGiK3YYdrFJ8SV+/Kjzi64x7KDQ12BLXpzknCkroarttuTfn64/&#10;feHMB2ErYcCqkh+V5xerjx/OW7dUM9iBqRQySmL9snUl34Xgllnm5U41wp+AU5aMGrARgVTcZhWK&#10;lrI3Jpvl+VnWAlYOQSrv6fSqN/JVyq+1kuFOa68CMyWnu4X0xfTdxG+2OhfLLQq3q+VwDfEPt2hE&#10;banolOpKBMH2WP+RqqklggcdTiQ0GWhdS5V6oG6K/E03jzvhVOqFwPFugsn/v7Ty9nCPrK5KPisW&#10;nFnR0JAeCDZht0axeEgQtc4vyfPR3eOgeRJjv53GJv6pE9YlWI8TrKoLTNJhcTqb5zmhL8l2li/O&#10;SKY02Uu0Qx++KmhYFEqOVD+hKQ43PvSuo0ssZmw8i5fqr5GkcDSqNz4oTR1R4VlKkrikLg2ygyAW&#10;VD+Kobqx5BlDdG3MFFS8F2TCGDT4xjCV+DUF5u8FvlSbvFNFsGEKbGoL+Pdg3fuPXfe9xrZDt+n6&#10;8Y1z2kB1pJEi9Fz3Tl7XhOqN8OFeIJGbBkELG+7oow20JYdB4mwH+Ou98+hPnCMrZy0tS8n9z71A&#10;xZn5ZomNi2I+j9uVlPnp5xkp+NqyeW2x++YSaBIFPQ1OJjH6BzOKGqF5pr1ex6pkElZS7ZLLgKNy&#10;GfolppdBqvU6udFGORFu7KOTMXnEObLmqXsW6AZqBSLlLYyLJZZvGNb7xkgL630AXSf6RaR7XIcJ&#10;0DYmAg8vR1z313ryennfVr8BAAD//wMAUEsDBBQABgAIAAAAIQAE9Xtp3QAAAAgBAAAPAAAAZHJz&#10;L2Rvd25yZXYueG1sTI/BTsMwEETvSPyDtUjcqEOIShriVBWCE6gVhQNHN1mSCHsd2W6S/j3bUzmN&#10;VjOaeVuuZ2vEiD70jhTcLxIQSLVremoVfH2+3uUgQtTUaOMIFZwwwLq6vip10biJPnDcx1ZwCYVC&#10;K+hiHAopQ92h1WHhBiT2fpy3OvLpW9l4PXG5NTJNkqW0uide6PSAzx3Wv/ujVeB2/cls/Go7vuPj&#10;99suJtO8fFHq9mbePIGIOMdLGM74jA4VMx3ckZogjIIzeFSQ5axspw+rFMSBc1mWg6xK+f+B6g8A&#10;AP//AwBQSwECLQAUAAYACAAAACEAtoM4kv4AAADhAQAAEwAAAAAAAAAAAAAAAAAAAAAAW0NvbnRl&#10;bnRfVHlwZXNdLnhtbFBLAQItABQABgAIAAAAIQA4/SH/1gAAAJQBAAALAAAAAAAAAAAAAAAAAC8B&#10;AABfcmVscy8ucmVsc1BLAQItABQABgAIAAAAIQAbJsyzawIAACcFAAAOAAAAAAAAAAAAAAAAAC4C&#10;AABkcnMvZTJvRG9jLnhtbFBLAQItABQABgAIAAAAIQAE9Xtp3QAAAAgBAAAPAAAAAAAAAAAAAAAA&#10;AMUEAABkcnMvZG93bnJldi54bWxQSwUGAAAAAAQABADzAAAAzwUAAAAA&#10;" fillcolor="white [3201]" strokecolor="black [3200]" strokeweight="1pt">
                <v:textbox>
                  <w:txbxContent>
                    <w:p w14:paraId="273B76E1" w14:textId="17B34BA6" w:rsidR="00D96821" w:rsidRPr="00DE402D" w:rsidRDefault="00121ED1" w:rsidP="00DE402D">
                      <w:pPr>
                        <w:jc w:val="center"/>
                        <w:rPr>
                          <w:b/>
                        </w:rPr>
                      </w:pPr>
                      <m:oMathPara>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E</m:t>
                              </m:r>
                            </m:sub>
                          </m:sSub>
                          <m:r>
                            <m:rPr>
                              <m:sty m:val="bi"/>
                            </m:rPr>
                            <w:rPr>
                              <w:rFonts w:ascii="Cambria Math" w:hAnsi="Cambria Math"/>
                            </w:rPr>
                            <m:t xml:space="preserve">= </m:t>
                          </m:r>
                          <m:rad>
                            <m:radPr>
                              <m:ctrlPr>
                                <w:rPr>
                                  <w:rFonts w:ascii="Cambria Math" w:hAnsi="Cambria Math"/>
                                  <w:b/>
                                  <w:i/>
                                </w:rPr>
                              </m:ctrlPr>
                            </m:radPr>
                            <m:deg>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1</m:t>
                                  </m:r>
                                </m:sub>
                              </m:sSub>
                            </m:deg>
                            <m:e>
                              <m:r>
                                <m:rPr>
                                  <m:sty m:val="bi"/>
                                </m:rPr>
                                <w:rPr>
                                  <w:rFonts w:ascii="Cambria Math" w:hAnsi="Cambria Math"/>
                                </w:rPr>
                                <m:t xml:space="preserve">1- </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xx</m:t>
                                  </m:r>
                                </m:sub>
                              </m:sSub>
                            </m:e>
                          </m:rad>
                        </m:oMath>
                      </m:oMathPara>
                    </w:p>
                  </w:txbxContent>
                </v:textbox>
                <w10:wrap type="topAndBottom"/>
              </v:rect>
            </w:pict>
          </mc:Fallback>
        </mc:AlternateContent>
      </w:r>
      <w:r w:rsidRPr="00D96821">
        <w:rPr>
          <w:rFonts w:asciiTheme="minorHAnsi" w:hAnsiTheme="minorHAnsi"/>
        </w:rPr>
        <w:t>Standard error is calculated as:</w:t>
      </w:r>
    </w:p>
    <w:p w14:paraId="7E8B0900" w14:textId="77777777" w:rsidR="00DE402D" w:rsidRDefault="00DE402D" w:rsidP="00D96821">
      <w:pPr>
        <w:keepNext/>
        <w:spacing w:line="360" w:lineRule="auto"/>
        <w:rPr>
          <w:rFonts w:asciiTheme="minorHAnsi" w:hAnsiTheme="minorHAnsi"/>
        </w:rPr>
      </w:pPr>
    </w:p>
    <w:p w14:paraId="5DECAC55" w14:textId="7DBC28FA" w:rsidR="00D96821" w:rsidRPr="00D96821" w:rsidRDefault="00D96821" w:rsidP="00D96821">
      <w:pPr>
        <w:keepNext/>
        <w:spacing w:line="360" w:lineRule="auto"/>
        <w:rPr>
          <w:rFonts w:asciiTheme="minorHAnsi" w:hAnsiTheme="minorHAnsi"/>
        </w:rPr>
      </w:pPr>
      <w:r w:rsidRPr="00D96821">
        <w:rPr>
          <w:rFonts w:asciiTheme="minorHAnsi" w:hAnsiTheme="minorHAnsi"/>
        </w:rPr>
        <w:t xml:space="preserve">where </w:t>
      </w:r>
      <w:proofErr w:type="spellStart"/>
      <w:r w:rsidRPr="00D96821">
        <w:rPr>
          <w:rFonts w:asciiTheme="minorHAnsi" w:hAnsiTheme="minorHAnsi"/>
        </w:rPr>
        <w:t>r</w:t>
      </w:r>
      <w:r w:rsidRPr="00D96821">
        <w:rPr>
          <w:rFonts w:asciiTheme="minorHAnsi" w:hAnsiTheme="minorHAnsi"/>
          <w:vertAlign w:val="subscript"/>
        </w:rPr>
        <w:t>xx</w:t>
      </w:r>
      <w:proofErr w:type="spellEnd"/>
      <w:r w:rsidRPr="00D96821">
        <w:rPr>
          <w:rFonts w:asciiTheme="minorHAnsi" w:hAnsiTheme="minorHAnsi"/>
        </w:rPr>
        <w:t xml:space="preserve"> is the test re-test reliability of the measure (reported as 0.95 in the LDQ validation study</w:t>
      </w:r>
      <w:r>
        <w:rPr>
          <w:rFonts w:asciiTheme="minorHAnsi" w:hAnsiTheme="minorHAnsi"/>
        </w:rPr>
        <w:t xml:space="preserve"> (Raistrick et al., 1994),</w:t>
      </w:r>
      <w:r w:rsidRPr="00D96821">
        <w:rPr>
          <w:rFonts w:asciiTheme="minorHAnsi" w:hAnsiTheme="minorHAnsi"/>
        </w:rPr>
        <w:t xml:space="preserve"> and S</w:t>
      </w:r>
      <w:r w:rsidRPr="00D96821">
        <w:rPr>
          <w:rFonts w:asciiTheme="minorHAnsi" w:hAnsiTheme="minorHAnsi"/>
          <w:vertAlign w:val="subscript"/>
        </w:rPr>
        <w:t>1</w:t>
      </w:r>
      <w:r w:rsidRPr="00D96821">
        <w:rPr>
          <w:rFonts w:asciiTheme="minorHAnsi" w:hAnsiTheme="minorHAnsi"/>
        </w:rPr>
        <w:t xml:space="preserve"> is the standard deviation for the mean total LDQ score for the cohort at baseline</w:t>
      </w:r>
      <w:r w:rsidR="00905409">
        <w:rPr>
          <w:rFonts w:asciiTheme="minorHAnsi" w:hAnsiTheme="minorHAnsi"/>
        </w:rPr>
        <w:t xml:space="preserve">, </w:t>
      </w:r>
      <w:r w:rsidRPr="00D96821">
        <w:rPr>
          <w:rFonts w:asciiTheme="minorHAnsi" w:hAnsiTheme="minorHAnsi"/>
        </w:rPr>
        <w:t>10.29). Therefore, S</w:t>
      </w:r>
      <w:r w:rsidRPr="00D96821">
        <w:rPr>
          <w:rFonts w:asciiTheme="minorHAnsi" w:hAnsiTheme="minorHAnsi"/>
          <w:vertAlign w:val="subscript"/>
        </w:rPr>
        <w:t>E</w:t>
      </w:r>
      <w:r w:rsidRPr="00D96821">
        <w:rPr>
          <w:rFonts w:asciiTheme="minorHAnsi" w:hAnsiTheme="minorHAnsi"/>
        </w:rPr>
        <w:t xml:space="preserve"> was calculated to be 2.30, and </w:t>
      </w:r>
      <w:proofErr w:type="spellStart"/>
      <w:r w:rsidRPr="00D96821">
        <w:rPr>
          <w:rFonts w:asciiTheme="minorHAnsi" w:hAnsiTheme="minorHAnsi"/>
        </w:rPr>
        <w:t>S</w:t>
      </w:r>
      <w:r w:rsidRPr="00D96821">
        <w:rPr>
          <w:rFonts w:asciiTheme="minorHAnsi" w:hAnsiTheme="minorHAnsi"/>
          <w:vertAlign w:val="subscript"/>
        </w:rPr>
        <w:t>diff</w:t>
      </w:r>
      <w:proofErr w:type="spellEnd"/>
      <w:r w:rsidRPr="00D96821">
        <w:rPr>
          <w:rFonts w:asciiTheme="minorHAnsi" w:hAnsiTheme="minorHAnsi"/>
        </w:rPr>
        <w:t xml:space="preserve"> to be 3.25. A reliable change score could then be calculated for each participant; Jacobson and Truax</w:t>
      </w:r>
      <w:r>
        <w:rPr>
          <w:rFonts w:asciiTheme="minorHAnsi" w:hAnsiTheme="minorHAnsi"/>
        </w:rPr>
        <w:t xml:space="preserve"> (1991)</w:t>
      </w:r>
      <w:r w:rsidRPr="00D96821">
        <w:rPr>
          <w:rFonts w:asciiTheme="minorHAnsi" w:hAnsiTheme="minorHAnsi"/>
        </w:rPr>
        <w:t xml:space="preserve"> propose that a score ≥1.96 is unlikely to have occurred by chance (this translates to a minimum score change of 7 points on the LDQ in the current study). </w:t>
      </w:r>
    </w:p>
    <w:p w14:paraId="3C86134E" w14:textId="77777777" w:rsidR="00D96821" w:rsidRPr="00D96821" w:rsidRDefault="00D96821" w:rsidP="00D96821">
      <w:pPr>
        <w:keepNext/>
        <w:spacing w:line="360" w:lineRule="auto"/>
        <w:rPr>
          <w:rFonts w:asciiTheme="minorHAnsi" w:hAnsiTheme="minorHAnsi"/>
        </w:rPr>
      </w:pPr>
    </w:p>
    <w:p w14:paraId="262902F0" w14:textId="32873032" w:rsidR="00AB6327" w:rsidRDefault="00580972" w:rsidP="00D96821">
      <w:pPr>
        <w:spacing w:line="360" w:lineRule="auto"/>
        <w:rPr>
          <w:rFonts w:asciiTheme="minorHAnsi" w:hAnsiTheme="minorHAnsi"/>
        </w:rPr>
      </w:pPr>
      <w:r w:rsidRPr="00D96821">
        <w:rPr>
          <w:rFonts w:asciiTheme="minorHAnsi" w:hAnsiTheme="minorHAnsi"/>
          <w:noProof/>
        </w:rPr>
        <mc:AlternateContent>
          <mc:Choice Requires="wps">
            <w:drawing>
              <wp:anchor distT="0" distB="0" distL="114300" distR="114300" simplePos="0" relativeHeight="251665408" behindDoc="0" locked="0" layoutInCell="1" allowOverlap="1" wp14:anchorId="20633152" wp14:editId="056E3318">
                <wp:simplePos x="0" y="0"/>
                <wp:positionH relativeFrom="column">
                  <wp:posOffset>-47818</wp:posOffset>
                </wp:positionH>
                <wp:positionV relativeFrom="paragraph">
                  <wp:posOffset>685165</wp:posOffset>
                </wp:positionV>
                <wp:extent cx="4786630" cy="850265"/>
                <wp:effectExtent l="0" t="0" r="13970" b="26035"/>
                <wp:wrapTopAndBottom/>
                <wp:docPr id="2" name="Rectangle 2"/>
                <wp:cNvGraphicFramePr/>
                <a:graphic xmlns:a="http://schemas.openxmlformats.org/drawingml/2006/main">
                  <a:graphicData uri="http://schemas.microsoft.com/office/word/2010/wordprocessingShape">
                    <wps:wsp>
                      <wps:cNvSpPr/>
                      <wps:spPr>
                        <a:xfrm>
                          <a:off x="0" y="0"/>
                          <a:ext cx="4786630" cy="850265"/>
                        </a:xfrm>
                        <a:prstGeom prst="rect">
                          <a:avLst/>
                        </a:prstGeom>
                        <a:ln/>
                      </wps:spPr>
                      <wps:style>
                        <a:lnRef idx="2">
                          <a:schemeClr val="dk1"/>
                        </a:lnRef>
                        <a:fillRef idx="1">
                          <a:schemeClr val="lt1"/>
                        </a:fillRef>
                        <a:effectRef idx="0">
                          <a:schemeClr val="dk1"/>
                        </a:effectRef>
                        <a:fontRef idx="minor">
                          <a:schemeClr val="dk1"/>
                        </a:fontRef>
                      </wps:style>
                      <wps:txbx>
                        <w:txbxContent>
                          <w:p w14:paraId="7E366E5E" w14:textId="638DABEE" w:rsidR="00AB6327" w:rsidRPr="00905409" w:rsidRDefault="00AB6327" w:rsidP="00905409">
                            <w:pPr>
                              <w:jc w:val="center"/>
                              <w:rPr>
                                <w:rFonts w:asciiTheme="minorHAnsi" w:eastAsiaTheme="minorEastAsia" w:hAnsiTheme="minorHAnsi" w:cstheme="minorBidi"/>
                                <w:b/>
                              </w:rPr>
                            </w:pPr>
                            <m:oMathPara>
                              <m:oMath>
                                <m:r>
                                  <m:rPr>
                                    <m:sty m:val="bi"/>
                                  </m:rPr>
                                  <w:rPr>
                                    <w:rFonts w:ascii="Cambria Math" w:hAnsi="Cambria Math"/>
                                  </w:rPr>
                                  <m:t>Cut off score=</m:t>
                                </m:r>
                                <m:f>
                                  <m:fPr>
                                    <m:ctrlPr>
                                      <w:rPr>
                                        <w:rFonts w:ascii="Cambria Math" w:hAnsi="Cambria Math"/>
                                        <w:b/>
                                        <w:i/>
                                      </w:rPr>
                                    </m:ctrlPr>
                                  </m:fPr>
                                  <m:num>
                                    <m:d>
                                      <m:dPr>
                                        <m:ctrlPr>
                                          <w:rPr>
                                            <w:rFonts w:ascii="Cambria Math" w:hAnsi="Cambria Math"/>
                                            <w:b/>
                                            <w:i/>
                                          </w:rPr>
                                        </m:ctrlPr>
                                      </m:dPr>
                                      <m:e>
                                        <m:r>
                                          <m:rPr>
                                            <m:sty m:val="bi"/>
                                          </m:rPr>
                                          <w:rPr>
                                            <w:rFonts w:ascii="Cambria Math" w:hAnsi="Cambria Math"/>
                                          </w:rPr>
                                          <m:t>SD func*Mean dys</m:t>
                                        </m:r>
                                      </m:e>
                                    </m:d>
                                    <m:r>
                                      <m:rPr>
                                        <m:sty m:val="bi"/>
                                      </m:rPr>
                                      <w:rPr>
                                        <w:rFonts w:ascii="Cambria Math" w:hAnsi="Cambria Math"/>
                                      </w:rPr>
                                      <m:t>+(SD dys*Mean func)</m:t>
                                    </m:r>
                                  </m:num>
                                  <m:den>
                                    <m:r>
                                      <m:rPr>
                                        <m:sty m:val="bi"/>
                                      </m:rPr>
                                      <w:rPr>
                                        <w:rFonts w:ascii="Cambria Math" w:hAnsi="Cambria Math"/>
                                      </w:rPr>
                                      <m:t>(SD dys+SD func)</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33152" id="Rectangle 2" o:spid="_x0000_s1029" style="position:absolute;margin-left:-3.75pt;margin-top:53.95pt;width:376.9pt;height:6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pdbAIAACMFAAAOAAAAZHJzL2Uyb0RvYy54bWysVN9PGzEMfp+0/yHK+7j2KAUqrqgCMU1C&#10;gICJ5zSXtKfl4sxJe9f99XNyP0AM7WHay50df7Zj+3MuLtvasL1CX4Et+PRowpmyEsrKbgr+/fnm&#10;yxlnPghbCgNWFfygPL9cfv500biFymELplTIKIj1i8YVfBuCW2SZl1tVC38ETlkyasBaBFJxk5Uo&#10;GopemyyfTOZZA1g6BKm8p9PrzsiXKb7WSoZ7rb0KzBSc7hbSF9N3Hb/Z8kIsNijctpL9NcQ/3KIW&#10;laWkY6hrEQTbYfVHqLqSCB50OJJQZ6B1JVWqgaqZTt5V87QVTqVaqDnejW3y/y+svNs/IKvKguec&#10;WVHTiB6pacJujGJ5bE/j/IJQT+4Be82TGGttNdbxT1WwNrX0MLZUtYFJOpydns3nx9R5Sbazk0k+&#10;P4lBs1dvhz58VVCzKBQcKXvqpNjf+tBBB0hMZmw8i5fqrpGkcDCqMz4qTdVQ4jwFSTxSVwbZXhAD&#10;yh/TPruxhIwuujJmdJp+5GTC4NRjo5tK3BodJx85vmYb0Skj2DA61pUF/Luz7vBD1V2tsezQrts0&#10;uuNhTmsoDzROhI7n3smbirp6K3x4EEjEpkHQsoZ7+mgDTcGhlzjbAv766DziiW9k5ayhRSm4/7kT&#10;qDgz3ywx8Xw6m8XNSsrs5DQnBd9a1m8tdldfAU1iSs+Ck0mM+GAGUSPUL7TTq5iVTMJKyl1wGXBQ&#10;rkK3wPQqSLVaJRhtkxPh1j45GYPHPkfWPLcvAl1PrUCkvINhqcTiHcM6bPS0sNoF0FWiX+x019d+&#10;ArSJicD9qxFX/a2eUK9v2/I3AAAA//8DAFBLAwQUAAYACAAAACEAz7VH4uAAAAAKAQAADwAAAGRy&#10;cy9kb3ducmV2LnhtbEyPy07DMBBF90j8gzVI7Fq7pSRtiFNVCFagVhQWLN14SCL8iGw3Sf+eYQXL&#10;mTm6c265naxhA4bYeSdhMRfA0NVed66R8PH+PFsDi0k5rYx3KOGCEbbV9VWpCu1H94bDMTWMQlws&#10;lIQ2pb7gPNYtWhXnvkdHty8frEo0hobroEYKt4Yvhci4VZ2jD63q8bHF+vt4thL8obuYXdjsh1fM&#10;P18OSYxT9iTl7c20ewCWcEp/MPzqkzpU5HTyZ6cjMxJm+T2RtBf5BhgB+Sq7A3aSsFwt1sCrkv+v&#10;UP0AAAD//wMAUEsBAi0AFAAGAAgAAAAhALaDOJL+AAAA4QEAABMAAAAAAAAAAAAAAAAAAAAAAFtD&#10;b250ZW50X1R5cGVzXS54bWxQSwECLQAUAAYACAAAACEAOP0h/9YAAACUAQAACwAAAAAAAAAAAAAA&#10;AAAvAQAAX3JlbHMvLnJlbHNQSwECLQAUAAYACAAAACEAM0QaXWwCAAAjBQAADgAAAAAAAAAAAAAA&#10;AAAuAgAAZHJzL2Uyb0RvYy54bWxQSwECLQAUAAYACAAAACEAz7VH4uAAAAAKAQAADwAAAAAAAAAA&#10;AAAAAADGBAAAZHJzL2Rvd25yZXYueG1sUEsFBgAAAAAEAAQA8wAAANMFAAAAAA==&#10;" fillcolor="white [3201]" strokecolor="black [3200]" strokeweight="1pt">
                <v:textbox>
                  <w:txbxContent>
                    <w:p w14:paraId="7E366E5E" w14:textId="638DABEE" w:rsidR="00AB6327" w:rsidRPr="00905409" w:rsidRDefault="00AB6327" w:rsidP="00905409">
                      <w:pPr>
                        <w:jc w:val="center"/>
                        <w:rPr>
                          <w:rFonts w:asciiTheme="minorHAnsi" w:eastAsiaTheme="minorEastAsia" w:hAnsiTheme="minorHAnsi" w:cstheme="minorBidi"/>
                          <w:b/>
                        </w:rPr>
                      </w:pPr>
                      <m:oMathPara>
                        <m:oMath>
                          <m:r>
                            <m:rPr>
                              <m:sty m:val="bi"/>
                            </m:rPr>
                            <w:rPr>
                              <w:rFonts w:ascii="Cambria Math" w:hAnsi="Cambria Math"/>
                            </w:rPr>
                            <m:t>Cut off score=</m:t>
                          </m:r>
                          <m:f>
                            <m:fPr>
                              <m:ctrlPr>
                                <w:rPr>
                                  <w:rFonts w:ascii="Cambria Math" w:hAnsi="Cambria Math"/>
                                  <w:b/>
                                  <w:i/>
                                </w:rPr>
                              </m:ctrlPr>
                            </m:fPr>
                            <m:num>
                              <m:d>
                                <m:dPr>
                                  <m:ctrlPr>
                                    <w:rPr>
                                      <w:rFonts w:ascii="Cambria Math" w:hAnsi="Cambria Math"/>
                                      <w:b/>
                                      <w:i/>
                                    </w:rPr>
                                  </m:ctrlPr>
                                </m:dPr>
                                <m:e>
                                  <m:r>
                                    <m:rPr>
                                      <m:sty m:val="bi"/>
                                    </m:rPr>
                                    <w:rPr>
                                      <w:rFonts w:ascii="Cambria Math" w:hAnsi="Cambria Math"/>
                                    </w:rPr>
                                    <m:t>SD func*Mean dys</m:t>
                                  </m:r>
                                </m:e>
                              </m:d>
                              <m:r>
                                <m:rPr>
                                  <m:sty m:val="bi"/>
                                </m:rPr>
                                <w:rPr>
                                  <w:rFonts w:ascii="Cambria Math" w:hAnsi="Cambria Math"/>
                                </w:rPr>
                                <m:t>+(SD dys*Mean func)</m:t>
                              </m:r>
                            </m:num>
                            <m:den>
                              <m:r>
                                <m:rPr>
                                  <m:sty m:val="bi"/>
                                </m:rPr>
                                <w:rPr>
                                  <w:rFonts w:ascii="Cambria Math" w:hAnsi="Cambria Math"/>
                                </w:rPr>
                                <m:t>(SD dys+SD func)</m:t>
                              </m:r>
                            </m:den>
                          </m:f>
                        </m:oMath>
                      </m:oMathPara>
                    </w:p>
                  </w:txbxContent>
                </v:textbox>
                <w10:wrap type="topAndBottom"/>
              </v:rect>
            </w:pict>
          </mc:Fallback>
        </mc:AlternateContent>
      </w:r>
      <w:r w:rsidR="00D96821" w:rsidRPr="00D96821">
        <w:rPr>
          <w:rFonts w:asciiTheme="minorHAnsi" w:hAnsiTheme="minorHAnsi"/>
        </w:rPr>
        <w:t xml:space="preserve">Next, to establish which participants had demonstrated </w:t>
      </w:r>
      <w:r w:rsidR="00AB6327">
        <w:rPr>
          <w:rFonts w:asciiTheme="minorHAnsi" w:hAnsiTheme="minorHAnsi"/>
        </w:rPr>
        <w:t>a clinically significant change</w:t>
      </w:r>
      <w:r w:rsidR="00D96821" w:rsidRPr="00D96821">
        <w:rPr>
          <w:rFonts w:asciiTheme="minorHAnsi" w:hAnsiTheme="minorHAnsi"/>
        </w:rPr>
        <w:t xml:space="preserve">, a cut-off LDQ score was calculated </w:t>
      </w:r>
      <w:r w:rsidR="00D96821">
        <w:rPr>
          <w:rFonts w:asciiTheme="minorHAnsi" w:hAnsiTheme="minorHAnsi"/>
        </w:rPr>
        <w:t>according to the following formula:</w:t>
      </w:r>
    </w:p>
    <w:p w14:paraId="0283976E" w14:textId="061DB8DB" w:rsidR="00293D45" w:rsidRPr="000D30AD" w:rsidRDefault="00293D45" w:rsidP="00D96821">
      <w:pPr>
        <w:spacing w:line="360" w:lineRule="auto"/>
        <w:rPr>
          <w:rFonts w:asciiTheme="minorHAnsi" w:hAnsiTheme="minorHAnsi"/>
          <w:i/>
          <w:lang w:val="fr-FR"/>
        </w:rPr>
      </w:pPr>
      <w:proofErr w:type="spellStart"/>
      <w:proofErr w:type="gramStart"/>
      <w:r w:rsidRPr="000D30AD">
        <w:rPr>
          <w:rFonts w:asciiTheme="minorHAnsi" w:hAnsiTheme="minorHAnsi"/>
          <w:i/>
          <w:lang w:val="fr-FR"/>
        </w:rPr>
        <w:t>func</w:t>
      </w:r>
      <w:proofErr w:type="spellEnd"/>
      <w:proofErr w:type="gramEnd"/>
      <w:r w:rsidRPr="000D30AD">
        <w:rPr>
          <w:rFonts w:asciiTheme="minorHAnsi" w:hAnsiTheme="minorHAnsi"/>
          <w:i/>
          <w:lang w:val="fr-FR"/>
        </w:rPr>
        <w:t xml:space="preserve"> = ‘</w:t>
      </w:r>
      <w:proofErr w:type="spellStart"/>
      <w:r w:rsidRPr="000D30AD">
        <w:rPr>
          <w:rFonts w:asciiTheme="minorHAnsi" w:hAnsiTheme="minorHAnsi"/>
          <w:i/>
          <w:lang w:val="fr-FR"/>
        </w:rPr>
        <w:t>functional</w:t>
      </w:r>
      <w:proofErr w:type="spellEnd"/>
      <w:r w:rsidRPr="000D30AD">
        <w:rPr>
          <w:rFonts w:asciiTheme="minorHAnsi" w:hAnsiTheme="minorHAnsi"/>
          <w:i/>
          <w:lang w:val="fr-FR"/>
        </w:rPr>
        <w:t xml:space="preserve">’ normative population; </w:t>
      </w:r>
      <w:proofErr w:type="spellStart"/>
      <w:r w:rsidRPr="000D30AD">
        <w:rPr>
          <w:rFonts w:asciiTheme="minorHAnsi" w:hAnsiTheme="minorHAnsi"/>
          <w:i/>
          <w:lang w:val="fr-FR"/>
        </w:rPr>
        <w:t>dys</w:t>
      </w:r>
      <w:proofErr w:type="spellEnd"/>
      <w:r w:rsidRPr="000D30AD">
        <w:rPr>
          <w:rFonts w:asciiTheme="minorHAnsi" w:hAnsiTheme="minorHAnsi"/>
          <w:i/>
          <w:lang w:val="fr-FR"/>
        </w:rPr>
        <w:t xml:space="preserve"> = ‘</w:t>
      </w:r>
      <w:proofErr w:type="spellStart"/>
      <w:r w:rsidRPr="000D30AD">
        <w:rPr>
          <w:rFonts w:asciiTheme="minorHAnsi" w:hAnsiTheme="minorHAnsi"/>
          <w:i/>
          <w:lang w:val="fr-FR"/>
        </w:rPr>
        <w:t>dysfunctional</w:t>
      </w:r>
      <w:proofErr w:type="spellEnd"/>
      <w:r w:rsidRPr="000D30AD">
        <w:rPr>
          <w:rFonts w:asciiTheme="minorHAnsi" w:hAnsiTheme="minorHAnsi"/>
          <w:i/>
          <w:lang w:val="fr-FR"/>
        </w:rPr>
        <w:t xml:space="preserve">’ </w:t>
      </w:r>
      <w:proofErr w:type="spellStart"/>
      <w:r w:rsidRPr="000D30AD">
        <w:rPr>
          <w:rFonts w:asciiTheme="minorHAnsi" w:hAnsiTheme="minorHAnsi"/>
          <w:i/>
          <w:lang w:val="fr-FR"/>
        </w:rPr>
        <w:t>clinical</w:t>
      </w:r>
      <w:proofErr w:type="spellEnd"/>
      <w:r w:rsidRPr="000D30AD">
        <w:rPr>
          <w:rFonts w:asciiTheme="minorHAnsi" w:hAnsiTheme="minorHAnsi"/>
          <w:i/>
          <w:lang w:val="fr-FR"/>
        </w:rPr>
        <w:t xml:space="preserve"> population</w:t>
      </w:r>
    </w:p>
    <w:p w14:paraId="6E05D5FE" w14:textId="1E7F0B38" w:rsidR="00D96821" w:rsidRPr="00AB6327" w:rsidRDefault="00905409" w:rsidP="00D96821">
      <w:pPr>
        <w:spacing w:line="360" w:lineRule="auto"/>
        <w:rPr>
          <w:rFonts w:asciiTheme="minorHAnsi" w:hAnsiTheme="minorHAnsi"/>
        </w:rPr>
      </w:pPr>
      <w:r w:rsidRPr="00D96821">
        <w:rPr>
          <w:rFonts w:asciiTheme="minorHAnsi" w:hAnsiTheme="minorHAnsi"/>
          <w:noProof/>
        </w:rPr>
        <w:lastRenderedPageBreak/>
        <mc:AlternateContent>
          <mc:Choice Requires="wps">
            <w:drawing>
              <wp:anchor distT="0" distB="0" distL="114300" distR="114300" simplePos="0" relativeHeight="251663360" behindDoc="0" locked="0" layoutInCell="1" allowOverlap="1" wp14:anchorId="3142E6F2" wp14:editId="440E3DF7">
                <wp:simplePos x="0" y="0"/>
                <wp:positionH relativeFrom="column">
                  <wp:posOffset>-8145</wp:posOffset>
                </wp:positionH>
                <wp:positionV relativeFrom="paragraph">
                  <wp:posOffset>946150</wp:posOffset>
                </wp:positionV>
                <wp:extent cx="4786630" cy="802640"/>
                <wp:effectExtent l="0" t="0" r="13970" b="16510"/>
                <wp:wrapTopAndBottom/>
                <wp:docPr id="1" name="Rectangle 1"/>
                <wp:cNvGraphicFramePr/>
                <a:graphic xmlns:a="http://schemas.openxmlformats.org/drawingml/2006/main">
                  <a:graphicData uri="http://schemas.microsoft.com/office/word/2010/wordprocessingShape">
                    <wps:wsp>
                      <wps:cNvSpPr/>
                      <wps:spPr>
                        <a:xfrm>
                          <a:off x="0" y="0"/>
                          <a:ext cx="4786630" cy="802640"/>
                        </a:xfrm>
                        <a:prstGeom prst="rect">
                          <a:avLst/>
                        </a:prstGeom>
                        <a:ln/>
                      </wps:spPr>
                      <wps:style>
                        <a:lnRef idx="2">
                          <a:schemeClr val="dk1"/>
                        </a:lnRef>
                        <a:fillRef idx="1">
                          <a:schemeClr val="lt1"/>
                        </a:fillRef>
                        <a:effectRef idx="0">
                          <a:schemeClr val="dk1"/>
                        </a:effectRef>
                        <a:fontRef idx="minor">
                          <a:schemeClr val="dk1"/>
                        </a:fontRef>
                      </wps:style>
                      <wps:txbx>
                        <w:txbxContent>
                          <w:p w14:paraId="3F710154" w14:textId="4A534C74" w:rsidR="00D96821" w:rsidRPr="00905409" w:rsidRDefault="00D96821" w:rsidP="00905409">
                            <w:pPr>
                              <w:jc w:val="center"/>
                              <w:rPr>
                                <w:rFonts w:asciiTheme="minorHAnsi" w:eastAsiaTheme="minorEastAsia" w:hAnsiTheme="minorHAnsi" w:cstheme="minorBidi"/>
                                <w:b/>
                              </w:rPr>
                            </w:pPr>
                            <m:oMathPara>
                              <m:oMath>
                                <m:r>
                                  <m:rPr>
                                    <m:sty m:val="bi"/>
                                  </m:rPr>
                                  <w:rPr>
                                    <w:rFonts w:ascii="Cambria Math" w:hAnsi="Cambria Math"/>
                                  </w:rPr>
                                  <m:t>Cut off score=</m:t>
                                </m:r>
                                <m:f>
                                  <m:fPr>
                                    <m:ctrlPr>
                                      <w:rPr>
                                        <w:rFonts w:ascii="Cambria Math" w:hAnsi="Cambria Math"/>
                                        <w:b/>
                                        <w:i/>
                                      </w:rPr>
                                    </m:ctrlPr>
                                  </m:fPr>
                                  <m:num>
                                    <m:d>
                                      <m:dPr>
                                        <m:ctrlPr>
                                          <w:rPr>
                                            <w:rFonts w:ascii="Cambria Math" w:hAnsi="Cambria Math"/>
                                            <w:b/>
                                            <w:i/>
                                          </w:rPr>
                                        </m:ctrlPr>
                                      </m:dPr>
                                      <m:e>
                                        <m:r>
                                          <m:rPr>
                                            <m:sty m:val="bi"/>
                                          </m:rPr>
                                          <w:rPr>
                                            <w:rFonts w:ascii="Cambria Math" w:hAnsi="Cambria Math"/>
                                          </w:rPr>
                                          <m:t>4.15*18.43</m:t>
                                        </m:r>
                                      </m:e>
                                    </m:d>
                                    <m:r>
                                      <m:rPr>
                                        <m:sty m:val="bi"/>
                                      </m:rPr>
                                      <w:rPr>
                                        <w:rFonts w:ascii="Cambria Math" w:hAnsi="Cambria Math"/>
                                      </w:rPr>
                                      <m:t>+(10.29*2.77)</m:t>
                                    </m:r>
                                  </m:num>
                                  <m:den>
                                    <m:r>
                                      <m:rPr>
                                        <m:sty m:val="bi"/>
                                      </m:rPr>
                                      <w:rPr>
                                        <w:rFonts w:ascii="Cambria Math" w:hAnsi="Cambria Math"/>
                                      </w:rPr>
                                      <m:t>(10.29+4.15)</m:t>
                                    </m:r>
                                  </m:den>
                                </m:f>
                                <m:r>
                                  <m:rPr>
                                    <m:sty m:val="bi"/>
                                  </m:rPr>
                                  <w:rPr>
                                    <w:rFonts w:ascii="Cambria Math" w:eastAsiaTheme="minorEastAsia" w:hAnsi="Cambria Math" w:cstheme="minorBidi"/>
                                  </w:rPr>
                                  <m:t xml:space="preserve"> =7.3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2E6F2" id="Rectangle 1" o:spid="_x0000_s1030" style="position:absolute;margin-left:-.65pt;margin-top:74.5pt;width:376.9pt;height: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EAagIAACMFAAAOAAAAZHJzL2Uyb0RvYy54bWysVEtPGzEQvlfqf7B8L5ukaaARGxSBqCoh&#10;ioCKs+O1k1Vtjzt2spv++o69DxBFPVS9eD2e9zff7PlFaw07KAw1uJJPTyacKSehqt225N8frz+c&#10;cRaicJUw4FTJjyrwi9X7d+eNX6oZ7MBUChkFcWHZ+JLvYvTLoghyp6wIJ+CVI6UGtCKSiNuiQtFQ&#10;dGuK2WSyKBrAyiNIFQK9XnVKvsrxtVYyftM6qMhMyam2mE/M5yadxepcLLco/K6WfRniH6qwonaU&#10;dAx1JaJge6z/CGVriRBAxxMJtgCta6lyD9TNdPKqm4ed8Cr3QuAEP8IU/l9YeXu4Q1ZXNDvOnLA0&#10;onsCTbitUWya4Gl8WJLVg7/DXgp0Tb22Gm36UheszZAeR0hVG5mkx/np2WLxkZCXpDubzBbzjHnx&#10;7O0xxC8KLEuXkiNlz0iKw02IlJFMB5OUzLj0lorqysi3eDSqU94rTd1Q4lkOknmkLg2ygyAGVD9y&#10;SxTSOLJMLro2ZnSavuVk4uDU2yY3lbk1Ok7ecnzONlrnjODi6GhrB/h3Z93ZD113vaa2Y7tp8+jm&#10;w5w2UB1pnAgdz4OX1zWheiNCvBNIxKZB0LLGb3RoA03Job9xtgP89dZ7sie+kZazhhal5OHnXqDi&#10;zHx1xMTP0znNlMUszD+dzkjAl5rNS43b20ugSRDbqLp8TfbRDFeNYJ9op9cpK6mEk5S75DLiIFzG&#10;boHpryDVep3NaJu8iDfuwcsUPOGcWPPYPgn0PbUikfIWhqUSy1cM62yTp4P1PoKuM/0S0h2u/QRo&#10;EzMr+79GWvWXcrZ6/retfgMAAP//AwBQSwMEFAAGAAgAAAAhAG1J3r/gAAAACgEAAA8AAABkcnMv&#10;ZG93bnJldi54bWxMj8tOwzAQRfdI/IM1SOxap6Fp2hCnqhCsQK0oLLp04yGJ8COy3ST9e4YVLGfm&#10;6M655XYymg3oQ+esgMU8AYa2dqqzjYDPj5fZGliI0iqpnUUBVwywrW5vSlkoN9p3HI6xYRRiQyEF&#10;tDH2BeehbtHIMHc9Wrp9OW9kpNE3XHk5UrjRPE2SFTeys/ShlT0+tVh/Hy9GgDt0V73zm/3whvnp&#10;9RCTcVo9C3F/N+0egUWc4h8Mv/qkDhU5nd3FqsC0gNnigUjaLzfUiYA8SzNgZwFpni2BVyX/X6H6&#10;AQAA//8DAFBLAQItABQABgAIAAAAIQC2gziS/gAAAOEBAAATAAAAAAAAAAAAAAAAAAAAAABbQ29u&#10;dGVudF9UeXBlc10ueG1sUEsBAi0AFAAGAAgAAAAhADj9If/WAAAAlAEAAAsAAAAAAAAAAAAAAAAA&#10;LwEAAF9yZWxzLy5yZWxzUEsBAi0AFAAGAAgAAAAhAJUfYQBqAgAAIwUAAA4AAAAAAAAAAAAAAAAA&#10;LgIAAGRycy9lMm9Eb2MueG1sUEsBAi0AFAAGAAgAAAAhAG1J3r/gAAAACgEAAA8AAAAAAAAAAAAA&#10;AAAAxAQAAGRycy9kb3ducmV2LnhtbFBLBQYAAAAABAAEAPMAAADRBQAAAAA=&#10;" fillcolor="white [3201]" strokecolor="black [3200]" strokeweight="1pt">
                <v:textbox>
                  <w:txbxContent>
                    <w:p w14:paraId="3F710154" w14:textId="4A534C74" w:rsidR="00D96821" w:rsidRPr="00905409" w:rsidRDefault="00D96821" w:rsidP="00905409">
                      <w:pPr>
                        <w:jc w:val="center"/>
                        <w:rPr>
                          <w:rFonts w:asciiTheme="minorHAnsi" w:eastAsiaTheme="minorEastAsia" w:hAnsiTheme="minorHAnsi" w:cstheme="minorBidi"/>
                          <w:b/>
                        </w:rPr>
                      </w:pPr>
                      <m:oMathPara>
                        <m:oMath>
                          <m:r>
                            <m:rPr>
                              <m:sty m:val="bi"/>
                            </m:rPr>
                            <w:rPr>
                              <w:rFonts w:ascii="Cambria Math" w:hAnsi="Cambria Math"/>
                            </w:rPr>
                            <m:t>Cut off score=</m:t>
                          </m:r>
                          <m:f>
                            <m:fPr>
                              <m:ctrlPr>
                                <w:rPr>
                                  <w:rFonts w:ascii="Cambria Math" w:hAnsi="Cambria Math"/>
                                  <w:b/>
                                  <w:i/>
                                </w:rPr>
                              </m:ctrlPr>
                            </m:fPr>
                            <m:num>
                              <m:d>
                                <m:dPr>
                                  <m:ctrlPr>
                                    <w:rPr>
                                      <w:rFonts w:ascii="Cambria Math" w:hAnsi="Cambria Math"/>
                                      <w:b/>
                                      <w:i/>
                                    </w:rPr>
                                  </m:ctrlPr>
                                </m:dPr>
                                <m:e>
                                  <m:r>
                                    <m:rPr>
                                      <m:sty m:val="bi"/>
                                    </m:rPr>
                                    <w:rPr>
                                      <w:rFonts w:ascii="Cambria Math" w:hAnsi="Cambria Math"/>
                                    </w:rPr>
                                    <m:t>4.15*18.43</m:t>
                                  </m:r>
                                </m:e>
                              </m:d>
                              <m:r>
                                <m:rPr>
                                  <m:sty m:val="bi"/>
                                </m:rPr>
                                <w:rPr>
                                  <w:rFonts w:ascii="Cambria Math" w:hAnsi="Cambria Math"/>
                                </w:rPr>
                                <m:t>+(10.29*2.77)</m:t>
                              </m:r>
                            </m:num>
                            <m:den>
                              <m:r>
                                <m:rPr>
                                  <m:sty m:val="bi"/>
                                </m:rPr>
                                <w:rPr>
                                  <w:rFonts w:ascii="Cambria Math" w:hAnsi="Cambria Math"/>
                                </w:rPr>
                                <m:t>(10.29+4.15)</m:t>
                              </m:r>
                            </m:den>
                          </m:f>
                          <m:r>
                            <m:rPr>
                              <m:sty m:val="bi"/>
                            </m:rPr>
                            <w:rPr>
                              <w:rFonts w:ascii="Cambria Math" w:eastAsiaTheme="minorEastAsia" w:hAnsi="Cambria Math" w:cstheme="minorBidi"/>
                            </w:rPr>
                            <m:t xml:space="preserve"> =7.3</m:t>
                          </m:r>
                        </m:oMath>
                      </m:oMathPara>
                    </w:p>
                  </w:txbxContent>
                </v:textbox>
                <w10:wrap type="topAndBottom"/>
              </v:rect>
            </w:pict>
          </mc:Fallback>
        </mc:AlternateContent>
      </w:r>
      <w:r w:rsidR="00FA621A">
        <w:rPr>
          <w:rFonts w:asciiTheme="minorHAnsi" w:hAnsiTheme="minorHAnsi"/>
        </w:rPr>
        <w:t>N</w:t>
      </w:r>
      <w:r w:rsidR="00D96821">
        <w:rPr>
          <w:rFonts w:asciiTheme="minorHAnsi" w:hAnsiTheme="minorHAnsi"/>
        </w:rPr>
        <w:t xml:space="preserve">ormative </w:t>
      </w:r>
      <w:r w:rsidR="00A17941">
        <w:rPr>
          <w:rFonts w:asciiTheme="minorHAnsi" w:hAnsiTheme="minorHAnsi"/>
        </w:rPr>
        <w:t xml:space="preserve">data </w:t>
      </w:r>
      <w:r w:rsidR="00112E31">
        <w:rPr>
          <w:rFonts w:asciiTheme="minorHAnsi" w:hAnsiTheme="minorHAnsi"/>
        </w:rPr>
        <w:t>were</w:t>
      </w:r>
      <w:r w:rsidR="00A17941">
        <w:rPr>
          <w:rFonts w:asciiTheme="minorHAnsi" w:hAnsiTheme="minorHAnsi"/>
        </w:rPr>
        <w:t xml:space="preserve"> </w:t>
      </w:r>
      <w:r w:rsidR="00D96821">
        <w:rPr>
          <w:rFonts w:asciiTheme="minorHAnsi" w:hAnsiTheme="minorHAnsi"/>
        </w:rPr>
        <w:t xml:space="preserve">based on </w:t>
      </w:r>
      <w:r w:rsidR="00A17941">
        <w:rPr>
          <w:rFonts w:asciiTheme="minorHAnsi" w:hAnsiTheme="minorHAnsi"/>
        </w:rPr>
        <w:t>the sample describe</w:t>
      </w:r>
      <w:r w:rsidR="00FA621A">
        <w:rPr>
          <w:rFonts w:asciiTheme="minorHAnsi" w:hAnsiTheme="minorHAnsi"/>
        </w:rPr>
        <w:t>d</w:t>
      </w:r>
      <w:r w:rsidR="00A17941">
        <w:rPr>
          <w:rFonts w:asciiTheme="minorHAnsi" w:hAnsiTheme="minorHAnsi"/>
        </w:rPr>
        <w:t xml:space="preserve"> by</w:t>
      </w:r>
      <w:r w:rsidR="00D96821">
        <w:rPr>
          <w:rFonts w:asciiTheme="minorHAnsi" w:hAnsiTheme="minorHAnsi"/>
        </w:rPr>
        <w:t xml:space="preserve"> Raistrick </w:t>
      </w:r>
      <w:r w:rsidR="00204199">
        <w:rPr>
          <w:rFonts w:asciiTheme="minorHAnsi" w:hAnsiTheme="minorHAnsi"/>
        </w:rPr>
        <w:t xml:space="preserve">&amp; </w:t>
      </w:r>
      <w:proofErr w:type="spellStart"/>
      <w:r w:rsidR="00204199">
        <w:rPr>
          <w:rFonts w:asciiTheme="minorHAnsi" w:hAnsiTheme="minorHAnsi"/>
        </w:rPr>
        <w:t>Tober</w:t>
      </w:r>
      <w:proofErr w:type="spellEnd"/>
      <w:r w:rsidR="00D96821">
        <w:rPr>
          <w:rFonts w:asciiTheme="minorHAnsi" w:hAnsiTheme="minorHAnsi"/>
        </w:rPr>
        <w:t xml:space="preserve"> (201</w:t>
      </w:r>
      <w:r w:rsidR="00204199">
        <w:rPr>
          <w:rFonts w:asciiTheme="minorHAnsi" w:hAnsiTheme="minorHAnsi"/>
        </w:rPr>
        <w:t xml:space="preserve">9; </w:t>
      </w:r>
      <w:hyperlink r:id="rId7" w:history="1">
        <w:r w:rsidR="00204199" w:rsidRPr="00C73F50">
          <w:rPr>
            <w:rStyle w:val="Hyperlink"/>
            <w:rFonts w:asciiTheme="minorHAnsi" w:hAnsiTheme="minorHAnsi"/>
            <w:color w:val="auto"/>
          </w:rPr>
          <w:t>https://www.result4addiction.net/ldq</w:t>
        </w:r>
      </w:hyperlink>
      <w:r w:rsidR="00D96821">
        <w:rPr>
          <w:rFonts w:asciiTheme="minorHAnsi" w:hAnsiTheme="minorHAnsi"/>
        </w:rPr>
        <w:t>); n=8</w:t>
      </w:r>
      <w:r w:rsidR="00204199">
        <w:rPr>
          <w:rFonts w:asciiTheme="minorHAnsi" w:hAnsiTheme="minorHAnsi"/>
        </w:rPr>
        <w:t>70</w:t>
      </w:r>
      <w:r w:rsidR="00D96821">
        <w:rPr>
          <w:rFonts w:asciiTheme="minorHAnsi" w:hAnsiTheme="minorHAnsi"/>
        </w:rPr>
        <w:t xml:space="preserve"> opportunistic </w:t>
      </w:r>
      <w:r w:rsidR="00D96821" w:rsidRPr="00AB6327">
        <w:rPr>
          <w:rFonts w:asciiTheme="minorHAnsi" w:hAnsiTheme="minorHAnsi"/>
        </w:rPr>
        <w:t>NHS and local university sample</w:t>
      </w:r>
      <w:r w:rsidR="00204199">
        <w:rPr>
          <w:rFonts w:asciiTheme="minorHAnsi" w:hAnsiTheme="minorHAnsi"/>
        </w:rPr>
        <w:t xml:space="preserve"> (male n=220):</w:t>
      </w:r>
      <w:r w:rsidR="00C73F50">
        <w:rPr>
          <w:rFonts w:asciiTheme="minorHAnsi" w:hAnsiTheme="minorHAnsi"/>
        </w:rPr>
        <w:t xml:space="preserve"> </w:t>
      </w:r>
    </w:p>
    <w:p w14:paraId="20840EC4" w14:textId="5A0F5CD1" w:rsidR="00CE3F2B" w:rsidRPr="00AB6327" w:rsidRDefault="00CE3F2B" w:rsidP="00D96821">
      <w:pPr>
        <w:spacing w:line="360" w:lineRule="auto"/>
        <w:rPr>
          <w:rFonts w:asciiTheme="minorHAnsi" w:hAnsiTheme="minorHAnsi"/>
          <w:b/>
        </w:rPr>
      </w:pPr>
    </w:p>
    <w:p w14:paraId="5FC523FC" w14:textId="6D77192D" w:rsidR="00D96821" w:rsidRPr="00AB6327" w:rsidRDefault="00D96821" w:rsidP="00D96821">
      <w:pPr>
        <w:spacing w:line="360" w:lineRule="auto"/>
        <w:rPr>
          <w:rFonts w:asciiTheme="minorHAnsi" w:hAnsiTheme="minorHAnsi"/>
          <w:b/>
        </w:rPr>
      </w:pPr>
      <w:r w:rsidRPr="00AB6327">
        <w:rPr>
          <w:rFonts w:asciiTheme="minorHAnsi" w:hAnsiTheme="minorHAnsi"/>
        </w:rPr>
        <w:t>Participants whose LDQ scores reduced to below the cut-off at follow-up (i.e.</w:t>
      </w:r>
      <w:r w:rsidR="00C73F50">
        <w:rPr>
          <w:rFonts w:asciiTheme="minorHAnsi" w:hAnsiTheme="minorHAnsi"/>
        </w:rPr>
        <w:t xml:space="preserve"> 7.3</w:t>
      </w:r>
      <w:r w:rsidR="00727C24" w:rsidRPr="00AB6327">
        <w:rPr>
          <w:rStyle w:val="FootnoteReference"/>
          <w:rFonts w:asciiTheme="minorHAnsi" w:hAnsiTheme="minorHAnsi"/>
        </w:rPr>
        <w:footnoteReference w:id="2"/>
      </w:r>
      <w:r w:rsidRPr="00AB6327">
        <w:rPr>
          <w:rFonts w:asciiTheme="minorHAnsi" w:hAnsiTheme="minorHAnsi"/>
        </w:rPr>
        <w:t xml:space="preserve">) were considered to have made </w:t>
      </w:r>
      <w:r w:rsidR="00EE4DB4">
        <w:rPr>
          <w:rFonts w:asciiTheme="minorHAnsi" w:hAnsiTheme="minorHAnsi"/>
        </w:rPr>
        <w:t xml:space="preserve">a </w:t>
      </w:r>
      <w:r w:rsidR="007A3917">
        <w:rPr>
          <w:rFonts w:asciiTheme="minorHAnsi" w:hAnsiTheme="minorHAnsi"/>
        </w:rPr>
        <w:t>clinically significant change</w:t>
      </w:r>
      <w:r w:rsidRPr="00AB6327">
        <w:rPr>
          <w:rFonts w:asciiTheme="minorHAnsi" w:hAnsiTheme="minorHAnsi"/>
        </w:rPr>
        <w:t xml:space="preserve"> as their level of dependence moved closer to that found within a well-functioning population</w:t>
      </w:r>
      <w:r w:rsidR="00580972">
        <w:rPr>
          <w:rFonts w:asciiTheme="minorHAnsi" w:hAnsiTheme="minorHAnsi"/>
        </w:rPr>
        <w:t>.</w:t>
      </w:r>
    </w:p>
    <w:p w14:paraId="6C6B3F35" w14:textId="77777777" w:rsidR="00CE3F2B" w:rsidRPr="00D96821" w:rsidRDefault="00CE3F2B" w:rsidP="00D96821">
      <w:pPr>
        <w:spacing w:line="360" w:lineRule="auto"/>
        <w:rPr>
          <w:rFonts w:asciiTheme="minorHAnsi" w:hAnsiTheme="minorHAnsi"/>
          <w:b/>
        </w:rPr>
      </w:pPr>
    </w:p>
    <w:p w14:paraId="63DDE608" w14:textId="77777777" w:rsidR="008E23F5" w:rsidRDefault="008E23F5" w:rsidP="00D96821">
      <w:pPr>
        <w:spacing w:line="360" w:lineRule="auto"/>
        <w:rPr>
          <w:rFonts w:asciiTheme="minorHAnsi" w:hAnsiTheme="minorHAnsi"/>
          <w:b/>
        </w:rPr>
        <w:sectPr w:rsidR="008E23F5">
          <w:headerReference w:type="default" r:id="rId8"/>
          <w:footerReference w:type="default" r:id="rId9"/>
          <w:pgSz w:w="11906" w:h="16838"/>
          <w:pgMar w:top="1440" w:right="1440" w:bottom="1440" w:left="1440" w:header="708" w:footer="708" w:gutter="0"/>
          <w:cols w:space="708"/>
          <w:docGrid w:linePitch="360"/>
        </w:sectPr>
      </w:pPr>
    </w:p>
    <w:p w14:paraId="4A38494E" w14:textId="378B2609" w:rsidR="00E6640E" w:rsidRDefault="00CE3F2B" w:rsidP="00E6640E">
      <w:pPr>
        <w:spacing w:line="360" w:lineRule="auto"/>
        <w:rPr>
          <w:rFonts w:asciiTheme="minorHAnsi" w:hAnsiTheme="minorHAnsi"/>
          <w:b/>
        </w:rPr>
      </w:pPr>
      <w:r w:rsidRPr="00D96821">
        <w:rPr>
          <w:rFonts w:asciiTheme="minorHAnsi" w:hAnsiTheme="minorHAnsi"/>
          <w:b/>
        </w:rPr>
        <w:lastRenderedPageBreak/>
        <w:t>S2: Extended qualitative findings</w:t>
      </w:r>
    </w:p>
    <w:p w14:paraId="5D91C6E9" w14:textId="77777777" w:rsidR="002439E3" w:rsidRPr="002439E3" w:rsidRDefault="002439E3" w:rsidP="00D96821">
      <w:pPr>
        <w:spacing w:line="360" w:lineRule="auto"/>
        <w:rPr>
          <w:rFonts w:asciiTheme="minorHAnsi" w:hAnsiTheme="minorHAnsi"/>
          <w:b/>
        </w:rPr>
      </w:pPr>
    </w:p>
    <w:p w14:paraId="48A827F1" w14:textId="04384768" w:rsidR="008B112C" w:rsidRPr="00B360D5" w:rsidRDefault="008B112C" w:rsidP="00B360D5">
      <w:pPr>
        <w:pStyle w:val="ListParagraph"/>
        <w:numPr>
          <w:ilvl w:val="0"/>
          <w:numId w:val="1"/>
        </w:numPr>
        <w:spacing w:line="360" w:lineRule="auto"/>
        <w:rPr>
          <w:rFonts w:asciiTheme="minorHAnsi" w:hAnsiTheme="minorHAnsi"/>
          <w:b/>
          <w:u w:val="single"/>
        </w:rPr>
      </w:pPr>
      <w:r w:rsidRPr="00B360D5">
        <w:rPr>
          <w:rFonts w:asciiTheme="minorHAnsi" w:hAnsiTheme="minorHAnsi"/>
          <w:b/>
          <w:u w:val="single"/>
        </w:rPr>
        <w:t>Hospital as a “turning point”</w:t>
      </w:r>
    </w:p>
    <w:p w14:paraId="41949F19" w14:textId="77777777" w:rsidR="002439E3" w:rsidRPr="002439E3" w:rsidRDefault="002439E3" w:rsidP="00D96821">
      <w:pPr>
        <w:spacing w:line="360" w:lineRule="auto"/>
        <w:rPr>
          <w:rFonts w:asciiTheme="minorHAnsi" w:hAnsiTheme="minorHAnsi"/>
          <w:b/>
          <w:u w:val="single"/>
        </w:rPr>
      </w:pPr>
    </w:p>
    <w:p w14:paraId="7611175F" w14:textId="5FD94B23" w:rsidR="008B112C" w:rsidRPr="00D96821" w:rsidRDefault="00B360D5" w:rsidP="00D96821">
      <w:pPr>
        <w:spacing w:line="360" w:lineRule="auto"/>
        <w:rPr>
          <w:rFonts w:asciiTheme="minorHAnsi" w:hAnsiTheme="minorHAnsi"/>
          <w:b/>
          <w:i/>
        </w:rPr>
      </w:pPr>
      <w:r>
        <w:rPr>
          <w:rFonts w:asciiTheme="minorHAnsi" w:hAnsiTheme="minorHAnsi"/>
          <w:b/>
          <w:i/>
        </w:rPr>
        <w:t xml:space="preserve">1.1 </w:t>
      </w:r>
      <w:r w:rsidR="008B112C" w:rsidRPr="00D96821">
        <w:rPr>
          <w:rFonts w:asciiTheme="minorHAnsi" w:hAnsiTheme="minorHAnsi"/>
          <w:b/>
          <w:i/>
        </w:rPr>
        <w:t>Realising the effects of alcohol consumption</w:t>
      </w:r>
    </w:p>
    <w:p w14:paraId="08BA9B04" w14:textId="77777777" w:rsidR="008B112C" w:rsidRPr="00D96821" w:rsidRDefault="008B112C" w:rsidP="00D96821">
      <w:pPr>
        <w:spacing w:line="360" w:lineRule="auto"/>
        <w:rPr>
          <w:rFonts w:asciiTheme="minorHAnsi" w:hAnsiTheme="minorHAnsi"/>
          <w:b/>
          <w:i/>
        </w:rPr>
      </w:pPr>
    </w:p>
    <w:p w14:paraId="79D99389" w14:textId="77777777" w:rsidR="008B112C" w:rsidRPr="00D96821" w:rsidRDefault="008B112C" w:rsidP="00D96821">
      <w:pPr>
        <w:spacing w:line="360" w:lineRule="auto"/>
        <w:rPr>
          <w:rFonts w:asciiTheme="minorHAnsi" w:hAnsiTheme="minorHAnsi"/>
        </w:rPr>
      </w:pPr>
      <w:r w:rsidRPr="00D96821">
        <w:rPr>
          <w:rFonts w:asciiTheme="minorHAnsi" w:hAnsiTheme="minorHAnsi"/>
        </w:rPr>
        <w:t>Several participants reported that hospital attendance marked the first realisation that alcohol intake had caused (in some cases serious and/or irreversible) physical harm:</w:t>
      </w:r>
    </w:p>
    <w:p w14:paraId="2AFDD99E" w14:textId="77777777" w:rsidR="008B112C" w:rsidRPr="00D96821" w:rsidRDefault="008B112C" w:rsidP="00D96821">
      <w:pPr>
        <w:spacing w:line="360" w:lineRule="auto"/>
        <w:rPr>
          <w:rFonts w:asciiTheme="minorHAnsi" w:hAnsiTheme="minorHAnsi"/>
        </w:rPr>
      </w:pPr>
    </w:p>
    <w:p w14:paraId="67925D22" w14:textId="77777777" w:rsidR="008B112C" w:rsidRPr="00D96821" w:rsidRDefault="008B112C" w:rsidP="00D96821">
      <w:pPr>
        <w:spacing w:line="360" w:lineRule="auto"/>
        <w:ind w:left="567"/>
        <w:rPr>
          <w:rFonts w:asciiTheme="minorHAnsi" w:hAnsiTheme="minorHAnsi"/>
        </w:rPr>
      </w:pPr>
      <w:r w:rsidRPr="00D96821">
        <w:rPr>
          <w:rFonts w:asciiTheme="minorHAnsi" w:hAnsiTheme="minorHAnsi"/>
          <w:i/>
        </w:rPr>
        <w:t xml:space="preserve">“When it became reality that I had the starts of scarring [of the liver] …it makes you think. I had no idea the amount I was drinking could do that…I mean that was a wakeup call. I don’t want to die yet.” </w:t>
      </w:r>
      <w:r w:rsidRPr="00D96821">
        <w:rPr>
          <w:rFonts w:asciiTheme="minorHAnsi" w:hAnsiTheme="minorHAnsi"/>
        </w:rPr>
        <w:t>(Simon)</w:t>
      </w:r>
    </w:p>
    <w:p w14:paraId="750BE047" w14:textId="77777777" w:rsidR="008B112C" w:rsidRPr="00D96821" w:rsidRDefault="008B112C" w:rsidP="00D96821">
      <w:pPr>
        <w:spacing w:line="360" w:lineRule="auto"/>
        <w:rPr>
          <w:rFonts w:asciiTheme="minorHAnsi" w:hAnsiTheme="minorHAnsi"/>
          <w:i/>
        </w:rPr>
      </w:pPr>
    </w:p>
    <w:p w14:paraId="63A7F874" w14:textId="77777777" w:rsidR="008B112C" w:rsidRPr="00D96821" w:rsidRDefault="008B112C" w:rsidP="00D96821">
      <w:pPr>
        <w:spacing w:line="360" w:lineRule="auto"/>
        <w:rPr>
          <w:rFonts w:asciiTheme="minorHAnsi" w:hAnsiTheme="minorHAnsi"/>
        </w:rPr>
      </w:pPr>
      <w:r w:rsidRPr="00D96821">
        <w:rPr>
          <w:rFonts w:asciiTheme="minorHAnsi" w:hAnsiTheme="minorHAnsi"/>
        </w:rPr>
        <w:t>Although many participants could recall feeling unwell prior to hospital attendance, they often ignored earlier signs of ill-health or drank more to mask them. Several said they</w:t>
      </w:r>
      <w:r w:rsidRPr="00D96821">
        <w:rPr>
          <w:rFonts w:asciiTheme="minorHAnsi" w:hAnsiTheme="minorHAnsi"/>
          <w:color w:val="4472C4" w:themeColor="accent1"/>
        </w:rPr>
        <w:t xml:space="preserve"> </w:t>
      </w:r>
      <w:r w:rsidRPr="00D96821">
        <w:rPr>
          <w:rFonts w:asciiTheme="minorHAnsi" w:hAnsiTheme="minorHAnsi"/>
          <w:i/>
        </w:rPr>
        <w:t>“didn’t really associate [physical symptoms] with alcohol at the time”</w:t>
      </w:r>
      <w:r w:rsidRPr="00D96821">
        <w:rPr>
          <w:rFonts w:asciiTheme="minorHAnsi" w:hAnsiTheme="minorHAnsi"/>
        </w:rPr>
        <w:t xml:space="preserve"> (Joe); it was only with hindsight and knowledge learned during their hospital stay(s) that the effects of alcohol on the body were recognised. Joe continued: </w:t>
      </w:r>
      <w:r w:rsidRPr="00D96821">
        <w:rPr>
          <w:rFonts w:asciiTheme="minorHAnsi" w:hAnsiTheme="minorHAnsi"/>
          <w:i/>
        </w:rPr>
        <w:t>“It was only really then [in hospital] that I knew there was a connection with my drinking, it was explained to me then.”</w:t>
      </w:r>
      <w:r w:rsidRPr="00D96821">
        <w:rPr>
          <w:rFonts w:asciiTheme="minorHAnsi" w:hAnsiTheme="minorHAnsi"/>
        </w:rPr>
        <w:t xml:space="preserve"> </w:t>
      </w:r>
    </w:p>
    <w:p w14:paraId="3DF3734D" w14:textId="77777777" w:rsidR="008B112C" w:rsidRPr="00D96821" w:rsidRDefault="008B112C" w:rsidP="00D96821">
      <w:pPr>
        <w:spacing w:line="360" w:lineRule="auto"/>
        <w:rPr>
          <w:rFonts w:asciiTheme="minorHAnsi" w:hAnsiTheme="minorHAnsi"/>
          <w:b/>
          <w:i/>
        </w:rPr>
      </w:pPr>
    </w:p>
    <w:p w14:paraId="3F9B1FCC" w14:textId="39D6E573" w:rsidR="008B112C" w:rsidRPr="00D96821" w:rsidRDefault="00B360D5" w:rsidP="00D96821">
      <w:pPr>
        <w:spacing w:line="360" w:lineRule="auto"/>
        <w:rPr>
          <w:rFonts w:asciiTheme="minorHAnsi" w:hAnsiTheme="minorHAnsi"/>
          <w:b/>
          <w:i/>
        </w:rPr>
      </w:pPr>
      <w:r>
        <w:rPr>
          <w:rFonts w:asciiTheme="minorHAnsi" w:hAnsiTheme="minorHAnsi"/>
          <w:b/>
          <w:i/>
        </w:rPr>
        <w:t xml:space="preserve">1.2 </w:t>
      </w:r>
      <w:r w:rsidR="008B112C" w:rsidRPr="00D96821">
        <w:rPr>
          <w:rFonts w:asciiTheme="minorHAnsi" w:hAnsiTheme="minorHAnsi"/>
          <w:b/>
          <w:i/>
        </w:rPr>
        <w:t>The role of alcohol interventions</w:t>
      </w:r>
    </w:p>
    <w:p w14:paraId="3D1FB23F" w14:textId="77777777" w:rsidR="008B112C" w:rsidRPr="00D96821" w:rsidRDefault="008B112C" w:rsidP="00D96821">
      <w:pPr>
        <w:spacing w:line="360" w:lineRule="auto"/>
        <w:rPr>
          <w:rFonts w:asciiTheme="minorHAnsi" w:hAnsiTheme="minorHAnsi"/>
          <w:b/>
          <w:i/>
        </w:rPr>
      </w:pPr>
    </w:p>
    <w:p w14:paraId="0405EC43" w14:textId="77777777" w:rsidR="008B112C" w:rsidRPr="00D96821" w:rsidRDefault="008B112C" w:rsidP="00D96821">
      <w:pPr>
        <w:spacing w:line="360" w:lineRule="auto"/>
        <w:rPr>
          <w:rFonts w:asciiTheme="minorHAnsi" w:hAnsiTheme="minorHAnsi"/>
        </w:rPr>
      </w:pPr>
      <w:r w:rsidRPr="00D96821">
        <w:rPr>
          <w:rFonts w:asciiTheme="minorHAnsi" w:hAnsiTheme="minorHAnsi"/>
        </w:rPr>
        <w:t xml:space="preserve">Admission to hospital was often described as a </w:t>
      </w:r>
      <w:r w:rsidRPr="00D96821">
        <w:rPr>
          <w:rFonts w:asciiTheme="minorHAnsi" w:hAnsiTheme="minorHAnsi"/>
          <w:i/>
        </w:rPr>
        <w:t>“relief”</w:t>
      </w:r>
      <w:r w:rsidRPr="00D96821">
        <w:rPr>
          <w:rFonts w:asciiTheme="minorHAnsi" w:hAnsiTheme="minorHAnsi"/>
        </w:rPr>
        <w:t xml:space="preserve"> in that it provided access to support and intervention from healthcare professionals, sometimes for the first time. Being in hospital often increased awareness of mortality, which served as a </w:t>
      </w:r>
      <w:r w:rsidRPr="00D96821">
        <w:rPr>
          <w:rFonts w:asciiTheme="minorHAnsi" w:hAnsiTheme="minorHAnsi"/>
          <w:i/>
        </w:rPr>
        <w:t>“wake-up call”</w:t>
      </w:r>
      <w:r w:rsidRPr="00D96821">
        <w:rPr>
          <w:rFonts w:asciiTheme="minorHAnsi" w:hAnsiTheme="minorHAnsi"/>
        </w:rPr>
        <w:t xml:space="preserve"> and prompted re-evaluation of alcohol use. Many participants recalled conversations with medical staff during their hospital admission about the seriousness of their physical ill-health and the impact of continued drinking:</w:t>
      </w:r>
    </w:p>
    <w:p w14:paraId="724583DA" w14:textId="77777777" w:rsidR="008B112C" w:rsidRPr="00D96821" w:rsidRDefault="008B112C" w:rsidP="00D96821">
      <w:pPr>
        <w:spacing w:line="360" w:lineRule="auto"/>
        <w:rPr>
          <w:rFonts w:asciiTheme="minorHAnsi" w:hAnsiTheme="minorHAnsi"/>
        </w:rPr>
      </w:pPr>
    </w:p>
    <w:p w14:paraId="6FE04744" w14:textId="77777777" w:rsidR="008B112C" w:rsidRPr="00D96821" w:rsidRDefault="008B112C" w:rsidP="00D96821">
      <w:pPr>
        <w:spacing w:line="360" w:lineRule="auto"/>
        <w:ind w:left="567"/>
        <w:rPr>
          <w:rFonts w:asciiTheme="minorHAnsi" w:hAnsiTheme="minorHAnsi"/>
        </w:rPr>
      </w:pPr>
      <w:r w:rsidRPr="00D96821">
        <w:rPr>
          <w:rFonts w:asciiTheme="minorHAnsi" w:hAnsiTheme="minorHAnsi"/>
          <w:i/>
        </w:rPr>
        <w:t>“The best thing a consultant ever said to me, he said: ‘If you go out of here and drink, you’ll come back into hospital and out again in a coffin’…the scare tactic worked.”</w:t>
      </w:r>
      <w:r w:rsidRPr="00D96821">
        <w:rPr>
          <w:rFonts w:asciiTheme="minorHAnsi" w:hAnsiTheme="minorHAnsi"/>
        </w:rPr>
        <w:t xml:space="preserve"> (Luke)</w:t>
      </w:r>
    </w:p>
    <w:p w14:paraId="0A1AEC53" w14:textId="77777777" w:rsidR="008B112C" w:rsidRPr="00D96821" w:rsidRDefault="008B112C" w:rsidP="00D96821">
      <w:pPr>
        <w:spacing w:line="360" w:lineRule="auto"/>
        <w:rPr>
          <w:rFonts w:asciiTheme="minorHAnsi" w:hAnsiTheme="minorHAnsi"/>
        </w:rPr>
      </w:pPr>
    </w:p>
    <w:p w14:paraId="45E8DFEE" w14:textId="77777777" w:rsidR="008B112C" w:rsidRPr="00D96821" w:rsidRDefault="008B112C" w:rsidP="00D96821">
      <w:pPr>
        <w:spacing w:line="360" w:lineRule="auto"/>
        <w:rPr>
          <w:rFonts w:asciiTheme="minorHAnsi" w:hAnsiTheme="minorHAnsi"/>
          <w:i/>
        </w:rPr>
      </w:pPr>
      <w:r w:rsidRPr="00D96821">
        <w:rPr>
          <w:rFonts w:asciiTheme="minorHAnsi" w:hAnsiTheme="minorHAnsi"/>
        </w:rPr>
        <w:t xml:space="preserve">However, if participants could not envisage that a change in their drinking would alter the course of poor health, provision of feedback about health status sometimes had the opposite effect: </w:t>
      </w:r>
      <w:r w:rsidRPr="00D96821">
        <w:rPr>
          <w:rFonts w:asciiTheme="minorHAnsi" w:hAnsiTheme="minorHAnsi"/>
          <w:i/>
        </w:rPr>
        <w:t xml:space="preserve">“if I was going to die, I might as well make it happen quicker to save the agony” </w:t>
      </w:r>
      <w:r w:rsidRPr="00D96821">
        <w:rPr>
          <w:rFonts w:asciiTheme="minorHAnsi" w:hAnsiTheme="minorHAnsi"/>
        </w:rPr>
        <w:t xml:space="preserve">(Jack). Nevertheless, many participants felt healthcare professionals had a duty to </w:t>
      </w:r>
      <w:r w:rsidRPr="00D96821">
        <w:rPr>
          <w:rFonts w:asciiTheme="minorHAnsi" w:hAnsiTheme="minorHAnsi"/>
          <w:i/>
        </w:rPr>
        <w:t>“tell it as it is”,</w:t>
      </w:r>
      <w:r w:rsidRPr="00D96821">
        <w:rPr>
          <w:rFonts w:asciiTheme="minorHAnsi" w:hAnsiTheme="minorHAnsi"/>
        </w:rPr>
        <w:t xml:space="preserve"> and agreed with Clive who said, </w:t>
      </w:r>
      <w:r w:rsidRPr="00D96821">
        <w:rPr>
          <w:rFonts w:asciiTheme="minorHAnsi" w:hAnsiTheme="minorHAnsi"/>
          <w:i/>
        </w:rPr>
        <w:t>“I absolutely do not feel medics should tip-toe around…out of fear of offending the person”.</w:t>
      </w:r>
      <w:r w:rsidRPr="00D96821">
        <w:rPr>
          <w:rFonts w:asciiTheme="minorHAnsi" w:hAnsiTheme="minorHAnsi"/>
        </w:rPr>
        <w:t xml:space="preserve"> In fact, several said they believed upfront conversations were the most effective intervention for changing behaviour. Although this direct approach may not be universally effective, participants were in overwhelming agreement that it</w:t>
      </w:r>
      <w:r w:rsidRPr="00D96821">
        <w:rPr>
          <w:rFonts w:asciiTheme="minorHAnsi" w:hAnsiTheme="minorHAnsi"/>
          <w:i/>
        </w:rPr>
        <w:t xml:space="preserve"> “doesn’t hurt anybody to have a chat” </w:t>
      </w:r>
      <w:r w:rsidRPr="00D96821">
        <w:rPr>
          <w:rFonts w:asciiTheme="minorHAnsi" w:hAnsiTheme="minorHAnsi"/>
        </w:rPr>
        <w:t xml:space="preserve">(Glen), and were receptive to interventions in hospital for people with AUD. </w:t>
      </w:r>
    </w:p>
    <w:p w14:paraId="11E374A5" w14:textId="77777777" w:rsidR="008B112C" w:rsidRPr="00D96821" w:rsidRDefault="008B112C" w:rsidP="00D96821">
      <w:pPr>
        <w:spacing w:line="360" w:lineRule="auto"/>
        <w:rPr>
          <w:rFonts w:asciiTheme="minorHAnsi" w:hAnsiTheme="minorHAnsi"/>
        </w:rPr>
      </w:pPr>
    </w:p>
    <w:p w14:paraId="5DFEA6D8" w14:textId="77777777" w:rsidR="008B112C" w:rsidRPr="00D96821" w:rsidRDefault="008B112C" w:rsidP="00D96821">
      <w:pPr>
        <w:spacing w:line="360" w:lineRule="auto"/>
        <w:rPr>
          <w:rFonts w:asciiTheme="minorHAnsi" w:hAnsiTheme="minorHAnsi"/>
          <w:b/>
          <w:i/>
        </w:rPr>
      </w:pPr>
    </w:p>
    <w:p w14:paraId="0D53A28F" w14:textId="66000D71" w:rsidR="008B112C" w:rsidRPr="00D96821" w:rsidRDefault="00B360D5" w:rsidP="00D96821">
      <w:pPr>
        <w:spacing w:line="360" w:lineRule="auto"/>
        <w:rPr>
          <w:rFonts w:asciiTheme="minorHAnsi" w:hAnsiTheme="minorHAnsi"/>
          <w:b/>
          <w:i/>
        </w:rPr>
      </w:pPr>
      <w:r>
        <w:rPr>
          <w:rFonts w:asciiTheme="minorHAnsi" w:hAnsiTheme="minorHAnsi"/>
          <w:b/>
          <w:i/>
        </w:rPr>
        <w:t xml:space="preserve">1.3 </w:t>
      </w:r>
      <w:r w:rsidR="008B112C" w:rsidRPr="00D96821">
        <w:rPr>
          <w:rFonts w:asciiTheme="minorHAnsi" w:hAnsiTheme="minorHAnsi"/>
          <w:b/>
          <w:i/>
        </w:rPr>
        <w:t>Allowing time to reflect</w:t>
      </w:r>
    </w:p>
    <w:p w14:paraId="5C90059D" w14:textId="77777777" w:rsidR="008B112C" w:rsidRPr="00D96821" w:rsidRDefault="008B112C" w:rsidP="00D96821">
      <w:pPr>
        <w:spacing w:line="360" w:lineRule="auto"/>
        <w:rPr>
          <w:rFonts w:asciiTheme="minorHAnsi" w:hAnsiTheme="minorHAnsi"/>
        </w:rPr>
      </w:pPr>
    </w:p>
    <w:p w14:paraId="1C3444AF" w14:textId="77777777" w:rsidR="008B112C" w:rsidRPr="00D96821" w:rsidRDefault="008B112C" w:rsidP="00D96821">
      <w:pPr>
        <w:spacing w:line="360" w:lineRule="auto"/>
        <w:rPr>
          <w:rFonts w:asciiTheme="minorHAnsi" w:hAnsiTheme="minorHAnsi"/>
        </w:rPr>
      </w:pPr>
      <w:r w:rsidRPr="00D96821">
        <w:rPr>
          <w:rFonts w:asciiTheme="minorHAnsi" w:hAnsiTheme="minorHAnsi"/>
        </w:rPr>
        <w:t xml:space="preserve">Participants frequently said hospital admission marked a “turning point” because it afforded them time to reflect on their relationship with alcohol and evaluate wider life goals. Respite from the daily routine of alcohol consumption to allow </w:t>
      </w:r>
      <w:r w:rsidRPr="00D96821">
        <w:rPr>
          <w:rFonts w:asciiTheme="minorHAnsi" w:hAnsiTheme="minorHAnsi"/>
          <w:i/>
        </w:rPr>
        <w:t>“thinking space”</w:t>
      </w:r>
      <w:r w:rsidRPr="00D96821">
        <w:rPr>
          <w:rFonts w:asciiTheme="minorHAnsi" w:hAnsiTheme="minorHAnsi"/>
        </w:rPr>
        <w:t xml:space="preserve"> (Simon) was highlighted as a positive by-product of the hospital episode more often than restoration of physical health, which for some participants appeared to be an afterthought: </w:t>
      </w:r>
      <w:r w:rsidRPr="00D96821">
        <w:rPr>
          <w:rFonts w:asciiTheme="minorHAnsi" w:hAnsiTheme="minorHAnsi"/>
          <w:i/>
        </w:rPr>
        <w:t>“the time in there…I didn’t have to think about anything or worry about anything apart from my drinking, oh and my health obviously”</w:t>
      </w:r>
      <w:r w:rsidRPr="00D96821">
        <w:rPr>
          <w:rFonts w:asciiTheme="minorHAnsi" w:hAnsiTheme="minorHAnsi"/>
        </w:rPr>
        <w:t xml:space="preserve"> (Howard). </w:t>
      </w:r>
    </w:p>
    <w:p w14:paraId="1C3BAF97" w14:textId="77777777" w:rsidR="008B112C" w:rsidRPr="00D96821" w:rsidRDefault="008B112C" w:rsidP="00D96821">
      <w:pPr>
        <w:spacing w:line="360" w:lineRule="auto"/>
        <w:rPr>
          <w:rFonts w:asciiTheme="minorHAnsi" w:hAnsiTheme="minorHAnsi"/>
        </w:rPr>
      </w:pPr>
    </w:p>
    <w:p w14:paraId="38CBE84E" w14:textId="77777777" w:rsidR="008B112C" w:rsidRPr="00D96821" w:rsidRDefault="008B112C" w:rsidP="00D96821">
      <w:pPr>
        <w:spacing w:line="360" w:lineRule="auto"/>
        <w:rPr>
          <w:rFonts w:asciiTheme="minorHAnsi" w:hAnsiTheme="minorHAnsi"/>
        </w:rPr>
      </w:pPr>
      <w:r w:rsidRPr="00D96821">
        <w:rPr>
          <w:rFonts w:asciiTheme="minorHAnsi" w:hAnsiTheme="minorHAnsi"/>
        </w:rPr>
        <w:t>The psychological break that hospital admission provided often symbolised the start of a new life chapter for many participants, even if they resumed drinking post-discharge. Jack’s reference to his “previous life” before his hospital admission exemplifies this:</w:t>
      </w:r>
    </w:p>
    <w:p w14:paraId="019BD7E0" w14:textId="77777777" w:rsidR="008B112C" w:rsidRPr="00D96821" w:rsidRDefault="008B112C" w:rsidP="00D96821">
      <w:pPr>
        <w:spacing w:line="360" w:lineRule="auto"/>
        <w:rPr>
          <w:rFonts w:asciiTheme="minorHAnsi" w:hAnsiTheme="minorHAnsi"/>
        </w:rPr>
      </w:pPr>
    </w:p>
    <w:p w14:paraId="52B55031" w14:textId="77777777" w:rsidR="008B112C" w:rsidRPr="00D96821" w:rsidRDefault="008B112C" w:rsidP="00D96821">
      <w:pPr>
        <w:spacing w:line="360" w:lineRule="auto"/>
        <w:ind w:left="567"/>
        <w:rPr>
          <w:rFonts w:asciiTheme="minorHAnsi" w:hAnsiTheme="minorHAnsi"/>
          <w:i/>
        </w:rPr>
      </w:pPr>
      <w:r w:rsidRPr="00D96821">
        <w:rPr>
          <w:rFonts w:asciiTheme="minorHAnsi" w:hAnsiTheme="minorHAnsi"/>
          <w:i/>
        </w:rPr>
        <w:t>“It gave me time to reflect on my previous life, gave me a lot of time to stare at the walls. It gave me time to think about my life, times that have gone by, and I realised it’s about time I knocked this s**t on the head.”</w:t>
      </w:r>
    </w:p>
    <w:p w14:paraId="10D23AE7" w14:textId="77777777" w:rsidR="008B112C" w:rsidRPr="00D96821" w:rsidRDefault="008B112C" w:rsidP="00D96821">
      <w:pPr>
        <w:spacing w:line="360" w:lineRule="auto"/>
        <w:rPr>
          <w:rFonts w:asciiTheme="minorHAnsi" w:hAnsiTheme="minorHAnsi"/>
          <w:b/>
          <w:i/>
        </w:rPr>
      </w:pPr>
    </w:p>
    <w:p w14:paraId="6C2A595A" w14:textId="7979A77C" w:rsidR="008B112C" w:rsidRPr="00B360D5" w:rsidRDefault="008B112C" w:rsidP="00B360D5">
      <w:pPr>
        <w:pStyle w:val="ListParagraph"/>
        <w:numPr>
          <w:ilvl w:val="0"/>
          <w:numId w:val="1"/>
        </w:numPr>
        <w:spacing w:line="360" w:lineRule="auto"/>
        <w:rPr>
          <w:rFonts w:asciiTheme="minorHAnsi" w:hAnsiTheme="minorHAnsi"/>
          <w:b/>
          <w:u w:val="single"/>
        </w:rPr>
      </w:pPr>
      <w:r w:rsidRPr="00B360D5">
        <w:rPr>
          <w:rFonts w:asciiTheme="minorHAnsi" w:hAnsiTheme="minorHAnsi"/>
          <w:b/>
          <w:u w:val="single"/>
        </w:rPr>
        <w:t>From hospital to home</w:t>
      </w:r>
    </w:p>
    <w:p w14:paraId="2FB2BCB2" w14:textId="77777777" w:rsidR="008B112C" w:rsidRPr="00D96821" w:rsidRDefault="008B112C" w:rsidP="00D96821">
      <w:pPr>
        <w:spacing w:line="360" w:lineRule="auto"/>
        <w:rPr>
          <w:rFonts w:asciiTheme="minorHAnsi" w:hAnsiTheme="minorHAnsi"/>
          <w:b/>
          <w:i/>
        </w:rPr>
      </w:pPr>
    </w:p>
    <w:p w14:paraId="76FDBAD3" w14:textId="4368F002" w:rsidR="008B112C" w:rsidRPr="00D96821" w:rsidRDefault="00B360D5" w:rsidP="00D96821">
      <w:pPr>
        <w:spacing w:line="360" w:lineRule="auto"/>
        <w:rPr>
          <w:rFonts w:asciiTheme="minorHAnsi" w:hAnsiTheme="minorHAnsi"/>
          <w:b/>
          <w:i/>
        </w:rPr>
      </w:pPr>
      <w:r>
        <w:rPr>
          <w:rFonts w:asciiTheme="minorHAnsi" w:hAnsiTheme="minorHAnsi"/>
          <w:b/>
          <w:i/>
        </w:rPr>
        <w:t xml:space="preserve">2.1 </w:t>
      </w:r>
      <w:r w:rsidR="008B112C" w:rsidRPr="00D96821">
        <w:rPr>
          <w:rFonts w:asciiTheme="minorHAnsi" w:hAnsiTheme="minorHAnsi"/>
          <w:b/>
          <w:i/>
        </w:rPr>
        <w:t>“Back in the same old situation”</w:t>
      </w:r>
    </w:p>
    <w:p w14:paraId="7EF51966" w14:textId="77777777" w:rsidR="008B112C" w:rsidRPr="00D96821" w:rsidRDefault="008B112C" w:rsidP="00D96821">
      <w:pPr>
        <w:spacing w:line="360" w:lineRule="auto"/>
        <w:rPr>
          <w:rFonts w:asciiTheme="minorHAnsi" w:hAnsiTheme="minorHAnsi"/>
        </w:rPr>
      </w:pPr>
    </w:p>
    <w:p w14:paraId="1BDC5BDD" w14:textId="77777777" w:rsidR="008B112C" w:rsidRPr="00D96821" w:rsidRDefault="008B112C" w:rsidP="00D96821">
      <w:pPr>
        <w:spacing w:line="360" w:lineRule="auto"/>
        <w:rPr>
          <w:rFonts w:asciiTheme="minorHAnsi" w:hAnsiTheme="minorHAnsi"/>
        </w:rPr>
      </w:pPr>
      <w:r w:rsidRPr="00D96821">
        <w:rPr>
          <w:rFonts w:asciiTheme="minorHAnsi" w:hAnsiTheme="minorHAnsi"/>
        </w:rPr>
        <w:t>Even despite high levels of readiness to change in hospital, several participants found difficulty in transitioning back to their home environment following discharge:</w:t>
      </w:r>
    </w:p>
    <w:p w14:paraId="6FBCDFDC" w14:textId="77777777" w:rsidR="008B112C" w:rsidRPr="00D96821" w:rsidRDefault="008B112C" w:rsidP="00D96821">
      <w:pPr>
        <w:spacing w:line="360" w:lineRule="auto"/>
        <w:rPr>
          <w:rFonts w:asciiTheme="minorHAnsi" w:hAnsiTheme="minorHAnsi"/>
        </w:rPr>
      </w:pPr>
    </w:p>
    <w:p w14:paraId="3BE4EC10" w14:textId="77777777" w:rsidR="008B112C" w:rsidRPr="00D96821" w:rsidRDefault="008B112C" w:rsidP="00D96821">
      <w:pPr>
        <w:spacing w:line="360" w:lineRule="auto"/>
        <w:ind w:left="567"/>
        <w:rPr>
          <w:rFonts w:asciiTheme="minorHAnsi" w:hAnsiTheme="minorHAnsi"/>
          <w:i/>
        </w:rPr>
      </w:pPr>
      <w:r w:rsidRPr="00D96821">
        <w:rPr>
          <w:rFonts w:asciiTheme="minorHAnsi" w:hAnsiTheme="minorHAnsi"/>
          <w:i/>
        </w:rPr>
        <w:t>“You say all these things to yourself in hospital about how you’re not going to drink again but when I got home, I started again…you are back in the same old situation and you go back to your old ways.” (Marie)</w:t>
      </w:r>
    </w:p>
    <w:p w14:paraId="58410671" w14:textId="77777777" w:rsidR="008B112C" w:rsidRPr="00D96821" w:rsidRDefault="008B112C" w:rsidP="00D96821">
      <w:pPr>
        <w:spacing w:line="360" w:lineRule="auto"/>
        <w:rPr>
          <w:rFonts w:asciiTheme="minorHAnsi" w:hAnsiTheme="minorHAnsi"/>
        </w:rPr>
      </w:pPr>
    </w:p>
    <w:p w14:paraId="51A0F4B7" w14:textId="77777777" w:rsidR="008B112C" w:rsidRPr="00D96821" w:rsidRDefault="008B112C" w:rsidP="00D96821">
      <w:pPr>
        <w:spacing w:line="360" w:lineRule="auto"/>
        <w:rPr>
          <w:rFonts w:asciiTheme="minorHAnsi" w:hAnsiTheme="minorHAnsi"/>
        </w:rPr>
      </w:pPr>
      <w:r w:rsidRPr="00D96821">
        <w:rPr>
          <w:rFonts w:asciiTheme="minorHAnsi" w:hAnsiTheme="minorHAnsi"/>
        </w:rPr>
        <w:t>The transition was particularly challenging for participants with multiple and complex needs, such as homelessness and mental illness. Nathan, for example, accepted residence at a ‘wet house’ which operated a scheduled drinking programme, to avoid rough sleeping:</w:t>
      </w:r>
    </w:p>
    <w:p w14:paraId="26D8FE41" w14:textId="77777777" w:rsidR="008B112C" w:rsidRPr="00D96821" w:rsidRDefault="008B112C" w:rsidP="00D96821">
      <w:pPr>
        <w:spacing w:line="360" w:lineRule="auto"/>
        <w:rPr>
          <w:rFonts w:asciiTheme="minorHAnsi" w:hAnsiTheme="minorHAnsi"/>
        </w:rPr>
      </w:pPr>
    </w:p>
    <w:p w14:paraId="6D9EBB0F" w14:textId="77777777" w:rsidR="008B112C" w:rsidRPr="00D96821" w:rsidRDefault="008B112C" w:rsidP="00D96821">
      <w:pPr>
        <w:spacing w:line="360" w:lineRule="auto"/>
        <w:ind w:left="567"/>
        <w:rPr>
          <w:rFonts w:asciiTheme="minorHAnsi" w:hAnsiTheme="minorHAnsi"/>
          <w:i/>
        </w:rPr>
      </w:pPr>
      <w:r w:rsidRPr="00D96821">
        <w:rPr>
          <w:rFonts w:asciiTheme="minorHAnsi" w:hAnsiTheme="minorHAnsi"/>
          <w:i/>
        </w:rPr>
        <w:t>“I wasn’t even thinking about drink. That was the last thing on my mind, but once I saw it, there it goes in my mind. I have just been detoxed and given 4 cans.”</w:t>
      </w:r>
    </w:p>
    <w:p w14:paraId="7D7B182B" w14:textId="77777777" w:rsidR="008B112C" w:rsidRPr="00D96821" w:rsidRDefault="008B112C" w:rsidP="00D96821">
      <w:pPr>
        <w:spacing w:line="360" w:lineRule="auto"/>
        <w:rPr>
          <w:rFonts w:asciiTheme="minorHAnsi" w:hAnsiTheme="minorHAnsi"/>
        </w:rPr>
      </w:pPr>
    </w:p>
    <w:p w14:paraId="765B3536" w14:textId="77777777" w:rsidR="008B112C" w:rsidRPr="00D96821" w:rsidRDefault="008B112C" w:rsidP="00D96821">
      <w:pPr>
        <w:spacing w:line="360" w:lineRule="auto"/>
        <w:rPr>
          <w:rFonts w:asciiTheme="minorHAnsi" w:hAnsiTheme="minorHAnsi"/>
        </w:rPr>
      </w:pPr>
      <w:r w:rsidRPr="00D96821">
        <w:rPr>
          <w:rFonts w:asciiTheme="minorHAnsi" w:hAnsiTheme="minorHAnsi"/>
        </w:rPr>
        <w:t xml:space="preserve">Some participants explained that as their memory of hospital admission faded, so did their recognition of alcohol as a problem: </w:t>
      </w:r>
    </w:p>
    <w:p w14:paraId="241541BE" w14:textId="77777777" w:rsidR="008B112C" w:rsidRPr="00D96821" w:rsidRDefault="008B112C" w:rsidP="00D96821">
      <w:pPr>
        <w:spacing w:line="360" w:lineRule="auto"/>
        <w:rPr>
          <w:rFonts w:asciiTheme="minorHAnsi" w:hAnsiTheme="minorHAnsi"/>
        </w:rPr>
      </w:pPr>
    </w:p>
    <w:p w14:paraId="5E87E9DE" w14:textId="77777777" w:rsidR="008B112C" w:rsidRPr="00D96821" w:rsidRDefault="008B112C" w:rsidP="00D96821">
      <w:pPr>
        <w:spacing w:line="360" w:lineRule="auto"/>
        <w:ind w:left="720"/>
        <w:rPr>
          <w:rFonts w:asciiTheme="minorHAnsi" w:hAnsiTheme="minorHAnsi"/>
          <w:i/>
        </w:rPr>
      </w:pPr>
      <w:r w:rsidRPr="00D96821">
        <w:rPr>
          <w:rFonts w:asciiTheme="minorHAnsi" w:hAnsiTheme="minorHAnsi"/>
          <w:i/>
        </w:rPr>
        <w:t>“Initially [hospital admission], it made me think, ‘curtail it, slow it down a bit…[but] after about a week, how shall I put it? Relapse – ‘oh I’m better now’.”</w:t>
      </w:r>
      <w:r w:rsidRPr="00D96821">
        <w:rPr>
          <w:rFonts w:asciiTheme="minorHAnsi" w:hAnsiTheme="minorHAnsi"/>
        </w:rPr>
        <w:t xml:space="preserve"> (Trevor)</w:t>
      </w:r>
    </w:p>
    <w:p w14:paraId="1F23CD4E" w14:textId="77777777" w:rsidR="008B112C" w:rsidRPr="00D96821" w:rsidRDefault="008B112C" w:rsidP="00D96821">
      <w:pPr>
        <w:spacing w:line="360" w:lineRule="auto"/>
        <w:rPr>
          <w:rFonts w:asciiTheme="minorHAnsi" w:hAnsiTheme="minorHAnsi"/>
        </w:rPr>
      </w:pPr>
    </w:p>
    <w:p w14:paraId="3B87F324" w14:textId="5B56AC78" w:rsidR="008B112C" w:rsidRPr="00D96821" w:rsidRDefault="008B112C" w:rsidP="00D96821">
      <w:pPr>
        <w:spacing w:line="360" w:lineRule="auto"/>
        <w:rPr>
          <w:rFonts w:asciiTheme="minorHAnsi" w:hAnsiTheme="minorHAnsi"/>
        </w:rPr>
      </w:pPr>
      <w:r w:rsidRPr="00D96821">
        <w:rPr>
          <w:rFonts w:asciiTheme="minorHAnsi" w:hAnsiTheme="minorHAnsi"/>
        </w:rPr>
        <w:t xml:space="preserve">Extending Trevor’s point, several participants explained that improvements in physical health made less salient the need to maintain abstinence. For example, Daniel, who </w:t>
      </w:r>
      <w:r w:rsidR="00EF1372" w:rsidRPr="00D96821">
        <w:rPr>
          <w:rFonts w:asciiTheme="minorHAnsi" w:hAnsiTheme="minorHAnsi"/>
        </w:rPr>
        <w:t xml:space="preserve">was </w:t>
      </w:r>
      <w:r w:rsidRPr="00D96821">
        <w:rPr>
          <w:rFonts w:asciiTheme="minorHAnsi" w:hAnsiTheme="minorHAnsi"/>
        </w:rPr>
        <w:t>interviewed during a subsequent alcohol-related hospital admission, said:</w:t>
      </w:r>
    </w:p>
    <w:p w14:paraId="698782B1" w14:textId="77777777" w:rsidR="008B112C" w:rsidRPr="00D96821" w:rsidRDefault="008B112C" w:rsidP="00D96821">
      <w:pPr>
        <w:spacing w:line="360" w:lineRule="auto"/>
        <w:ind w:left="567"/>
        <w:rPr>
          <w:rFonts w:asciiTheme="minorHAnsi" w:hAnsiTheme="minorHAnsi"/>
        </w:rPr>
      </w:pPr>
    </w:p>
    <w:p w14:paraId="0EADBF9B" w14:textId="77777777" w:rsidR="008B112C" w:rsidRPr="00D96821" w:rsidRDefault="008B112C" w:rsidP="00D96821">
      <w:pPr>
        <w:spacing w:line="360" w:lineRule="auto"/>
        <w:ind w:left="567"/>
        <w:rPr>
          <w:rFonts w:asciiTheme="minorHAnsi" w:hAnsiTheme="minorHAnsi"/>
          <w:i/>
          <w:color w:val="4472C4" w:themeColor="accent1"/>
        </w:rPr>
      </w:pPr>
      <w:r w:rsidRPr="00D96821">
        <w:rPr>
          <w:rFonts w:asciiTheme="minorHAnsi" w:hAnsiTheme="minorHAnsi"/>
          <w:i/>
        </w:rPr>
        <w:t>“Two or three days ago I felt like death, I really felt like I was on my way out. Now I feel great. I have already lost the feeling and memory of how bad it can be, you know this is only two days ago.”</w:t>
      </w:r>
    </w:p>
    <w:p w14:paraId="3A9C6816" w14:textId="77777777" w:rsidR="008B112C" w:rsidRPr="00D96821" w:rsidRDefault="008B112C" w:rsidP="00D96821">
      <w:pPr>
        <w:spacing w:line="360" w:lineRule="auto"/>
        <w:rPr>
          <w:rFonts w:asciiTheme="minorHAnsi" w:hAnsiTheme="minorHAnsi"/>
        </w:rPr>
      </w:pPr>
    </w:p>
    <w:p w14:paraId="1D51F879" w14:textId="77777777" w:rsidR="008B112C" w:rsidRPr="00D96821" w:rsidRDefault="008B112C" w:rsidP="00D96821">
      <w:pPr>
        <w:spacing w:line="360" w:lineRule="auto"/>
        <w:rPr>
          <w:rFonts w:asciiTheme="minorHAnsi" w:hAnsiTheme="minorHAnsi"/>
          <w:b/>
          <w:i/>
        </w:rPr>
      </w:pPr>
    </w:p>
    <w:p w14:paraId="6CB603AF" w14:textId="73E1CCB0" w:rsidR="008B112C" w:rsidRPr="00D96821" w:rsidRDefault="00B360D5" w:rsidP="00D96821">
      <w:pPr>
        <w:spacing w:line="360" w:lineRule="auto"/>
        <w:rPr>
          <w:rFonts w:asciiTheme="minorHAnsi" w:hAnsiTheme="minorHAnsi"/>
          <w:b/>
          <w:i/>
        </w:rPr>
      </w:pPr>
      <w:r>
        <w:rPr>
          <w:rFonts w:asciiTheme="minorHAnsi" w:hAnsiTheme="minorHAnsi"/>
          <w:b/>
          <w:i/>
        </w:rPr>
        <w:lastRenderedPageBreak/>
        <w:t xml:space="preserve">2.2 </w:t>
      </w:r>
      <w:r w:rsidR="008B112C" w:rsidRPr="00D96821">
        <w:rPr>
          <w:rFonts w:asciiTheme="minorHAnsi" w:hAnsiTheme="minorHAnsi"/>
          <w:b/>
          <w:i/>
        </w:rPr>
        <w:t>Disjointed alcohol care pathways</w:t>
      </w:r>
    </w:p>
    <w:p w14:paraId="1DB84697" w14:textId="77777777" w:rsidR="008B112C" w:rsidRPr="00D96821" w:rsidRDefault="008B112C" w:rsidP="00D96821">
      <w:pPr>
        <w:spacing w:line="360" w:lineRule="auto"/>
        <w:rPr>
          <w:rFonts w:asciiTheme="minorHAnsi" w:hAnsiTheme="minorHAnsi"/>
        </w:rPr>
      </w:pPr>
    </w:p>
    <w:p w14:paraId="4178C5A1" w14:textId="77777777" w:rsidR="008B112C" w:rsidRPr="00D96821" w:rsidRDefault="008B112C" w:rsidP="00D96821">
      <w:pPr>
        <w:spacing w:line="360" w:lineRule="auto"/>
        <w:rPr>
          <w:rFonts w:asciiTheme="minorHAnsi" w:hAnsiTheme="minorHAnsi"/>
        </w:rPr>
      </w:pPr>
      <w:r w:rsidRPr="00D96821">
        <w:rPr>
          <w:rFonts w:asciiTheme="minorHAnsi" w:hAnsiTheme="minorHAnsi"/>
        </w:rPr>
        <w:t xml:space="preserve">Several participants described using hospital services as a means of accessing support for their drinking, as other treatment options were inadequate or unavailable. For example, Joe explained that he was placed on a waiting list for an appointment at his local community alcohol service but </w:t>
      </w:r>
      <w:r w:rsidRPr="00D96821">
        <w:rPr>
          <w:rFonts w:asciiTheme="minorHAnsi" w:hAnsiTheme="minorHAnsi"/>
          <w:i/>
        </w:rPr>
        <w:t>“needed something immediately”</w:t>
      </w:r>
      <w:r w:rsidRPr="00D96821">
        <w:rPr>
          <w:rFonts w:asciiTheme="minorHAnsi" w:hAnsiTheme="minorHAnsi"/>
        </w:rPr>
        <w:t xml:space="preserve"> and so presented to hospital: </w:t>
      </w:r>
    </w:p>
    <w:p w14:paraId="514282DC" w14:textId="77777777" w:rsidR="008B112C" w:rsidRPr="00D96821" w:rsidRDefault="008B112C" w:rsidP="00D96821">
      <w:pPr>
        <w:spacing w:line="360" w:lineRule="auto"/>
        <w:rPr>
          <w:rFonts w:asciiTheme="minorHAnsi" w:hAnsiTheme="minorHAnsi"/>
        </w:rPr>
      </w:pPr>
    </w:p>
    <w:p w14:paraId="7FA315CC" w14:textId="77777777" w:rsidR="008B112C" w:rsidRPr="00D96821" w:rsidRDefault="008B112C" w:rsidP="00D96821">
      <w:pPr>
        <w:spacing w:line="360" w:lineRule="auto"/>
        <w:ind w:left="567"/>
        <w:rPr>
          <w:rFonts w:asciiTheme="minorHAnsi" w:hAnsiTheme="minorHAnsi"/>
          <w:i/>
        </w:rPr>
      </w:pPr>
      <w:r w:rsidRPr="00D96821">
        <w:rPr>
          <w:rFonts w:asciiTheme="minorHAnsi" w:hAnsiTheme="minorHAnsi"/>
          <w:i/>
        </w:rPr>
        <w:t xml:space="preserve">“I knew I needed help. So, I almost force-drank myself into hospital. I went up to A&amp;E, they discharged me within 2 hours. So, I went home, drank more, and then went back to hospital and they kept me in for a couple of nights…I just thought, ‘I need to make myself really ill. I know I need help, but I just seemed to have been told to go home’. Right ok, I will just try harder.” </w:t>
      </w:r>
    </w:p>
    <w:p w14:paraId="2E88382F" w14:textId="77777777" w:rsidR="008B112C" w:rsidRPr="00D96821" w:rsidRDefault="008B112C" w:rsidP="00D96821">
      <w:pPr>
        <w:spacing w:line="360" w:lineRule="auto"/>
        <w:rPr>
          <w:rFonts w:asciiTheme="minorHAnsi" w:hAnsiTheme="minorHAnsi"/>
        </w:rPr>
      </w:pPr>
    </w:p>
    <w:p w14:paraId="3AE02D54" w14:textId="77777777" w:rsidR="008B112C" w:rsidRPr="00D96821" w:rsidRDefault="008B112C" w:rsidP="00D96821">
      <w:pPr>
        <w:spacing w:line="360" w:lineRule="auto"/>
        <w:rPr>
          <w:rFonts w:asciiTheme="minorHAnsi" w:hAnsiTheme="minorHAnsi"/>
        </w:rPr>
      </w:pPr>
      <w:r w:rsidRPr="00D96821">
        <w:rPr>
          <w:rFonts w:asciiTheme="minorHAnsi" w:hAnsiTheme="minorHAnsi"/>
        </w:rPr>
        <w:t>However, disjointed pathways between hospital and community treatment were said to undermine participants’ efforts to sustain change. Jack, for example, was given an appointment to attend community treatment services by hospital staff but was turned away:</w:t>
      </w:r>
    </w:p>
    <w:p w14:paraId="4537C994" w14:textId="77777777" w:rsidR="008B112C" w:rsidRPr="00D96821" w:rsidRDefault="008B112C" w:rsidP="00D96821">
      <w:pPr>
        <w:spacing w:line="360" w:lineRule="auto"/>
        <w:rPr>
          <w:rFonts w:asciiTheme="minorHAnsi" w:hAnsiTheme="minorHAnsi"/>
        </w:rPr>
      </w:pPr>
    </w:p>
    <w:p w14:paraId="083D1959" w14:textId="77777777" w:rsidR="008B112C" w:rsidRPr="00D96821" w:rsidRDefault="008B112C" w:rsidP="00D96821">
      <w:pPr>
        <w:spacing w:line="360" w:lineRule="auto"/>
        <w:ind w:left="567"/>
        <w:rPr>
          <w:rFonts w:asciiTheme="minorHAnsi" w:hAnsiTheme="minorHAnsi"/>
          <w:i/>
        </w:rPr>
      </w:pPr>
      <w:r w:rsidRPr="00D96821">
        <w:rPr>
          <w:rFonts w:asciiTheme="minorHAnsi" w:hAnsiTheme="minorHAnsi"/>
          <w:i/>
        </w:rPr>
        <w:t>“I was supposed to go down to [community treatment services], but they stitched me up. I did make the effort, but the guy was on annual leave. Don’t see why they would have made an appointment for me if he was on annual leave.”</w:t>
      </w:r>
    </w:p>
    <w:p w14:paraId="2B0211FF" w14:textId="77777777" w:rsidR="008B112C" w:rsidRPr="00D96821" w:rsidRDefault="008B112C" w:rsidP="00D96821">
      <w:pPr>
        <w:spacing w:line="360" w:lineRule="auto"/>
        <w:rPr>
          <w:rFonts w:asciiTheme="minorHAnsi" w:hAnsiTheme="minorHAnsi"/>
          <w:i/>
        </w:rPr>
      </w:pPr>
    </w:p>
    <w:p w14:paraId="097932FD" w14:textId="77777777" w:rsidR="008B112C" w:rsidRPr="00D96821" w:rsidRDefault="008B112C" w:rsidP="00D96821">
      <w:pPr>
        <w:spacing w:line="360" w:lineRule="auto"/>
        <w:rPr>
          <w:rFonts w:asciiTheme="minorHAnsi" w:hAnsiTheme="minorHAnsi"/>
        </w:rPr>
      </w:pPr>
      <w:r w:rsidRPr="00D96821">
        <w:rPr>
          <w:rFonts w:asciiTheme="minorHAnsi" w:hAnsiTheme="minorHAnsi"/>
        </w:rPr>
        <w:t xml:space="preserve">Examples of effective multi-agency working, reinforce its importance for favourable drinking outcomes and subsequent treatment utilisation, even if only for individuals with severe AUD who often require ongoing support: </w:t>
      </w:r>
      <w:r w:rsidRPr="00D96821">
        <w:rPr>
          <w:rFonts w:asciiTheme="minorHAnsi" w:hAnsiTheme="minorHAnsi"/>
          <w:i/>
        </w:rPr>
        <w:t>“If it wasn’t for these alcohol nurses referring me to [community treatment services], I would still have been on the drink.”</w:t>
      </w:r>
      <w:r w:rsidRPr="00D96821">
        <w:rPr>
          <w:rFonts w:asciiTheme="minorHAnsi" w:hAnsiTheme="minorHAnsi"/>
        </w:rPr>
        <w:t xml:space="preserve"> (Luke)</w:t>
      </w:r>
    </w:p>
    <w:p w14:paraId="09A5D51A" w14:textId="77777777" w:rsidR="008B112C" w:rsidRPr="00D96821" w:rsidRDefault="008B112C" w:rsidP="00D96821">
      <w:pPr>
        <w:spacing w:line="360" w:lineRule="auto"/>
        <w:rPr>
          <w:rFonts w:asciiTheme="minorHAnsi" w:hAnsiTheme="minorHAnsi"/>
          <w:i/>
          <w:color w:val="4472C4" w:themeColor="accent1"/>
        </w:rPr>
      </w:pPr>
    </w:p>
    <w:p w14:paraId="39ECFAF9" w14:textId="77777777" w:rsidR="008B112C" w:rsidRPr="00D96821" w:rsidRDefault="008B112C" w:rsidP="00D96821">
      <w:pPr>
        <w:spacing w:line="360" w:lineRule="auto"/>
        <w:rPr>
          <w:rFonts w:asciiTheme="minorHAnsi" w:hAnsiTheme="minorHAnsi"/>
        </w:rPr>
      </w:pPr>
    </w:p>
    <w:p w14:paraId="5364E298" w14:textId="78300B42" w:rsidR="008B112C" w:rsidRPr="00B360D5" w:rsidRDefault="008B112C" w:rsidP="00B360D5">
      <w:pPr>
        <w:pStyle w:val="ListParagraph"/>
        <w:numPr>
          <w:ilvl w:val="0"/>
          <w:numId w:val="1"/>
        </w:numPr>
        <w:spacing w:line="360" w:lineRule="auto"/>
        <w:rPr>
          <w:rFonts w:asciiTheme="minorHAnsi" w:hAnsiTheme="minorHAnsi"/>
          <w:b/>
          <w:u w:val="single"/>
        </w:rPr>
      </w:pPr>
      <w:r w:rsidRPr="00B360D5">
        <w:rPr>
          <w:rFonts w:asciiTheme="minorHAnsi" w:hAnsiTheme="minorHAnsi"/>
          <w:b/>
          <w:u w:val="single"/>
        </w:rPr>
        <w:t>The stigma of AUD and hospital use</w:t>
      </w:r>
    </w:p>
    <w:p w14:paraId="6055CDA3" w14:textId="77777777" w:rsidR="008B112C" w:rsidRPr="00D96821" w:rsidRDefault="008B112C" w:rsidP="00D96821">
      <w:pPr>
        <w:spacing w:line="360" w:lineRule="auto"/>
        <w:rPr>
          <w:rFonts w:asciiTheme="minorHAnsi" w:hAnsiTheme="minorHAnsi"/>
          <w:b/>
          <w:i/>
        </w:rPr>
      </w:pPr>
    </w:p>
    <w:p w14:paraId="56BEE00C" w14:textId="14EFD88D" w:rsidR="008B112C" w:rsidRPr="00D96821" w:rsidRDefault="00B360D5" w:rsidP="00D96821">
      <w:pPr>
        <w:spacing w:line="360" w:lineRule="auto"/>
        <w:rPr>
          <w:rFonts w:asciiTheme="minorHAnsi" w:hAnsiTheme="minorHAnsi"/>
          <w:b/>
          <w:i/>
        </w:rPr>
      </w:pPr>
      <w:r>
        <w:rPr>
          <w:rFonts w:asciiTheme="minorHAnsi" w:hAnsiTheme="minorHAnsi"/>
          <w:b/>
          <w:i/>
        </w:rPr>
        <w:t xml:space="preserve">3.1 </w:t>
      </w:r>
      <w:r w:rsidR="008B112C" w:rsidRPr="00D96821">
        <w:rPr>
          <w:rFonts w:asciiTheme="minorHAnsi" w:hAnsiTheme="minorHAnsi"/>
          <w:b/>
          <w:i/>
        </w:rPr>
        <w:t>Self-stigma</w:t>
      </w:r>
    </w:p>
    <w:p w14:paraId="73A61388" w14:textId="77777777" w:rsidR="008B112C" w:rsidRPr="00D96821" w:rsidRDefault="008B112C" w:rsidP="00D96821">
      <w:pPr>
        <w:spacing w:line="360" w:lineRule="auto"/>
        <w:rPr>
          <w:rFonts w:asciiTheme="minorHAnsi" w:hAnsiTheme="minorHAnsi"/>
        </w:rPr>
      </w:pPr>
    </w:p>
    <w:p w14:paraId="45484D2E" w14:textId="77777777" w:rsidR="008B112C" w:rsidRPr="00D96821" w:rsidRDefault="008B112C" w:rsidP="00D96821">
      <w:pPr>
        <w:spacing w:line="360" w:lineRule="auto"/>
        <w:rPr>
          <w:rFonts w:asciiTheme="minorHAnsi" w:hAnsiTheme="minorHAnsi"/>
        </w:rPr>
      </w:pPr>
      <w:r w:rsidRPr="00D96821">
        <w:rPr>
          <w:rFonts w:asciiTheme="minorHAnsi" w:hAnsiTheme="minorHAnsi"/>
        </w:rPr>
        <w:lastRenderedPageBreak/>
        <w:t xml:space="preserve">Feedback about staff was generally positive, for example: </w:t>
      </w:r>
    </w:p>
    <w:p w14:paraId="01C5B275" w14:textId="77777777" w:rsidR="008B112C" w:rsidRPr="00D96821" w:rsidRDefault="008B112C" w:rsidP="00D96821">
      <w:pPr>
        <w:spacing w:line="360" w:lineRule="auto"/>
        <w:rPr>
          <w:rFonts w:asciiTheme="minorHAnsi" w:hAnsiTheme="minorHAnsi"/>
        </w:rPr>
      </w:pPr>
    </w:p>
    <w:p w14:paraId="185BF6B1" w14:textId="77777777" w:rsidR="008B112C" w:rsidRPr="00D96821" w:rsidRDefault="008B112C" w:rsidP="00D96821">
      <w:pPr>
        <w:spacing w:line="360" w:lineRule="auto"/>
        <w:ind w:left="567"/>
        <w:rPr>
          <w:rFonts w:asciiTheme="minorHAnsi" w:hAnsiTheme="minorHAnsi"/>
        </w:rPr>
      </w:pPr>
      <w:r w:rsidRPr="00D96821">
        <w:rPr>
          <w:rFonts w:asciiTheme="minorHAnsi" w:hAnsiTheme="minorHAnsi"/>
          <w:i/>
        </w:rPr>
        <w:t>“The respect with which each individual is treated is second to none, it really is. It made no difference to them that I needed some treatment for alcohol.”</w:t>
      </w:r>
      <w:r w:rsidRPr="00D96821">
        <w:rPr>
          <w:rFonts w:asciiTheme="minorHAnsi" w:hAnsiTheme="minorHAnsi"/>
        </w:rPr>
        <w:t xml:space="preserve"> (Clive)</w:t>
      </w:r>
    </w:p>
    <w:p w14:paraId="1B13A305" w14:textId="77777777" w:rsidR="008B112C" w:rsidRPr="00D96821" w:rsidRDefault="008B112C" w:rsidP="00D96821">
      <w:pPr>
        <w:spacing w:line="360" w:lineRule="auto"/>
        <w:rPr>
          <w:rFonts w:asciiTheme="minorHAnsi" w:hAnsiTheme="minorHAnsi"/>
        </w:rPr>
      </w:pPr>
    </w:p>
    <w:p w14:paraId="5B61C291" w14:textId="77777777" w:rsidR="008B112C" w:rsidRPr="00D96821" w:rsidRDefault="008B112C" w:rsidP="00D96821">
      <w:pPr>
        <w:spacing w:line="360" w:lineRule="auto"/>
        <w:rPr>
          <w:rFonts w:asciiTheme="minorHAnsi" w:hAnsiTheme="minorHAnsi"/>
        </w:rPr>
      </w:pPr>
      <w:r w:rsidRPr="00D96821">
        <w:rPr>
          <w:rFonts w:asciiTheme="minorHAnsi" w:hAnsiTheme="minorHAnsi"/>
        </w:rPr>
        <w:t xml:space="preserve">Participants were much more likely to describe ‘self-stigma’ and many expressed concerns about </w:t>
      </w:r>
      <w:r w:rsidRPr="00D96821">
        <w:rPr>
          <w:rFonts w:asciiTheme="minorHAnsi" w:hAnsiTheme="minorHAnsi"/>
          <w:i/>
        </w:rPr>
        <w:t>“wasting NHS resources”,</w:t>
      </w:r>
      <w:r w:rsidRPr="00D96821">
        <w:rPr>
          <w:rFonts w:asciiTheme="minorHAnsi" w:hAnsiTheme="minorHAnsi"/>
        </w:rPr>
        <w:t xml:space="preserve"> especially if they reported several alcohol-related hospital attendances. Self-defamatory statements often stemmed from assumptions about AUD being the product of “moral failing”: </w:t>
      </w:r>
    </w:p>
    <w:p w14:paraId="50722704" w14:textId="77777777" w:rsidR="008B112C" w:rsidRPr="00D96821" w:rsidRDefault="008B112C" w:rsidP="00D96821">
      <w:pPr>
        <w:spacing w:line="360" w:lineRule="auto"/>
        <w:rPr>
          <w:rFonts w:asciiTheme="minorHAnsi" w:hAnsiTheme="minorHAnsi"/>
        </w:rPr>
      </w:pPr>
    </w:p>
    <w:p w14:paraId="464FA556" w14:textId="77777777" w:rsidR="008B112C" w:rsidRPr="00D96821" w:rsidRDefault="008B112C" w:rsidP="00D96821">
      <w:pPr>
        <w:spacing w:line="360" w:lineRule="auto"/>
        <w:ind w:left="567"/>
        <w:rPr>
          <w:rFonts w:asciiTheme="minorHAnsi" w:hAnsiTheme="minorHAnsi"/>
        </w:rPr>
      </w:pPr>
      <w:r w:rsidRPr="00D96821">
        <w:rPr>
          <w:rFonts w:asciiTheme="minorHAnsi" w:hAnsiTheme="minorHAnsi"/>
          <w:i/>
        </w:rPr>
        <w:t xml:space="preserve">“Several times I have been in hospital, and I hate myself for that because to me it feels like I am taking up a bed and I am wasting the doctor’s time because there are people who are really sick out there….[for me] it was my fault, it was self-inflicted.” </w:t>
      </w:r>
      <w:r w:rsidRPr="00D96821">
        <w:rPr>
          <w:rFonts w:asciiTheme="minorHAnsi" w:hAnsiTheme="minorHAnsi"/>
        </w:rPr>
        <w:t>(Barbara)</w:t>
      </w:r>
    </w:p>
    <w:p w14:paraId="7886A8C2" w14:textId="77777777" w:rsidR="008B112C" w:rsidRPr="00D96821" w:rsidRDefault="008B112C" w:rsidP="00D96821">
      <w:pPr>
        <w:spacing w:line="360" w:lineRule="auto"/>
        <w:rPr>
          <w:rFonts w:asciiTheme="minorHAnsi" w:hAnsiTheme="minorHAnsi"/>
          <w:b/>
        </w:rPr>
      </w:pPr>
    </w:p>
    <w:p w14:paraId="6105167B" w14:textId="114A2A9A" w:rsidR="008B112C" w:rsidRPr="00D96821" w:rsidRDefault="00B360D5" w:rsidP="00D96821">
      <w:pPr>
        <w:spacing w:line="360" w:lineRule="auto"/>
        <w:rPr>
          <w:rFonts w:asciiTheme="minorHAnsi" w:hAnsiTheme="minorHAnsi"/>
          <w:b/>
          <w:i/>
        </w:rPr>
      </w:pPr>
      <w:r>
        <w:rPr>
          <w:rFonts w:asciiTheme="minorHAnsi" w:hAnsiTheme="minorHAnsi"/>
          <w:b/>
          <w:i/>
        </w:rPr>
        <w:t xml:space="preserve">3.2 </w:t>
      </w:r>
      <w:r w:rsidR="008B112C" w:rsidRPr="00D96821">
        <w:rPr>
          <w:rFonts w:asciiTheme="minorHAnsi" w:hAnsiTheme="minorHAnsi"/>
          <w:b/>
          <w:i/>
        </w:rPr>
        <w:t>The “revolving door”</w:t>
      </w:r>
    </w:p>
    <w:p w14:paraId="1B3C5E34" w14:textId="77777777" w:rsidR="008B112C" w:rsidRPr="00D96821" w:rsidRDefault="008B112C" w:rsidP="00D96821">
      <w:pPr>
        <w:spacing w:line="360" w:lineRule="auto"/>
        <w:rPr>
          <w:rFonts w:asciiTheme="minorHAnsi" w:hAnsiTheme="minorHAnsi"/>
        </w:rPr>
      </w:pPr>
      <w:r w:rsidRPr="00D96821">
        <w:rPr>
          <w:rFonts w:asciiTheme="minorHAnsi" w:hAnsiTheme="minorHAnsi"/>
        </w:rPr>
        <w:t>Individuals were most likely to describe negative experiences with staff if they had a history of multiple alcohol-related hospital attendances (</w:t>
      </w:r>
      <w:r w:rsidRPr="00D96821">
        <w:rPr>
          <w:rFonts w:asciiTheme="minorHAnsi" w:hAnsiTheme="minorHAnsi"/>
          <w:i/>
        </w:rPr>
        <w:t>“I am what you would call a ‘revolving door’ patient”</w:t>
      </w:r>
      <w:r w:rsidRPr="00D96821">
        <w:rPr>
          <w:rFonts w:asciiTheme="minorHAnsi" w:hAnsiTheme="minorHAnsi"/>
        </w:rPr>
        <w:t>, Daniel):</w:t>
      </w:r>
    </w:p>
    <w:p w14:paraId="75F6AB7B" w14:textId="77777777" w:rsidR="008B112C" w:rsidRPr="00D96821" w:rsidRDefault="008B112C" w:rsidP="00D96821">
      <w:pPr>
        <w:spacing w:line="360" w:lineRule="auto"/>
        <w:rPr>
          <w:rFonts w:asciiTheme="minorHAnsi" w:hAnsiTheme="minorHAnsi"/>
        </w:rPr>
      </w:pPr>
    </w:p>
    <w:p w14:paraId="131D8F8A" w14:textId="77777777" w:rsidR="008B112C" w:rsidRPr="00D96821" w:rsidRDefault="008B112C" w:rsidP="00D96821">
      <w:pPr>
        <w:spacing w:line="360" w:lineRule="auto"/>
        <w:ind w:left="567"/>
        <w:rPr>
          <w:rFonts w:asciiTheme="minorHAnsi" w:hAnsiTheme="minorHAnsi"/>
        </w:rPr>
      </w:pPr>
      <w:r w:rsidRPr="00D96821">
        <w:rPr>
          <w:rFonts w:asciiTheme="minorHAnsi" w:hAnsiTheme="minorHAnsi"/>
          <w:i/>
        </w:rPr>
        <w:t xml:space="preserve">“How many times are you going to go into hospital, how many times are people going to have to help you? Eventually they will go, ‘oh it’s that f*****g drunk again, let’s get rid of him’.” </w:t>
      </w:r>
      <w:r w:rsidRPr="00D96821">
        <w:rPr>
          <w:rFonts w:asciiTheme="minorHAnsi" w:hAnsiTheme="minorHAnsi"/>
        </w:rPr>
        <w:t>(Howard)</w:t>
      </w:r>
    </w:p>
    <w:p w14:paraId="70184C5D" w14:textId="77777777" w:rsidR="008B112C" w:rsidRPr="00D96821" w:rsidRDefault="008B112C" w:rsidP="00D96821">
      <w:pPr>
        <w:spacing w:line="360" w:lineRule="auto"/>
        <w:rPr>
          <w:rFonts w:asciiTheme="minorHAnsi" w:hAnsiTheme="minorHAnsi"/>
        </w:rPr>
      </w:pPr>
    </w:p>
    <w:p w14:paraId="6F368491" w14:textId="77777777" w:rsidR="008B112C" w:rsidRPr="00D96821" w:rsidRDefault="008B112C" w:rsidP="00D96821">
      <w:pPr>
        <w:spacing w:line="360" w:lineRule="auto"/>
        <w:rPr>
          <w:rFonts w:asciiTheme="minorHAnsi" w:hAnsiTheme="minorHAnsi"/>
        </w:rPr>
      </w:pPr>
      <w:r w:rsidRPr="00D96821">
        <w:rPr>
          <w:rFonts w:asciiTheme="minorHAnsi" w:hAnsiTheme="minorHAnsi"/>
        </w:rPr>
        <w:t xml:space="preserve">Participant examples where person-centred holistic support was unavailable, highlight how failure to understand the drivers of alcohol use disorders and repeated hospital attendance can serve to maintain them. Lee, an army Veteran, for example, was only diagnosed with posttraumatic stress disorder (PTSD) and referred to specialist support services after his new manager </w:t>
      </w:r>
      <w:r w:rsidRPr="00D96821">
        <w:rPr>
          <w:rFonts w:asciiTheme="minorHAnsi" w:hAnsiTheme="minorHAnsi"/>
          <w:i/>
        </w:rPr>
        <w:t>“noticed something [was] wrong”</w:t>
      </w:r>
      <w:r w:rsidRPr="00D96821">
        <w:rPr>
          <w:rFonts w:asciiTheme="minorHAnsi" w:hAnsiTheme="minorHAnsi"/>
        </w:rPr>
        <w:t>:</w:t>
      </w:r>
    </w:p>
    <w:p w14:paraId="1988A763" w14:textId="77777777" w:rsidR="008B112C" w:rsidRPr="00D96821" w:rsidRDefault="008B112C" w:rsidP="00D96821">
      <w:pPr>
        <w:spacing w:line="360" w:lineRule="auto"/>
        <w:rPr>
          <w:rFonts w:asciiTheme="minorHAnsi" w:hAnsiTheme="minorHAnsi"/>
        </w:rPr>
      </w:pPr>
    </w:p>
    <w:p w14:paraId="75CADFFC" w14:textId="723F1641" w:rsidR="00E266CF" w:rsidRPr="00D96821" w:rsidRDefault="008B112C" w:rsidP="00B360D5">
      <w:pPr>
        <w:spacing w:line="360" w:lineRule="auto"/>
        <w:ind w:left="360"/>
        <w:rPr>
          <w:rFonts w:asciiTheme="minorHAnsi" w:hAnsiTheme="minorHAnsi"/>
        </w:rPr>
      </w:pPr>
      <w:r w:rsidRPr="00D96821">
        <w:rPr>
          <w:rFonts w:asciiTheme="minorHAnsi" w:hAnsiTheme="minorHAnsi"/>
          <w:i/>
        </w:rPr>
        <w:t>“Nobody in hospital has picked up on the fact, why? They just accept the fact that I am an ‘alcoholic’ and I am going to keep coming back…had they had found out why from admission 1, 2 or 3, I might not be sat here now with 40 plus admissions on my record.”</w:t>
      </w:r>
    </w:p>
    <w:sectPr w:rsidR="00E266CF" w:rsidRPr="00D968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CBA42" w14:textId="77777777" w:rsidR="008A159D" w:rsidRDefault="008A159D" w:rsidP="00D96821">
      <w:r>
        <w:separator/>
      </w:r>
    </w:p>
  </w:endnote>
  <w:endnote w:type="continuationSeparator" w:id="0">
    <w:p w14:paraId="1B5BB255" w14:textId="77777777" w:rsidR="008A159D" w:rsidRDefault="008A159D" w:rsidP="00D96821">
      <w:r>
        <w:continuationSeparator/>
      </w:r>
    </w:p>
  </w:endnote>
  <w:endnote w:type="continuationNotice" w:id="1">
    <w:p w14:paraId="37ED6960" w14:textId="77777777" w:rsidR="008A159D" w:rsidRDefault="008A1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8CFD" w14:textId="77777777" w:rsidR="00976DB0" w:rsidRDefault="00976DB0" w:rsidP="000D3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7512E" w14:textId="77777777" w:rsidR="008A159D" w:rsidRDefault="008A159D" w:rsidP="00D96821">
      <w:r>
        <w:separator/>
      </w:r>
    </w:p>
  </w:footnote>
  <w:footnote w:type="continuationSeparator" w:id="0">
    <w:p w14:paraId="6FCC5D12" w14:textId="77777777" w:rsidR="008A159D" w:rsidRDefault="008A159D" w:rsidP="00D96821">
      <w:r>
        <w:continuationSeparator/>
      </w:r>
    </w:p>
  </w:footnote>
  <w:footnote w:type="continuationNotice" w:id="1">
    <w:p w14:paraId="4DA3AE26" w14:textId="77777777" w:rsidR="008A159D" w:rsidRDefault="008A159D"/>
  </w:footnote>
  <w:footnote w:id="2">
    <w:p w14:paraId="2F91499C" w14:textId="77777777" w:rsidR="00727C24" w:rsidRPr="00D96821" w:rsidRDefault="00727C24" w:rsidP="00727C24">
      <w:pPr>
        <w:rPr>
          <w:rFonts w:asciiTheme="minorHAnsi" w:hAnsiTheme="minorHAnsi"/>
        </w:rPr>
      </w:pPr>
      <w:r w:rsidRPr="00D96821">
        <w:rPr>
          <w:rStyle w:val="FootnoteReference"/>
          <w:rFonts w:asciiTheme="minorHAnsi" w:hAnsiTheme="minorHAnsi"/>
        </w:rPr>
        <w:footnoteRef/>
      </w:r>
      <w:r w:rsidRPr="00D96821">
        <w:rPr>
          <w:rFonts w:asciiTheme="minorHAnsi" w:hAnsiTheme="minorHAnsi"/>
        </w:rPr>
        <w:t xml:space="preserve"> The same cut-off score was used for males and females as there was no difference between their LDQ scores</w:t>
      </w:r>
      <w:r>
        <w:rPr>
          <w:rFonts w:asciiTheme="minorHAnsi" w:hAnsiTheme="minorHAnsi"/>
        </w:rPr>
        <w:t xml:space="preserve"> at baseline</w:t>
      </w:r>
      <w:r w:rsidRPr="00D96821">
        <w:rPr>
          <w:rFonts w:asciiTheme="minorHAnsi" w:hAnsiTheme="minorHAnsi"/>
        </w:rPr>
        <w:t xml:space="preserve"> (</w:t>
      </w:r>
      <w:r w:rsidRPr="00D96821">
        <w:rPr>
          <w:rFonts w:asciiTheme="minorHAnsi" w:hAnsiTheme="minorHAnsi"/>
          <w:i/>
        </w:rPr>
        <w:t>M =</w:t>
      </w:r>
      <w:r w:rsidRPr="00D96821">
        <w:rPr>
          <w:rFonts w:asciiTheme="minorHAnsi" w:hAnsiTheme="minorHAnsi"/>
        </w:rPr>
        <w:t xml:space="preserve"> 18.46 and 18.34 respectively); </w:t>
      </w:r>
      <w:proofErr w:type="gramStart"/>
      <w:r w:rsidRPr="00D96821">
        <w:rPr>
          <w:rStyle w:val="Emphasis"/>
          <w:rFonts w:asciiTheme="minorHAnsi" w:eastAsiaTheme="majorEastAsia" w:hAnsiTheme="minorHAnsi"/>
        </w:rPr>
        <w:t>t</w:t>
      </w:r>
      <w:r w:rsidRPr="00D96821">
        <w:rPr>
          <w:rFonts w:asciiTheme="minorHAnsi" w:hAnsiTheme="minorHAnsi"/>
        </w:rPr>
        <w:t>(</w:t>
      </w:r>
      <w:proofErr w:type="gramEnd"/>
      <w:r w:rsidRPr="00D96821">
        <w:rPr>
          <w:rFonts w:asciiTheme="minorHAnsi" w:hAnsiTheme="minorHAnsi"/>
        </w:rPr>
        <w:t>139) = -.062, </w:t>
      </w:r>
      <w:r w:rsidRPr="00D96821">
        <w:rPr>
          <w:rStyle w:val="Emphasis"/>
          <w:rFonts w:asciiTheme="minorHAnsi" w:eastAsiaTheme="majorEastAsia" w:hAnsiTheme="minorHAnsi"/>
        </w:rPr>
        <w:t>p</w:t>
      </w:r>
      <w:r w:rsidRPr="00D96821">
        <w:rPr>
          <w:rFonts w:asciiTheme="minorHAnsi" w:hAnsiTheme="minorHAnsi"/>
        </w:rPr>
        <w:t> = .951.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A3E5" w14:textId="77777777" w:rsidR="00976DB0" w:rsidRDefault="00976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77EF7"/>
    <w:multiLevelType w:val="hybridMultilevel"/>
    <w:tmpl w:val="11DCA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2C"/>
    <w:rsid w:val="00003B88"/>
    <w:rsid w:val="00045201"/>
    <w:rsid w:val="0004665A"/>
    <w:rsid w:val="000D30AD"/>
    <w:rsid w:val="00112E31"/>
    <w:rsid w:val="00121ED1"/>
    <w:rsid w:val="00204199"/>
    <w:rsid w:val="002439E3"/>
    <w:rsid w:val="00293D45"/>
    <w:rsid w:val="002A3474"/>
    <w:rsid w:val="002B307F"/>
    <w:rsid w:val="002D3BE7"/>
    <w:rsid w:val="00414B71"/>
    <w:rsid w:val="00483440"/>
    <w:rsid w:val="00500736"/>
    <w:rsid w:val="00580972"/>
    <w:rsid w:val="006971C8"/>
    <w:rsid w:val="007030BB"/>
    <w:rsid w:val="00727C24"/>
    <w:rsid w:val="007A3917"/>
    <w:rsid w:val="008A159D"/>
    <w:rsid w:val="008B112C"/>
    <w:rsid w:val="008E23F5"/>
    <w:rsid w:val="008E7F46"/>
    <w:rsid w:val="00905409"/>
    <w:rsid w:val="00944CF3"/>
    <w:rsid w:val="00976DB0"/>
    <w:rsid w:val="00A17941"/>
    <w:rsid w:val="00A26E41"/>
    <w:rsid w:val="00A71F35"/>
    <w:rsid w:val="00A73704"/>
    <w:rsid w:val="00AB6327"/>
    <w:rsid w:val="00B33ED5"/>
    <w:rsid w:val="00B360D5"/>
    <w:rsid w:val="00B5332F"/>
    <w:rsid w:val="00B9429A"/>
    <w:rsid w:val="00BF5113"/>
    <w:rsid w:val="00C31731"/>
    <w:rsid w:val="00C73F50"/>
    <w:rsid w:val="00CE3F2B"/>
    <w:rsid w:val="00D002AF"/>
    <w:rsid w:val="00D21B6A"/>
    <w:rsid w:val="00D55BB5"/>
    <w:rsid w:val="00D96821"/>
    <w:rsid w:val="00DE0B53"/>
    <w:rsid w:val="00DE402D"/>
    <w:rsid w:val="00E47E4E"/>
    <w:rsid w:val="00E6640E"/>
    <w:rsid w:val="00ED13E6"/>
    <w:rsid w:val="00EE4DB4"/>
    <w:rsid w:val="00EF1372"/>
    <w:rsid w:val="00F75F2C"/>
    <w:rsid w:val="00F97754"/>
    <w:rsid w:val="00FA621A"/>
    <w:rsid w:val="00FD03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E1AC"/>
  <w15:chartTrackingRefBased/>
  <w15:docId w15:val="{B764CDD2-2C13-4608-9E5C-058FB00A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96821"/>
    <w:rPr>
      <w:i/>
      <w:iCs/>
    </w:rPr>
  </w:style>
  <w:style w:type="character" w:styleId="FootnoteReference">
    <w:name w:val="footnote reference"/>
    <w:basedOn w:val="DefaultParagraphFont"/>
    <w:uiPriority w:val="99"/>
    <w:semiHidden/>
    <w:unhideWhenUsed/>
    <w:rsid w:val="00D96821"/>
    <w:rPr>
      <w:vertAlign w:val="superscript"/>
    </w:rPr>
  </w:style>
  <w:style w:type="paragraph" w:styleId="ListParagraph">
    <w:name w:val="List Paragraph"/>
    <w:basedOn w:val="Normal"/>
    <w:uiPriority w:val="34"/>
    <w:qFormat/>
    <w:rsid w:val="00B360D5"/>
    <w:pPr>
      <w:ind w:left="720"/>
      <w:contextualSpacing/>
    </w:pPr>
  </w:style>
  <w:style w:type="character" w:styleId="Hyperlink">
    <w:name w:val="Hyperlink"/>
    <w:basedOn w:val="DefaultParagraphFont"/>
    <w:uiPriority w:val="99"/>
    <w:semiHidden/>
    <w:unhideWhenUsed/>
    <w:rsid w:val="00C73F50"/>
    <w:rPr>
      <w:color w:val="0000FF"/>
      <w:u w:val="single"/>
    </w:rPr>
  </w:style>
  <w:style w:type="character" w:styleId="CommentReference">
    <w:name w:val="annotation reference"/>
    <w:basedOn w:val="DefaultParagraphFont"/>
    <w:uiPriority w:val="99"/>
    <w:semiHidden/>
    <w:unhideWhenUsed/>
    <w:rsid w:val="00E6640E"/>
    <w:rPr>
      <w:sz w:val="16"/>
      <w:szCs w:val="16"/>
    </w:rPr>
  </w:style>
  <w:style w:type="paragraph" w:styleId="CommentText">
    <w:name w:val="annotation text"/>
    <w:basedOn w:val="Normal"/>
    <w:link w:val="CommentTextChar"/>
    <w:uiPriority w:val="99"/>
    <w:semiHidden/>
    <w:unhideWhenUsed/>
    <w:rsid w:val="00E6640E"/>
    <w:rPr>
      <w:sz w:val="20"/>
      <w:szCs w:val="20"/>
    </w:rPr>
  </w:style>
  <w:style w:type="character" w:customStyle="1" w:styleId="CommentTextChar">
    <w:name w:val="Comment Text Char"/>
    <w:basedOn w:val="DefaultParagraphFont"/>
    <w:link w:val="CommentText"/>
    <w:uiPriority w:val="99"/>
    <w:semiHidden/>
    <w:rsid w:val="00E6640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640E"/>
    <w:rPr>
      <w:b/>
      <w:bCs/>
    </w:rPr>
  </w:style>
  <w:style w:type="character" w:customStyle="1" w:styleId="CommentSubjectChar">
    <w:name w:val="Comment Subject Char"/>
    <w:basedOn w:val="CommentTextChar"/>
    <w:link w:val="CommentSubject"/>
    <w:uiPriority w:val="99"/>
    <w:semiHidden/>
    <w:rsid w:val="00E6640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6640E"/>
    <w:rPr>
      <w:sz w:val="18"/>
      <w:szCs w:val="18"/>
    </w:rPr>
  </w:style>
  <w:style w:type="character" w:customStyle="1" w:styleId="BalloonTextChar">
    <w:name w:val="Balloon Text Char"/>
    <w:basedOn w:val="DefaultParagraphFont"/>
    <w:link w:val="BalloonText"/>
    <w:uiPriority w:val="99"/>
    <w:semiHidden/>
    <w:rsid w:val="00E6640E"/>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976DB0"/>
    <w:pPr>
      <w:tabs>
        <w:tab w:val="center" w:pos="4680"/>
        <w:tab w:val="right" w:pos="9360"/>
      </w:tabs>
    </w:pPr>
  </w:style>
  <w:style w:type="character" w:customStyle="1" w:styleId="HeaderChar">
    <w:name w:val="Header Char"/>
    <w:basedOn w:val="DefaultParagraphFont"/>
    <w:link w:val="Header"/>
    <w:uiPriority w:val="99"/>
    <w:rsid w:val="00976DB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76DB0"/>
    <w:pPr>
      <w:tabs>
        <w:tab w:val="center" w:pos="4680"/>
        <w:tab w:val="right" w:pos="9360"/>
      </w:tabs>
    </w:pPr>
  </w:style>
  <w:style w:type="character" w:customStyle="1" w:styleId="FooterChar">
    <w:name w:val="Footer Char"/>
    <w:basedOn w:val="DefaultParagraphFont"/>
    <w:link w:val="Footer"/>
    <w:uiPriority w:val="99"/>
    <w:rsid w:val="00976DB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lt4addiction.net/l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Chambers</dc:creator>
  <cp:keywords/>
  <dc:description/>
  <cp:lastModifiedBy>Julia Sinclair</cp:lastModifiedBy>
  <cp:revision>2</cp:revision>
  <dcterms:created xsi:type="dcterms:W3CDTF">2020-10-16T14:50:00Z</dcterms:created>
  <dcterms:modified xsi:type="dcterms:W3CDTF">2020-10-16T14:50:00Z</dcterms:modified>
</cp:coreProperties>
</file>