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AFADB" w14:textId="022630B8" w:rsidR="00AD5CAE" w:rsidRPr="005759D6" w:rsidRDefault="00AD5CAE" w:rsidP="00AD5CAE">
      <w:pPr>
        <w:spacing w:line="276" w:lineRule="auto"/>
        <w:rPr>
          <w:rFonts w:eastAsia="Times New Roman" w:cstheme="minorHAnsi"/>
          <w:b/>
          <w:color w:val="00000A"/>
          <w:sz w:val="24"/>
          <w:szCs w:val="24"/>
          <w:u w:color="000000"/>
          <w:lang w:val="en-US"/>
        </w:rPr>
      </w:pPr>
      <w:r w:rsidRPr="005759D6">
        <w:rPr>
          <w:rFonts w:eastAsia="Times New Roman" w:cstheme="minorHAnsi"/>
          <w:b/>
          <w:iCs/>
          <w:color w:val="00000A"/>
          <w:sz w:val="24"/>
          <w:szCs w:val="24"/>
        </w:rPr>
        <w:t>Multivariate logistic regression model for complete recovery from NMDARE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417"/>
      </w:tblGrid>
      <w:tr w:rsidR="00AD5CAE" w:rsidRPr="005759D6" w14:paraId="0A3CF7FF" w14:textId="77777777" w:rsidTr="00897AF5">
        <w:tc>
          <w:tcPr>
            <w:tcW w:w="2547" w:type="dxa"/>
          </w:tcPr>
          <w:p w14:paraId="7A6680EA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/>
                <w:color w:val="00000A"/>
              </w:rPr>
              <w:t>Explanatory variable</w:t>
            </w:r>
          </w:p>
        </w:tc>
        <w:tc>
          <w:tcPr>
            <w:tcW w:w="2268" w:type="dxa"/>
          </w:tcPr>
          <w:p w14:paraId="496C9DA6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/>
                <w:color w:val="00000A"/>
              </w:rPr>
              <w:t>Odds ratio (95% CI)</w:t>
            </w:r>
          </w:p>
        </w:tc>
        <w:tc>
          <w:tcPr>
            <w:tcW w:w="1417" w:type="dxa"/>
          </w:tcPr>
          <w:p w14:paraId="66E8C0E5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i/>
                <w:i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/>
                <w:i/>
                <w:iCs/>
                <w:color w:val="00000A"/>
              </w:rPr>
              <w:t>p</w:t>
            </w:r>
          </w:p>
        </w:tc>
      </w:tr>
      <w:tr w:rsidR="00AD5CAE" w:rsidRPr="005759D6" w14:paraId="1E51F311" w14:textId="77777777" w:rsidTr="00897AF5">
        <w:tc>
          <w:tcPr>
            <w:tcW w:w="2547" w:type="dxa"/>
          </w:tcPr>
          <w:p w14:paraId="6002AD34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Age</w:t>
            </w:r>
          </w:p>
        </w:tc>
        <w:tc>
          <w:tcPr>
            <w:tcW w:w="2268" w:type="dxa"/>
          </w:tcPr>
          <w:p w14:paraId="61BB8D3D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0.86 (0.69-1.09)</w:t>
            </w:r>
          </w:p>
        </w:tc>
        <w:tc>
          <w:tcPr>
            <w:tcW w:w="1417" w:type="dxa"/>
          </w:tcPr>
          <w:p w14:paraId="732645D5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0.157</w:t>
            </w:r>
          </w:p>
        </w:tc>
      </w:tr>
      <w:tr w:rsidR="00AD5CAE" w:rsidRPr="005759D6" w14:paraId="69389F7A" w14:textId="77777777" w:rsidTr="00897AF5">
        <w:tc>
          <w:tcPr>
            <w:tcW w:w="2547" w:type="dxa"/>
          </w:tcPr>
          <w:p w14:paraId="48E6A23A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Female sex</w:t>
            </w:r>
          </w:p>
        </w:tc>
        <w:tc>
          <w:tcPr>
            <w:tcW w:w="2268" w:type="dxa"/>
          </w:tcPr>
          <w:p w14:paraId="52EA56BF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4.01 (0.96-16.75)</w:t>
            </w:r>
          </w:p>
        </w:tc>
        <w:tc>
          <w:tcPr>
            <w:tcW w:w="1417" w:type="dxa"/>
          </w:tcPr>
          <w:p w14:paraId="030EC8C3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0.057</w:t>
            </w:r>
          </w:p>
        </w:tc>
      </w:tr>
      <w:tr w:rsidR="00AD5CAE" w:rsidRPr="005759D6" w14:paraId="2FE0523E" w14:textId="77777777" w:rsidTr="00897AF5">
        <w:tc>
          <w:tcPr>
            <w:tcW w:w="2547" w:type="dxa"/>
          </w:tcPr>
          <w:p w14:paraId="3C4B05D5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BFCRS total score</w:t>
            </w:r>
          </w:p>
        </w:tc>
        <w:tc>
          <w:tcPr>
            <w:tcW w:w="2268" w:type="dxa"/>
          </w:tcPr>
          <w:p w14:paraId="252B862F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2.08 (1.20-3.60)</w:t>
            </w:r>
          </w:p>
        </w:tc>
        <w:tc>
          <w:tcPr>
            <w:tcW w:w="1417" w:type="dxa"/>
          </w:tcPr>
          <w:p w14:paraId="11C78FB2" w14:textId="77777777" w:rsidR="00AD5CAE" w:rsidRPr="004442B3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4442B3">
              <w:rPr>
                <w:rFonts w:asciiTheme="minorHAnsi" w:eastAsia="Times New Roman" w:hAnsiTheme="minorHAnsi" w:cstheme="minorHAnsi"/>
                <w:bCs/>
                <w:color w:val="00000A"/>
              </w:rPr>
              <w:t>0.009</w:t>
            </w:r>
          </w:p>
        </w:tc>
      </w:tr>
      <w:tr w:rsidR="00AD5CAE" w:rsidRPr="005759D6" w14:paraId="7EE192A8" w14:textId="77777777" w:rsidTr="00897AF5">
        <w:tc>
          <w:tcPr>
            <w:tcW w:w="2547" w:type="dxa"/>
          </w:tcPr>
          <w:p w14:paraId="4BBFDF4D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Tumour</w:t>
            </w:r>
          </w:p>
        </w:tc>
        <w:tc>
          <w:tcPr>
            <w:tcW w:w="2268" w:type="dxa"/>
          </w:tcPr>
          <w:p w14:paraId="1AE67174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1.92 (0.15-24.01)</w:t>
            </w:r>
          </w:p>
        </w:tc>
        <w:tc>
          <w:tcPr>
            <w:tcW w:w="1417" w:type="dxa"/>
          </w:tcPr>
          <w:p w14:paraId="159B38DF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0.613</w:t>
            </w:r>
          </w:p>
        </w:tc>
      </w:tr>
      <w:tr w:rsidR="00AD5CAE" w:rsidRPr="005759D6" w14:paraId="4BFB7C46" w14:textId="77777777" w:rsidTr="00897AF5">
        <w:tc>
          <w:tcPr>
            <w:tcW w:w="2547" w:type="dxa"/>
          </w:tcPr>
          <w:p w14:paraId="2EC43A75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Infectious prodrome</w:t>
            </w:r>
          </w:p>
        </w:tc>
        <w:tc>
          <w:tcPr>
            <w:tcW w:w="2268" w:type="dxa"/>
          </w:tcPr>
          <w:p w14:paraId="3903650F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0.68 (0.16-3.01)</w:t>
            </w:r>
          </w:p>
        </w:tc>
        <w:tc>
          <w:tcPr>
            <w:tcW w:w="1417" w:type="dxa"/>
          </w:tcPr>
          <w:p w14:paraId="5248C006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0.615</w:t>
            </w:r>
          </w:p>
        </w:tc>
      </w:tr>
      <w:tr w:rsidR="00AD5CAE" w:rsidRPr="005759D6" w14:paraId="08DFC555" w14:textId="77777777" w:rsidTr="00897AF5">
        <w:tc>
          <w:tcPr>
            <w:tcW w:w="2547" w:type="dxa"/>
          </w:tcPr>
          <w:p w14:paraId="09DB57F5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Psychotic features</w:t>
            </w:r>
          </w:p>
        </w:tc>
        <w:tc>
          <w:tcPr>
            <w:tcW w:w="2268" w:type="dxa"/>
          </w:tcPr>
          <w:p w14:paraId="3ECA1344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1.36 (0.19-9.52)</w:t>
            </w:r>
          </w:p>
        </w:tc>
        <w:tc>
          <w:tcPr>
            <w:tcW w:w="1417" w:type="dxa"/>
          </w:tcPr>
          <w:p w14:paraId="6951F98F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0.756</w:t>
            </w:r>
          </w:p>
        </w:tc>
      </w:tr>
      <w:tr w:rsidR="00AD5CAE" w:rsidRPr="005759D6" w14:paraId="45D29DAD" w14:textId="77777777" w:rsidTr="00897AF5">
        <w:tc>
          <w:tcPr>
            <w:tcW w:w="2547" w:type="dxa"/>
          </w:tcPr>
          <w:p w14:paraId="0BA21451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Movement disorder</w:t>
            </w:r>
          </w:p>
        </w:tc>
        <w:tc>
          <w:tcPr>
            <w:tcW w:w="2268" w:type="dxa"/>
          </w:tcPr>
          <w:p w14:paraId="63F21102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0.27 (0.05-1.51)</w:t>
            </w:r>
          </w:p>
        </w:tc>
        <w:tc>
          <w:tcPr>
            <w:tcW w:w="1417" w:type="dxa"/>
          </w:tcPr>
          <w:p w14:paraId="588372A9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0.137</w:t>
            </w:r>
          </w:p>
        </w:tc>
      </w:tr>
      <w:tr w:rsidR="00AD5CAE" w:rsidRPr="005759D6" w14:paraId="3BA3446B" w14:textId="77777777" w:rsidTr="00897AF5">
        <w:tc>
          <w:tcPr>
            <w:tcW w:w="2547" w:type="dxa"/>
          </w:tcPr>
          <w:p w14:paraId="3BF7DF59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Seizures</w:t>
            </w:r>
          </w:p>
        </w:tc>
        <w:tc>
          <w:tcPr>
            <w:tcW w:w="2268" w:type="dxa"/>
          </w:tcPr>
          <w:p w14:paraId="2F402995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1.15 (0.28-4.77)</w:t>
            </w:r>
          </w:p>
        </w:tc>
        <w:tc>
          <w:tcPr>
            <w:tcW w:w="1417" w:type="dxa"/>
          </w:tcPr>
          <w:p w14:paraId="4B880136" w14:textId="77777777" w:rsidR="00AD5CAE" w:rsidRPr="005759D6" w:rsidRDefault="00AD5CAE" w:rsidP="00897AF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  <w:r w:rsidRPr="005759D6">
              <w:rPr>
                <w:rFonts w:asciiTheme="minorHAnsi" w:eastAsia="Times New Roman" w:hAnsiTheme="minorHAnsi" w:cstheme="minorHAnsi"/>
                <w:bCs/>
                <w:color w:val="00000A"/>
              </w:rPr>
              <w:t>0.850</w:t>
            </w:r>
          </w:p>
        </w:tc>
      </w:tr>
    </w:tbl>
    <w:p w14:paraId="01848182" w14:textId="77777777" w:rsidR="00AD5CAE" w:rsidRPr="005759D6" w:rsidRDefault="00AD5CAE" w:rsidP="00AD5CAE">
      <w:pPr>
        <w:pStyle w:val="BodyA"/>
        <w:widowControl w:val="0"/>
        <w:spacing w:line="276" w:lineRule="auto"/>
        <w:ind w:right="237"/>
        <w:rPr>
          <w:rFonts w:asciiTheme="minorHAnsi" w:eastAsia="Times New Roman" w:hAnsiTheme="minorHAnsi" w:cstheme="minorHAnsi"/>
          <w:iCs/>
          <w:color w:val="00000A"/>
        </w:rPr>
      </w:pPr>
    </w:p>
    <w:p w14:paraId="4DB46E6D" w14:textId="32B9598B" w:rsidR="005E3E7D" w:rsidRPr="00AD5CAE" w:rsidRDefault="00AD5CAE" w:rsidP="00AD5CAE">
      <w:pPr>
        <w:pStyle w:val="BodyA"/>
        <w:widowControl w:val="0"/>
        <w:spacing w:line="276" w:lineRule="auto"/>
        <w:ind w:right="237"/>
        <w:rPr>
          <w:rFonts w:asciiTheme="minorHAnsi" w:eastAsia="Times New Roman" w:hAnsiTheme="minorHAnsi" w:cstheme="minorHAnsi"/>
          <w:i/>
          <w:color w:val="00000A"/>
        </w:rPr>
      </w:pPr>
      <w:r w:rsidRPr="005759D6">
        <w:rPr>
          <w:rFonts w:asciiTheme="minorHAnsi" w:eastAsia="Times New Roman" w:hAnsiTheme="minorHAnsi" w:cstheme="minorHAnsi"/>
          <w:iCs/>
          <w:color w:val="00000A"/>
        </w:rPr>
        <w:t xml:space="preserve">BFCRS, Bush-Francis Catatonia Rating Scale. </w:t>
      </w:r>
      <w:r w:rsidR="002022E5">
        <w:rPr>
          <w:rFonts w:asciiTheme="minorHAnsi" w:eastAsia="Times New Roman" w:hAnsiTheme="minorHAnsi" w:cstheme="minorHAnsi"/>
          <w:iCs/>
          <w:color w:val="00000A"/>
        </w:rPr>
        <w:t>The variables ‘</w:t>
      </w:r>
      <w:r w:rsidRPr="005759D6">
        <w:rPr>
          <w:rFonts w:asciiTheme="minorHAnsi" w:eastAsia="Times New Roman" w:hAnsiTheme="minorHAnsi" w:cstheme="minorHAnsi"/>
          <w:iCs/>
          <w:color w:val="00000A"/>
        </w:rPr>
        <w:t>MRI brain</w:t>
      </w:r>
      <w:r w:rsidR="002022E5">
        <w:rPr>
          <w:rFonts w:asciiTheme="minorHAnsi" w:eastAsia="Times New Roman" w:hAnsiTheme="minorHAnsi" w:cstheme="minorHAnsi"/>
          <w:iCs/>
          <w:color w:val="00000A"/>
        </w:rPr>
        <w:t>’ and ‘CSF pleocytosis’</w:t>
      </w:r>
      <w:r w:rsidRPr="005759D6">
        <w:rPr>
          <w:rFonts w:asciiTheme="minorHAnsi" w:eastAsia="Times New Roman" w:hAnsiTheme="minorHAnsi" w:cstheme="minorHAnsi"/>
          <w:iCs/>
          <w:color w:val="00000A"/>
        </w:rPr>
        <w:t xml:space="preserve"> w</w:t>
      </w:r>
      <w:r w:rsidR="002022E5">
        <w:rPr>
          <w:rFonts w:asciiTheme="minorHAnsi" w:eastAsia="Times New Roman" w:hAnsiTheme="minorHAnsi" w:cstheme="minorHAnsi"/>
          <w:iCs/>
          <w:color w:val="00000A"/>
        </w:rPr>
        <w:t>ere</w:t>
      </w:r>
      <w:r w:rsidRPr="005759D6">
        <w:rPr>
          <w:rFonts w:asciiTheme="minorHAnsi" w:eastAsia="Times New Roman" w:hAnsiTheme="minorHAnsi" w:cstheme="minorHAnsi"/>
          <w:iCs/>
          <w:color w:val="00000A"/>
        </w:rPr>
        <w:t xml:space="preserve"> excluded from the model due to missing data in 24/57</w:t>
      </w:r>
      <w:r w:rsidR="002022E5">
        <w:rPr>
          <w:rFonts w:asciiTheme="minorHAnsi" w:eastAsia="Times New Roman" w:hAnsiTheme="minorHAnsi" w:cstheme="minorHAnsi"/>
          <w:iCs/>
          <w:color w:val="00000A"/>
        </w:rPr>
        <w:t xml:space="preserve"> and 23/57</w:t>
      </w:r>
      <w:r w:rsidRPr="005759D6">
        <w:rPr>
          <w:rFonts w:asciiTheme="minorHAnsi" w:eastAsia="Times New Roman" w:hAnsiTheme="minorHAnsi" w:cstheme="minorHAnsi"/>
          <w:iCs/>
          <w:color w:val="00000A"/>
        </w:rPr>
        <w:t xml:space="preserve"> cases</w:t>
      </w:r>
      <w:r w:rsidR="002022E5">
        <w:rPr>
          <w:rFonts w:asciiTheme="minorHAnsi" w:eastAsia="Times New Roman" w:hAnsiTheme="minorHAnsi" w:cstheme="minorHAnsi"/>
          <w:iCs/>
          <w:color w:val="00000A"/>
        </w:rPr>
        <w:t xml:space="preserve"> respectively</w:t>
      </w:r>
      <w:r w:rsidRPr="005759D6">
        <w:rPr>
          <w:rFonts w:asciiTheme="minorHAnsi" w:eastAsia="Times New Roman" w:hAnsiTheme="minorHAnsi" w:cstheme="minorHAnsi"/>
          <w:iCs/>
          <w:color w:val="00000A"/>
        </w:rPr>
        <w:t xml:space="preserve">. Analysis </w:t>
      </w:r>
      <w:r w:rsidRPr="005759D6">
        <w:rPr>
          <w:rFonts w:asciiTheme="minorHAnsi" w:eastAsia="Times New Roman" w:hAnsiTheme="minorHAnsi" w:cstheme="minorHAnsi"/>
          <w:iCs/>
        </w:rPr>
        <w:t xml:space="preserve">carried out in Python 3.6 with </w:t>
      </w:r>
      <w:r w:rsidRPr="00AD5CAE">
        <w:rPr>
          <w:rFonts w:asciiTheme="minorHAnsi" w:eastAsia="Times New Roman" w:hAnsiTheme="minorHAnsi" w:cstheme="minorHAnsi"/>
          <w:i/>
        </w:rPr>
        <w:t>statsmodels.api</w:t>
      </w:r>
      <w:r w:rsidR="002022E5">
        <w:rPr>
          <w:rFonts w:asciiTheme="minorHAnsi" w:eastAsia="Times New Roman" w:hAnsiTheme="minorHAnsi" w:cstheme="minorHAnsi"/>
          <w:i/>
        </w:rPr>
        <w:t>.</w:t>
      </w:r>
      <w:bookmarkStart w:id="0" w:name="_GoBack"/>
      <w:bookmarkEnd w:id="0"/>
    </w:p>
    <w:sectPr w:rsidR="005E3E7D" w:rsidRPr="00AD5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AE"/>
    <w:rsid w:val="002022E5"/>
    <w:rsid w:val="00205AA1"/>
    <w:rsid w:val="005E3E7D"/>
    <w:rsid w:val="00A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1AE2"/>
  <w15:chartTrackingRefBased/>
  <w15:docId w15:val="{9374A772-6690-4067-A2CB-D8FC6245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5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AChar">
    <w:name w:val="Body A Char"/>
    <w:basedOn w:val="DefaultParagraphFont"/>
    <w:link w:val="BodyA"/>
    <w:uiPriority w:val="99"/>
    <w:rsid w:val="00AD5CAE"/>
    <w:rPr>
      <w:rFonts w:ascii="Cambria" w:hAnsi="Cambria" w:cs="Cambria"/>
      <w:color w:val="000000"/>
      <w:sz w:val="24"/>
      <w:szCs w:val="24"/>
      <w:u w:color="000000"/>
      <w:lang w:val="en-US"/>
    </w:rPr>
  </w:style>
  <w:style w:type="paragraph" w:customStyle="1" w:styleId="BodyA">
    <w:name w:val="Body A"/>
    <w:link w:val="BodyAChar"/>
    <w:uiPriority w:val="99"/>
    <w:rsid w:val="00AD5CAE"/>
    <w:pPr>
      <w:pBdr>
        <w:top w:val="nil"/>
        <w:left w:val="nil"/>
        <w:bottom w:val="nil"/>
        <w:right w:val="nil"/>
      </w:pBdr>
      <w:suppressAutoHyphens/>
      <w:spacing w:after="0" w:line="240" w:lineRule="auto"/>
    </w:pPr>
    <w:rPr>
      <w:rFonts w:ascii="Cambria" w:hAnsi="Cambria" w:cs="Cambria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rsid w:val="00AD5CAE"/>
    <w:pPr>
      <w:spacing w:after="0" w:line="240" w:lineRule="auto"/>
    </w:pPr>
    <w:rPr>
      <w:rFonts w:ascii="Times New Roman" w:eastAsia="Arial Unicode MS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Eyre</dc:creator>
  <cp:keywords/>
  <dc:description/>
  <cp:lastModifiedBy>Michael Eyre</cp:lastModifiedBy>
  <cp:revision>3</cp:revision>
  <dcterms:created xsi:type="dcterms:W3CDTF">2020-05-23T20:34:00Z</dcterms:created>
  <dcterms:modified xsi:type="dcterms:W3CDTF">2020-05-23T20:35:00Z</dcterms:modified>
</cp:coreProperties>
</file>