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EEBE" w14:textId="4DAA1CC6" w:rsidR="007E6314" w:rsidRDefault="007E6314">
      <w:pPr>
        <w:rPr>
          <w:b/>
        </w:rPr>
      </w:pPr>
      <w:r w:rsidRPr="007E6314">
        <w:rPr>
          <w:b/>
        </w:rPr>
        <w:t>Supplementary materials</w:t>
      </w:r>
    </w:p>
    <w:p w14:paraId="35A8D0AF" w14:textId="0E478A48" w:rsidR="00CC1823" w:rsidRDefault="009C6AB2" w:rsidP="00437F5C">
      <w:pPr>
        <w:rPr>
          <w:b/>
        </w:rPr>
      </w:pPr>
      <w:r>
        <w:rPr>
          <w:b/>
        </w:rPr>
        <w:t xml:space="preserve">Table S1. Cost breakdown of </w:t>
      </w:r>
      <w:r w:rsidR="006639DA">
        <w:rPr>
          <w:b/>
        </w:rPr>
        <w:t>psychosocial assessments carried out by a Liaison Nurse, Doctor, Joint or other/unknown professional</w:t>
      </w:r>
    </w:p>
    <w:p w14:paraId="04ADBD21" w14:textId="52803000" w:rsidR="00437F5C" w:rsidRDefault="00437F5C" w:rsidP="00437F5C"/>
    <w:tbl>
      <w:tblPr>
        <w:tblW w:w="13467" w:type="dxa"/>
        <w:tblLook w:val="04A0" w:firstRow="1" w:lastRow="0" w:firstColumn="1" w:lastColumn="0" w:noHBand="0" w:noVBand="1"/>
      </w:tblPr>
      <w:tblGrid>
        <w:gridCol w:w="287"/>
        <w:gridCol w:w="2170"/>
        <w:gridCol w:w="1054"/>
        <w:gridCol w:w="1052"/>
        <w:gridCol w:w="1052"/>
        <w:gridCol w:w="1052"/>
        <w:gridCol w:w="1052"/>
        <w:gridCol w:w="1174"/>
        <w:gridCol w:w="1162"/>
        <w:gridCol w:w="1141"/>
        <w:gridCol w:w="1054"/>
        <w:gridCol w:w="1703"/>
      </w:tblGrid>
      <w:tr w:rsidR="00437F5C" w:rsidRPr="00437F5C" w14:paraId="71A7C1E2" w14:textId="77777777" w:rsidTr="00437F5C">
        <w:trPr>
          <w:trHeight w:val="180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18605F" w14:textId="14D32E8E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35EE55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051A34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Liaison nurse (band 7)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CB2950" w14:textId="77777777" w:rsidR="00437F5C" w:rsidRPr="00437F5C" w:rsidRDefault="00437F5C" w:rsidP="0043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FY1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FCB59C" w14:textId="77777777" w:rsidR="00437F5C" w:rsidRPr="00437F5C" w:rsidRDefault="00437F5C" w:rsidP="0043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FY2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CFE974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Junior (average FY1 &amp; FY2 costs)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3BE16E" w14:textId="77777777" w:rsidR="00437F5C" w:rsidRPr="00437F5C" w:rsidRDefault="00437F5C" w:rsidP="0043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Registrar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440E14" w14:textId="77777777" w:rsidR="00437F5C" w:rsidRPr="00437F5C" w:rsidRDefault="00437F5C" w:rsidP="00437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Psychiatric consultant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DCFC4B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Senior (average registrar and consultant costs)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799CC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Doctor (weighted 80:20 average of junior and senior doctor costs)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3E4B4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Joint costs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98CB5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Other/unknown professional</w:t>
            </w:r>
          </w:p>
        </w:tc>
      </w:tr>
      <w:tr w:rsidR="00437F5C" w:rsidRPr="00437F5C" w14:paraId="6E75A017" w14:textId="77777777" w:rsidTr="00437F5C">
        <w:trPr>
          <w:trHeight w:val="301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4BC5FBE7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Working hours per year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5DB00D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1573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7A21C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2,138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2FFA3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2,138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5E69C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2,138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CB2B5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2138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0A0E6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1842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9548C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1,990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D5328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2,108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BE645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3,681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DBC82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1,841</w:t>
            </w:r>
          </w:p>
        </w:tc>
      </w:tr>
      <w:tr w:rsidR="00437F5C" w:rsidRPr="00437F5C" w14:paraId="2700F543" w14:textId="77777777" w:rsidTr="00437F5C">
        <w:trPr>
          <w:trHeight w:val="301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8B7C88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Salary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52FB8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£39,039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4762B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£26,635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61EAB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£30,354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3782A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£28,495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5A86C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£41,583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ADD72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£91,926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E50AE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£66,755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9FD32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£36,147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36D23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£75,186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EA8DE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£37,593</w:t>
            </w:r>
          </w:p>
        </w:tc>
      </w:tr>
      <w:tr w:rsidR="00437F5C" w:rsidRPr="00437F5C" w14:paraId="2FC0231C" w14:textId="77777777" w:rsidTr="00437F5C">
        <w:trPr>
          <w:trHeight w:val="301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CDD00C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Salary </w:t>
            </w:r>
            <w:proofErr w:type="spellStart"/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oncosts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34BDA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£9,875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1CED4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£6,379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84C65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£7,427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78D10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£6,903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B9EDE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£10,591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A6E63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£24,778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9873B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£17,685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5D647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£9,059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A0E61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£18,934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655A3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£9,467</w:t>
            </w:r>
          </w:p>
        </w:tc>
      </w:tr>
      <w:tr w:rsidR="00437F5C" w:rsidRPr="00437F5C" w14:paraId="57372640" w14:textId="77777777" w:rsidTr="00437F5C">
        <w:trPr>
          <w:trHeight w:val="301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0FBB4A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Overheads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10914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64691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DFDB9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B5BE7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18184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25B35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1A0D9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47F31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07D40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1E33C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 </w:t>
            </w:r>
          </w:p>
        </w:tc>
      </w:tr>
      <w:tr w:rsidR="00437F5C" w:rsidRPr="00437F5C" w14:paraId="606866B2" w14:textId="77777777" w:rsidTr="00437F5C">
        <w:trPr>
          <w:trHeight w:val="301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33A97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BAEC9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Management, admin and estates staff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D3FA5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£11,837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F62A1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£7,989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76B1D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£9,143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53351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£8,566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E86F7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£12,626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C71B8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£28,242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37E55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£20,434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24F3B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£10,940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667CC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£22,777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8BD06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£11,388</w:t>
            </w:r>
          </w:p>
        </w:tc>
      </w:tr>
      <w:tr w:rsidR="00437F5C" w:rsidRPr="00437F5C" w14:paraId="2613EB33" w14:textId="77777777" w:rsidTr="00437F5C">
        <w:trPr>
          <w:trHeight w:val="301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89A80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BE031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Non-staff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47A6A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£21,082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8FA58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£14,229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8C089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£16,284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F14F3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£15,257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36533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£22,487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E34D6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£50,299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DD161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£36,393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655B3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£19,484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2773C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£40,566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53660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£20,283</w:t>
            </w:r>
          </w:p>
        </w:tc>
      </w:tr>
      <w:tr w:rsidR="00437F5C" w:rsidRPr="00437F5C" w14:paraId="29004354" w14:textId="77777777" w:rsidTr="00437F5C">
        <w:trPr>
          <w:trHeight w:val="301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32D3C6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Capital overheads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3415F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£3,462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FCFAD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£4,710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EE47B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£4,710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02B36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£4,710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67902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£4,710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CF2A8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£6,115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5E1F6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£5,413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A666C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£4,851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7FEB9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£8,313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3CF9B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£4,156</w:t>
            </w:r>
          </w:p>
        </w:tc>
      </w:tr>
      <w:tr w:rsidR="00437F5C" w:rsidRPr="00437F5C" w14:paraId="7799EFAD" w14:textId="77777777" w:rsidTr="00437F5C">
        <w:trPr>
          <w:trHeight w:val="301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23B513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Total cost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65F4A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£85,295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25501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£59,942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3C6E6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£67,918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266F5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£63,930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49328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£91,997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E2A52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£201,360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A3586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£146,679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43631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£80,480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FBE7C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£165,775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B55DD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£82,887</w:t>
            </w:r>
          </w:p>
        </w:tc>
      </w:tr>
      <w:tr w:rsidR="00437F5C" w:rsidRPr="00437F5C" w14:paraId="5C6F69D1" w14:textId="77777777" w:rsidTr="00437F5C">
        <w:trPr>
          <w:trHeight w:val="301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8CAB5E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Indirect time (1:1.44)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7282A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£122,825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CA621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£86,316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E15C9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£97,802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672AB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£92,059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A023B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£132,476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471CA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£289,958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E42D9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£211,217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77153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£115,891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3459B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£238,716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23DF3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£119,358</w:t>
            </w:r>
          </w:p>
        </w:tc>
      </w:tr>
      <w:tr w:rsidR="00437F5C" w:rsidRPr="00437F5C" w14:paraId="14DFEAA0" w14:textId="77777777" w:rsidTr="00437F5C">
        <w:trPr>
          <w:trHeight w:val="301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3B6F43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Total cost including indirect time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82C3D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£208,120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60443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£146,258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E71F4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£165,720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681F9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£155,989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4E940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£224,473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51424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£491,318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28563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£357,896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41EC7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£196,370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D7CDA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£404,490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B98C2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£202,245</w:t>
            </w:r>
          </w:p>
        </w:tc>
      </w:tr>
      <w:tr w:rsidR="00437F5C" w:rsidRPr="00437F5C" w14:paraId="6A3B6D3C" w14:textId="77777777" w:rsidTr="00437F5C">
        <w:trPr>
          <w:trHeight w:val="301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38ACAE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Psychosocial assessment cost (90 minutes)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4574AA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£198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997580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3D7DDF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£116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12D411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£109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5E53FD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£157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C8D325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592229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£279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06911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£143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B99DB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£341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A1099" w14:textId="77777777" w:rsidR="00437F5C" w:rsidRPr="00437F5C" w:rsidRDefault="00437F5C" w:rsidP="0043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£170.5</w:t>
            </w:r>
          </w:p>
        </w:tc>
      </w:tr>
    </w:tbl>
    <w:p w14:paraId="6990924B" w14:textId="169E506D" w:rsidR="00437F5C" w:rsidRDefault="00437F5C" w:rsidP="00437F5C">
      <w:pPr>
        <w:rPr>
          <w:b/>
        </w:rPr>
      </w:pPr>
    </w:p>
    <w:p w14:paraId="1BCFE7D5" w14:textId="77777777" w:rsidR="00CC1823" w:rsidRDefault="00CC1823" w:rsidP="008B4A9F">
      <w:pPr>
        <w:rPr>
          <w:b/>
        </w:rPr>
        <w:sectPr w:rsidR="00CC1823" w:rsidSect="00CC18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0ACAA1B" w14:textId="77777777" w:rsidR="00EB2B7F" w:rsidRDefault="00EB2B7F">
      <w:pPr>
        <w:rPr>
          <w:b/>
        </w:rPr>
      </w:pPr>
      <w:r>
        <w:rPr>
          <w:b/>
        </w:rPr>
        <w:lastRenderedPageBreak/>
        <w:t>Model specifications</w:t>
      </w:r>
    </w:p>
    <w:p w14:paraId="1F576E49" w14:textId="2284942C" w:rsidR="00EB2B7F" w:rsidRDefault="002B23A8" w:rsidP="00B87293">
      <w:pPr>
        <w:spacing w:line="360" w:lineRule="auto"/>
      </w:pPr>
      <w:r>
        <w:t>Bayesian priors were specified as:  prior standard deviation and initial values: 20% of the observed pre-investment period standard deviation (allowing the modelled time series freedom, whilst retaining predictive power); upper limit for the Inverse Gamma standard deviation: 150% of the observed pre-investment period standard deviation. Th</w:t>
      </w:r>
      <w:r w:rsidRPr="00B3303D">
        <w:t xml:space="preserve">e stationary distribution of the </w:t>
      </w:r>
      <w:proofErr w:type="gramStart"/>
      <w:r w:rsidRPr="00B3303D">
        <w:t>AR(</w:t>
      </w:r>
      <w:proofErr w:type="gramEnd"/>
      <w:r>
        <w:t>1</w:t>
      </w:r>
      <w:r w:rsidRPr="00B3303D">
        <w:t xml:space="preserve">) process </w:t>
      </w:r>
      <w:r>
        <w:t xml:space="preserve">was used </w:t>
      </w:r>
      <w:r w:rsidRPr="00B3303D">
        <w:t>as the initial state distribution</w:t>
      </w:r>
      <w:r>
        <w:t>, describing values at time 0. A spike-and-slab prior was placed on the regression coefficients of the covariates, set to expect that the model would be informed by the 3 covariates described above, with priors</w:t>
      </w:r>
      <w:r w:rsidRPr="000E6FE2">
        <w:t xml:space="preserve"> for the effect sizes set to a mean of ‘0’ (no effect) with the exception of the intercept which was set to the outcome mean. </w:t>
      </w:r>
      <w:r>
        <w:t xml:space="preserve">The standard deviation of the regression coefficients was also set to 20% of the observed pre-investment period standard deviation and the prior expected explained variance set to 70% with 35 degrees of freedom. </w:t>
      </w:r>
      <w:r w:rsidRPr="000E6FE2">
        <w:t>Prior inclusion probabilities</w:t>
      </w:r>
      <w:r>
        <w:t xml:space="preserve"> were</w:t>
      </w:r>
      <w:r w:rsidRPr="000E6FE2">
        <w:t xml:space="preserve"> </w:t>
      </w:r>
      <w:r>
        <w:t xml:space="preserve">not </w:t>
      </w:r>
      <w:r w:rsidRPr="00D75853">
        <w:rPr>
          <w:rFonts w:cstheme="minorHAnsi"/>
        </w:rPr>
        <w:t xml:space="preserve">provided for any of the covariates, making their inclusion data driven. </w:t>
      </w:r>
      <w:r w:rsidRPr="008622F8">
        <w:rPr>
          <w:rFonts w:cstheme="minorHAnsi"/>
        </w:rPr>
        <w:t xml:space="preserve">Counterfactual timeseries were based on </w:t>
      </w:r>
      <w:r w:rsidRPr="00317260">
        <w:rPr>
          <w:rFonts w:cstheme="minorHAnsi"/>
          <w:color w:val="333333"/>
          <w:shd w:val="clear" w:color="auto" w:fill="FFFFFF"/>
        </w:rPr>
        <w:t xml:space="preserve">marginal inclusion probabilities of </w:t>
      </w:r>
      <w:r w:rsidRPr="00B87293">
        <w:t>each regression coefficient through Bayesian model averaging.</w:t>
      </w:r>
      <w:r>
        <w:t xml:space="preserve"> Model fit was assessed using the following post-hoc tests: </w:t>
      </w:r>
      <w:proofErr w:type="spellStart"/>
      <w:r w:rsidRPr="00326915">
        <w:t>Geweke</w:t>
      </w:r>
      <w:proofErr w:type="spellEnd"/>
      <w:r w:rsidRPr="00326915">
        <w:t xml:space="preserve"> diagnostics </w:t>
      </w:r>
      <w:r>
        <w:t>(c</w:t>
      </w:r>
      <w:r w:rsidRPr="00326915">
        <w:t>onvergence of MCMC chains</w:t>
      </w:r>
      <w:r>
        <w:t xml:space="preserve">), </w:t>
      </w:r>
      <w:r w:rsidRPr="00326915">
        <w:t xml:space="preserve">Raftery-Lewis diagnostic tests </w:t>
      </w:r>
      <w:r>
        <w:t>(</w:t>
      </w:r>
      <w:r w:rsidRPr="00326915">
        <w:t>mixing, correlation and inappropriate starting values</w:t>
      </w:r>
      <w:r>
        <w:t>),</w:t>
      </w:r>
      <w:r w:rsidRPr="00326915">
        <w:t xml:space="preserve"> </w:t>
      </w:r>
      <w:r>
        <w:t>p</w:t>
      </w:r>
      <w:r w:rsidRPr="00326915">
        <w:t>recision</w:t>
      </w:r>
      <w:r>
        <w:t xml:space="preserve"> (</w:t>
      </w:r>
      <w:r w:rsidRPr="00326915">
        <w:t>using mean absolute 1-step prediction errors</w:t>
      </w:r>
      <w:r>
        <w:t>)</w:t>
      </w:r>
      <w:r w:rsidRPr="00326915">
        <w:t xml:space="preserve"> and Durbin-Watson</w:t>
      </w:r>
      <w:r>
        <w:t xml:space="preserve">, </w:t>
      </w:r>
      <w:proofErr w:type="spellStart"/>
      <w:r>
        <w:t>Ljung</w:t>
      </w:r>
      <w:proofErr w:type="spellEnd"/>
      <w:r>
        <w:t>-Box</w:t>
      </w:r>
      <w:r w:rsidRPr="00326915">
        <w:t xml:space="preserve"> tests </w:t>
      </w:r>
      <w:r>
        <w:t xml:space="preserve">and </w:t>
      </w:r>
      <w:r w:rsidRPr="00326915">
        <w:t xml:space="preserve">autocorrelation plots </w:t>
      </w:r>
      <w:r>
        <w:t>(</w:t>
      </w:r>
      <w:r w:rsidRPr="00326915">
        <w:t>residual correlation</w:t>
      </w:r>
      <w:r>
        <w:t>)</w:t>
      </w:r>
      <w:r w:rsidRPr="00326915">
        <w:t>.</w:t>
      </w:r>
      <w:r>
        <w:t xml:space="preserve"> Sensitivity analyses with different priors did not materially change the results.</w:t>
      </w:r>
      <w:r w:rsidRPr="00326915">
        <w:t xml:space="preserve"> </w:t>
      </w:r>
      <w:r>
        <w:t xml:space="preserve"> </w:t>
      </w:r>
      <w:r w:rsidRPr="00B87293">
        <w:t>Additional sensitivity analysis was conducted to check whether inclusion of a local linear trend</w:t>
      </w:r>
      <w:r>
        <w:t xml:space="preserve"> that would indicate a continuing in/decrease in the outcome over the complete time-period</w:t>
      </w:r>
      <w:r w:rsidRPr="00B87293">
        <w:t xml:space="preserve"> could improve the models</w:t>
      </w:r>
      <w:r>
        <w:t xml:space="preserve">. There was no evidence that inclusion changed any of the conclusions, however there </w:t>
      </w:r>
      <w:r w:rsidRPr="00B87293">
        <w:t>was insufficient data</w:t>
      </w:r>
      <w:r>
        <w:t xml:space="preserve"> to include this parameter</w:t>
      </w:r>
      <w:r w:rsidRPr="00B87293">
        <w:t>.</w:t>
      </w:r>
      <w:r>
        <w:t xml:space="preserve"> </w:t>
      </w:r>
      <w:r w:rsidR="00EB2B7F">
        <w:br w:type="page"/>
      </w:r>
    </w:p>
    <w:p w14:paraId="7DC80569" w14:textId="4D4668A3" w:rsidR="009A4518" w:rsidRDefault="008B2CFA">
      <w:pPr>
        <w:rPr>
          <w:b/>
        </w:rPr>
      </w:pPr>
      <w:r>
        <w:rPr>
          <w:b/>
        </w:rPr>
        <w:lastRenderedPageBreak/>
        <w:t>Table S</w:t>
      </w:r>
      <w:r w:rsidR="006639DA">
        <w:rPr>
          <w:b/>
        </w:rPr>
        <w:t>2</w:t>
      </w:r>
      <w:r>
        <w:rPr>
          <w:b/>
        </w:rPr>
        <w:t xml:space="preserve">. </w:t>
      </w:r>
      <w:r w:rsidR="00786C00">
        <w:rPr>
          <w:b/>
        </w:rPr>
        <w:t>C</w:t>
      </w:r>
      <w:r>
        <w:rPr>
          <w:b/>
        </w:rPr>
        <w:t>ovariates and outcomes before and after the investment in September 2014</w:t>
      </w:r>
    </w:p>
    <w:p w14:paraId="39A02117" w14:textId="5E87B101" w:rsidR="00437F5C" w:rsidRDefault="00437F5C"/>
    <w:tbl>
      <w:tblPr>
        <w:tblW w:w="9847" w:type="dxa"/>
        <w:tblLook w:val="04A0" w:firstRow="1" w:lastRow="0" w:firstColumn="1" w:lastColumn="0" w:noHBand="0" w:noVBand="1"/>
      </w:tblPr>
      <w:tblGrid>
        <w:gridCol w:w="3823"/>
        <w:gridCol w:w="1984"/>
        <w:gridCol w:w="2008"/>
        <w:gridCol w:w="2032"/>
      </w:tblGrid>
      <w:tr w:rsidR="00437F5C" w:rsidRPr="00437F5C" w14:paraId="2059CA9E" w14:textId="77777777" w:rsidTr="00437F5C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D5D1E" w14:textId="2D1FD7A2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Covariates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6A0F61" w14:textId="4FC87F62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Pre investment period</w:t>
            </w:r>
            <w:r w:rsidR="00786C00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, mean (range)*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DCE105" w14:textId="592499ED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Post investment period</w:t>
            </w:r>
            <w:r w:rsidR="00786C00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, mean (range)*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B13C0E" w14:textId="54F69F33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Total</w:t>
            </w:r>
            <w:r w:rsidR="004E3303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 xml:space="preserve"> over entire study period</w:t>
            </w:r>
            <w:r w:rsidR="00786C00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, mean (range)*</w:t>
            </w:r>
          </w:p>
        </w:tc>
      </w:tr>
      <w:tr w:rsidR="00437F5C" w:rsidRPr="00437F5C" w14:paraId="3BF0CE1A" w14:textId="77777777" w:rsidTr="00437F5C">
        <w:trPr>
          <w:trHeight w:val="14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EDE99" w14:textId="1671C2C1" w:rsidR="00437F5C" w:rsidRPr="00437F5C" w:rsidRDefault="008B3CE0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Number of attendances for self-ha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rm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6D32" w14:textId="4C127A24" w:rsidR="00437F5C" w:rsidRPr="00437F5C" w:rsidRDefault="008B3CE0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bookmarkStart w:id="0" w:name="_GoBack"/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91.91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(66.00 - 130.00)</w:t>
            </w:r>
            <w:bookmarkEnd w:id="0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FA4B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103.79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(72.00 - 139.00)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F500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98.10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(66.00 - 139.00)</w:t>
            </w:r>
          </w:p>
        </w:tc>
      </w:tr>
      <w:tr w:rsidR="00437F5C" w:rsidRPr="00437F5C" w14:paraId="7D4BC3C4" w14:textId="77777777" w:rsidTr="00437F5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F91C4" w14:textId="04AEB642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Mean age of patients attending for self-harm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C944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33.38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(31.36 - 36.11)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3754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33.38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(29.33 - 36.83)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74A4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33.38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(29.33 - 36.83)</w:t>
            </w:r>
          </w:p>
        </w:tc>
      </w:tr>
      <w:tr w:rsidR="00437F5C" w:rsidRPr="00437F5C" w14:paraId="7332F1C3" w14:textId="77777777" w:rsidTr="00437F5C">
        <w:trPr>
          <w:trHeight w:val="17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230B6" w14:textId="40A110CE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Proportion of females attending for self-harm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8F5C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57.60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(43.66 - 67.50)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7CB6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63.28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(42.55 - 78.00)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261D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60.56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(42.55 - 78.00)</w:t>
            </w:r>
          </w:p>
        </w:tc>
      </w:tr>
      <w:tr w:rsidR="00437F5C" w:rsidRPr="00437F5C" w14:paraId="76812753" w14:textId="77777777" w:rsidTr="00437F5C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71ADC5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Episode outcomes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240FA6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Pre investment period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7905CF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Post investment period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E09A02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Total</w:t>
            </w:r>
          </w:p>
        </w:tc>
      </w:tr>
      <w:tr w:rsidR="00437F5C" w:rsidRPr="00437F5C" w14:paraId="1E75FC04" w14:textId="77777777" w:rsidTr="00437F5C">
        <w:trPr>
          <w:trHeight w:val="14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E8ADF" w14:textId="0CA71D28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Number of episodes admitted to Intensive Therapy Unit (ITU)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6042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1.71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(0.00 - 5.00)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9640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1.24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(0.00 - 5.00)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7D9A9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1.47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(0.00 - 5.00)</w:t>
            </w:r>
          </w:p>
        </w:tc>
      </w:tr>
      <w:tr w:rsidR="00437F5C" w:rsidRPr="00437F5C" w14:paraId="01E34531" w14:textId="77777777" w:rsidTr="00437F5C">
        <w:trPr>
          <w:trHeight w:val="17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1F434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Number of episodes admitted to a hospital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450E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60.69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(47.00 - 85.00)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25F1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66.11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(48.00 - 92.00)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7221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63.51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(47.00 - 92.00)</w:t>
            </w:r>
          </w:p>
        </w:tc>
      </w:tr>
      <w:tr w:rsidR="00437F5C" w:rsidRPr="00437F5C" w14:paraId="0CE0993D" w14:textId="77777777" w:rsidTr="00437F5C">
        <w:trPr>
          <w:trHeight w:val="1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21D2E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Number of referrals made to other agencies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1FEB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47.11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(28.00 - 88.00)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394D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97.63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(46.00 - 191.00)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1FBD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73.41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(28.00 - 191.00)</w:t>
            </w:r>
          </w:p>
        </w:tc>
      </w:tr>
      <w:tr w:rsidR="00437F5C" w:rsidRPr="00437F5C" w14:paraId="6A84C164" w14:textId="77777777" w:rsidTr="00437F5C">
        <w:trPr>
          <w:trHeight w:val="20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36B24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Number of episodes self-discharging from the ED without an assessment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FD79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11.20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(4.00 - 20.00)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EA0C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10.58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(3.00 - 22.00)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06EBB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10.88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(3.00 - 22.00)</w:t>
            </w:r>
          </w:p>
        </w:tc>
      </w:tr>
      <w:tr w:rsidR="00437F5C" w:rsidRPr="00437F5C" w14:paraId="687DA217" w14:textId="77777777" w:rsidTr="00437F5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FC0D49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Psychosocial assessments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964D30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1BEF99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C3A42A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437F5C" w:rsidRPr="00437F5C" w14:paraId="430A70DF" w14:textId="77777777" w:rsidTr="00437F5C">
        <w:trPr>
          <w:trHeight w:val="34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04D75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Number of episodes with a psychosocial assessment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85A13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52.97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(37.00 - 85.00)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32D6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65.84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(45.00 - 90.00)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34D4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59.67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(37.00 - 90.00)</w:t>
            </w:r>
          </w:p>
        </w:tc>
      </w:tr>
      <w:tr w:rsidR="00437F5C" w:rsidRPr="00437F5C" w14:paraId="559DAC80" w14:textId="77777777" w:rsidTr="00437F5C">
        <w:trPr>
          <w:trHeight w:val="3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8FC46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Median waiting time from ED arrival to assessment (hours)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B410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11.57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(6.92 - 14.27)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2B137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9.02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(6.34 - 11.98)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6EF0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10.25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(6.34 - 14.27)</w:t>
            </w:r>
          </w:p>
        </w:tc>
      </w:tr>
      <w:tr w:rsidR="00437F5C" w:rsidRPr="00437F5C" w14:paraId="6EEFD59A" w14:textId="77777777" w:rsidTr="00437F5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F9700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Repeat attendances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808F14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FDAEF6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2DCBC9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437F5C" w:rsidRPr="00437F5C" w14:paraId="3D2B4609" w14:textId="77777777" w:rsidTr="00437F5C">
        <w:trPr>
          <w:trHeight w:val="1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7141" w14:textId="28AC1B5E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Number of patients with repeat ED attendances within 6 months from index date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F8B46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7.20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(2.00 - 15.00)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F345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6.00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(1.00 - 12.00)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76BB1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6.63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(1.00 - 15.00)</w:t>
            </w:r>
          </w:p>
        </w:tc>
      </w:tr>
      <w:tr w:rsidR="00437F5C" w:rsidRPr="00437F5C" w14:paraId="53FBE4B9" w14:textId="77777777" w:rsidTr="00437F5C">
        <w:trPr>
          <w:trHeight w:val="36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8DDA" w14:textId="152A33BF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Median time to first repeat attendance (days)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0C215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51.09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(2.00 - 110.00)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69F5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54.89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(7.00 - 162.00)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BD0A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53.07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(2.00 - 162.00)</w:t>
            </w:r>
          </w:p>
        </w:tc>
      </w:tr>
      <w:tr w:rsidR="00437F5C" w:rsidRPr="00437F5C" w14:paraId="51DC6759" w14:textId="77777777" w:rsidTr="00437F5C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280FA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Cost outcomes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9A9C4A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6A6F77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43107D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437F5C" w:rsidRPr="00437F5C" w14:paraId="7D7002B5" w14:textId="77777777" w:rsidTr="00437F5C">
        <w:trPr>
          <w:trHeight w:val="20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964E" w14:textId="6FF1B043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Mean psychosocial assessment costs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E110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181.30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(169.60 - 199.70)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FB86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195.70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(178.70 - 227.30)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4648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188.80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(169.60 - 227.30)</w:t>
            </w:r>
          </w:p>
        </w:tc>
      </w:tr>
      <w:tr w:rsidR="00437F5C" w:rsidRPr="00437F5C" w14:paraId="1AC131A6" w14:textId="77777777" w:rsidTr="00437F5C">
        <w:trPr>
          <w:trHeight w:val="2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CFB1" w14:textId="2603F2E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 xml:space="preserve">Mean ED costs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8F8C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189.40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(176.90 - 195.70)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A3F4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187.50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(178.70 - 198.80)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CD63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188.40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(176.90 - 198.80)</w:t>
            </w:r>
          </w:p>
        </w:tc>
      </w:tr>
      <w:tr w:rsidR="00437F5C" w:rsidRPr="00437F5C" w14:paraId="6704A6E3" w14:textId="77777777" w:rsidTr="00437F5C">
        <w:trPr>
          <w:trHeight w:val="11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6940" w14:textId="53969208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Mean observation ward costs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7BB7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213.40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(135.70 - 452.10)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EF8E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215.80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(125.00 - 412.40)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D1E3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214.60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(125.00 - 452.10)</w:t>
            </w:r>
          </w:p>
        </w:tc>
      </w:tr>
      <w:tr w:rsidR="00437F5C" w:rsidRPr="00437F5C" w14:paraId="4CFA6FAF" w14:textId="77777777" w:rsidTr="00437F5C">
        <w:trPr>
          <w:trHeight w:val="12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3FDC" w14:textId="41785335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Mean ITU costs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BC42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112.19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(0.00 - 357.34)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E195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70.36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(0.00 - 371.49)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1CE0B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90.41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(0.00 - 371.49)</w:t>
            </w:r>
          </w:p>
        </w:tc>
      </w:tr>
      <w:tr w:rsidR="00437F5C" w:rsidRPr="00437F5C" w14:paraId="376D9EB7" w14:textId="77777777" w:rsidTr="00437F5C">
        <w:trPr>
          <w:trHeight w:val="16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77CC" w14:textId="32356C3F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Mean net hospital costs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A42C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696.30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(531.40 - 1,058.20)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2EBC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669.30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(497.90 - 1,082.70)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BAC9" w14:textId="77777777" w:rsidR="00437F5C" w:rsidRPr="00437F5C" w:rsidRDefault="00437F5C" w:rsidP="00437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t>682.30</w:t>
            </w:r>
            <w:r w:rsidRPr="00437F5C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(497.90 - 1,082.70)</w:t>
            </w:r>
          </w:p>
        </w:tc>
      </w:tr>
    </w:tbl>
    <w:p w14:paraId="728DE18E" w14:textId="3C8556A6" w:rsidR="008B4A9F" w:rsidRDefault="00786C00" w:rsidP="008B4A9F">
      <w:pPr>
        <w:sectPr w:rsidR="008B4A9F" w:rsidSect="00786C00">
          <w:pgSz w:w="11906" w:h="16838"/>
          <w:pgMar w:top="1440" w:right="1440" w:bottom="1276" w:left="1440" w:header="709" w:footer="709" w:gutter="0"/>
          <w:cols w:space="708"/>
          <w:docGrid w:linePitch="360"/>
        </w:sectPr>
      </w:pPr>
      <w:r>
        <w:t>* Summarised from monthly frequency / average / proportion</w:t>
      </w:r>
    </w:p>
    <w:p w14:paraId="7D9C6AFA" w14:textId="5B46E7F1" w:rsidR="00A32BB7" w:rsidRDefault="0086080E" w:rsidP="00A32BB7">
      <w:r w:rsidRPr="0086080E">
        <w:lastRenderedPageBreak/>
        <w:t xml:space="preserve">  </w:t>
      </w:r>
      <w:r w:rsidR="002C6879">
        <w:rPr>
          <w:noProof/>
        </w:rPr>
        <w:drawing>
          <wp:inline distT="0" distB="0" distL="0" distR="0" wp14:anchorId="6487C62B" wp14:editId="220B97C5">
            <wp:extent cx="8863330" cy="487489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87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40383" w14:textId="46B3F6A2" w:rsidR="008B4A9F" w:rsidRPr="008B4A9F" w:rsidRDefault="00A32BB7" w:rsidP="00A32BB7">
      <w:r>
        <w:rPr>
          <w:b/>
        </w:rPr>
        <w:t>Figure S1</w:t>
      </w:r>
      <w:r>
        <w:t xml:space="preserve">. Observed (solid line) and modelled (dashed line) time series for a. median time to first repeat attendance (days), b. number of episodes admitted to ITU, c. </w:t>
      </w:r>
      <w:r w:rsidR="005E1BE6">
        <w:t>number of referrals to other agencies</w:t>
      </w:r>
      <w:r>
        <w:t xml:space="preserve">, d. </w:t>
      </w:r>
      <w:r w:rsidR="005E1BE6">
        <w:t>mean psychosocial assessment costs</w:t>
      </w:r>
      <w:r>
        <w:t xml:space="preserve">, e. </w:t>
      </w:r>
      <w:r w:rsidR="005E1BE6">
        <w:t>mean ED costs</w:t>
      </w:r>
      <w:r>
        <w:t xml:space="preserve">, f. </w:t>
      </w:r>
      <w:r w:rsidR="005E1BE6">
        <w:t>mean observational ward costs</w:t>
      </w:r>
      <w:r>
        <w:t>, g.</w:t>
      </w:r>
      <w:r w:rsidR="005E1BE6">
        <w:t xml:space="preserve"> mean ITU costs</w:t>
      </w:r>
      <w:r>
        <w:t>. Shaded areas correspond to 95% Credible Intervals</w:t>
      </w:r>
      <w:r w:rsidRPr="00450ACE">
        <w:rPr>
          <w:noProof/>
        </w:rPr>
        <w:t xml:space="preserve"> </w:t>
      </w:r>
    </w:p>
    <w:sectPr w:rsidR="008B4A9F" w:rsidRPr="008B4A9F" w:rsidSect="0086080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630C8" w14:textId="77777777" w:rsidR="003674CB" w:rsidRDefault="003674CB" w:rsidP="000A1BDD">
      <w:pPr>
        <w:spacing w:after="0" w:line="240" w:lineRule="auto"/>
      </w:pPr>
      <w:r>
        <w:separator/>
      </w:r>
    </w:p>
  </w:endnote>
  <w:endnote w:type="continuationSeparator" w:id="0">
    <w:p w14:paraId="0C72B09E" w14:textId="77777777" w:rsidR="003674CB" w:rsidRDefault="003674CB" w:rsidP="000A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633E6" w14:textId="77777777" w:rsidR="00F50C6B" w:rsidRDefault="00F50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02D15" w14:textId="77777777" w:rsidR="00F50C6B" w:rsidRDefault="00F50C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572D" w14:textId="77777777" w:rsidR="00F50C6B" w:rsidRDefault="00F50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BAE67" w14:textId="77777777" w:rsidR="003674CB" w:rsidRDefault="003674CB" w:rsidP="000A1BDD">
      <w:pPr>
        <w:spacing w:after="0" w:line="240" w:lineRule="auto"/>
      </w:pPr>
      <w:r>
        <w:separator/>
      </w:r>
    </w:p>
  </w:footnote>
  <w:footnote w:type="continuationSeparator" w:id="0">
    <w:p w14:paraId="76A925C9" w14:textId="77777777" w:rsidR="003674CB" w:rsidRDefault="003674CB" w:rsidP="000A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A7019" w14:textId="77777777" w:rsidR="00F50C6B" w:rsidRDefault="00F50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761A3" w14:textId="77777777" w:rsidR="00F50C6B" w:rsidRDefault="00F50C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91A46" w14:textId="77777777" w:rsidR="00F50C6B" w:rsidRDefault="00F50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16A59"/>
    <w:multiLevelType w:val="hybridMultilevel"/>
    <w:tmpl w:val="5D62DF02"/>
    <w:lvl w:ilvl="0" w:tplc="3F60D8DE">
      <w:start w:val="12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C4EB2"/>
    <w:multiLevelType w:val="hybridMultilevel"/>
    <w:tmpl w:val="7B80797C"/>
    <w:lvl w:ilvl="0" w:tplc="1AEE65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A7A7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655A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93AAF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FF462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52B73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FACC9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BE271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EA5E5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9F"/>
    <w:rsid w:val="00003F7C"/>
    <w:rsid w:val="00042C44"/>
    <w:rsid w:val="000A00C2"/>
    <w:rsid w:val="000A1BDD"/>
    <w:rsid w:val="000C482C"/>
    <w:rsid w:val="00187903"/>
    <w:rsid w:val="00190E11"/>
    <w:rsid w:val="001C0D8F"/>
    <w:rsid w:val="001E0768"/>
    <w:rsid w:val="0028361D"/>
    <w:rsid w:val="002B23A8"/>
    <w:rsid w:val="002C6879"/>
    <w:rsid w:val="002E5114"/>
    <w:rsid w:val="002F3952"/>
    <w:rsid w:val="00301435"/>
    <w:rsid w:val="0033676E"/>
    <w:rsid w:val="0035668A"/>
    <w:rsid w:val="003674CB"/>
    <w:rsid w:val="00412F9C"/>
    <w:rsid w:val="00437F5C"/>
    <w:rsid w:val="0045060F"/>
    <w:rsid w:val="00450ACE"/>
    <w:rsid w:val="004C15C2"/>
    <w:rsid w:val="004C60BD"/>
    <w:rsid w:val="004E3303"/>
    <w:rsid w:val="005263CB"/>
    <w:rsid w:val="00534B3C"/>
    <w:rsid w:val="005E1BE6"/>
    <w:rsid w:val="00661628"/>
    <w:rsid w:val="006620E6"/>
    <w:rsid w:val="006639DA"/>
    <w:rsid w:val="006A24F3"/>
    <w:rsid w:val="00720F5E"/>
    <w:rsid w:val="00783CF2"/>
    <w:rsid w:val="00786C00"/>
    <w:rsid w:val="007E6314"/>
    <w:rsid w:val="00810456"/>
    <w:rsid w:val="0086080E"/>
    <w:rsid w:val="0087117C"/>
    <w:rsid w:val="008B2CFA"/>
    <w:rsid w:val="008B3CE0"/>
    <w:rsid w:val="008B4A9F"/>
    <w:rsid w:val="0095105C"/>
    <w:rsid w:val="009847D1"/>
    <w:rsid w:val="009858DD"/>
    <w:rsid w:val="009A4518"/>
    <w:rsid w:val="009A6E59"/>
    <w:rsid w:val="009C6AB2"/>
    <w:rsid w:val="00A066A5"/>
    <w:rsid w:val="00A32BB7"/>
    <w:rsid w:val="00A369F9"/>
    <w:rsid w:val="00A50030"/>
    <w:rsid w:val="00A6549B"/>
    <w:rsid w:val="00A97B6A"/>
    <w:rsid w:val="00AF4CFE"/>
    <w:rsid w:val="00B41960"/>
    <w:rsid w:val="00B87293"/>
    <w:rsid w:val="00B94C27"/>
    <w:rsid w:val="00BD773E"/>
    <w:rsid w:val="00BE1CAC"/>
    <w:rsid w:val="00C157DD"/>
    <w:rsid w:val="00C66FC0"/>
    <w:rsid w:val="00C9276F"/>
    <w:rsid w:val="00C96D3A"/>
    <w:rsid w:val="00CC1823"/>
    <w:rsid w:val="00CD7A6E"/>
    <w:rsid w:val="00D70214"/>
    <w:rsid w:val="00DA5EC3"/>
    <w:rsid w:val="00DC2CBF"/>
    <w:rsid w:val="00DC3F02"/>
    <w:rsid w:val="00DC4C32"/>
    <w:rsid w:val="00DD4650"/>
    <w:rsid w:val="00DF041C"/>
    <w:rsid w:val="00E27AE4"/>
    <w:rsid w:val="00E57963"/>
    <w:rsid w:val="00E952CE"/>
    <w:rsid w:val="00EB2B7F"/>
    <w:rsid w:val="00EB3C0D"/>
    <w:rsid w:val="00F014A0"/>
    <w:rsid w:val="00F46489"/>
    <w:rsid w:val="00F50C6B"/>
    <w:rsid w:val="00F80DCD"/>
    <w:rsid w:val="00F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480461"/>
  <w15:chartTrackingRefBased/>
  <w15:docId w15:val="{F2D9027E-1532-4B04-9D90-C72A6F13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A9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B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1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DD"/>
  </w:style>
  <w:style w:type="paragraph" w:styleId="Footer">
    <w:name w:val="footer"/>
    <w:basedOn w:val="Normal"/>
    <w:link w:val="FooterChar"/>
    <w:uiPriority w:val="99"/>
    <w:unhideWhenUsed/>
    <w:rsid w:val="000A1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BDD"/>
  </w:style>
  <w:style w:type="character" w:styleId="CommentReference">
    <w:name w:val="annotation reference"/>
    <w:basedOn w:val="DefaultParagraphFont"/>
    <w:unhideWhenUsed/>
    <w:rsid w:val="006A24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A2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2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4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B1957-88F8-413A-A76F-533CEA78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Jackson</dc:creator>
  <cp:keywords/>
  <dc:description/>
  <cp:lastModifiedBy>Joni Jackson</cp:lastModifiedBy>
  <cp:revision>4</cp:revision>
  <cp:lastPrinted>2019-07-25T13:00:00Z</cp:lastPrinted>
  <dcterms:created xsi:type="dcterms:W3CDTF">2020-01-14T10:53:00Z</dcterms:created>
  <dcterms:modified xsi:type="dcterms:W3CDTF">2020-01-17T15:40:00Z</dcterms:modified>
</cp:coreProperties>
</file>